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ix-20251231.htm"/>
      <w:bookmarkStart w:id="1" w:name="ksgix20251231"/>
      <w:bookmarkEnd w:id="0"/>
      <w:bookmarkEnd w:id="1"/>
      <w:r>
        <w:rPr/>
        <w:t> </w:t>
      </w:r>
    </w:p>
    <w:p>
      <w:pPr>
        <w:pStyle w:val="TextBody"/>
        <w:pBdr>
          <w:top w:val="double" w:sz="6" w:space="1" w:color="000000"/>
        </w:pBdr>
        <w:bidi w:val="0"/>
        <w:jc w:val="both"/>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FORM 10-K</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001-43074</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GigCapital9 Corp.</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422" w:type="dxa"/>
        <w:jc w:val="left"/>
        <w:tblInd w:w="0" w:type="dxa"/>
        <w:tblLayout w:type="fixed"/>
        <w:tblCellMar>
          <w:top w:w="28" w:type="dxa"/>
          <w:left w:w="28" w:type="dxa"/>
          <w:bottom w:w="28" w:type="dxa"/>
          <w:right w:w="28" w:type="dxa"/>
        </w:tblCellMar>
      </w:tblPr>
      <w:tblGrid>
        <w:gridCol w:w="4171"/>
        <w:gridCol w:w="2251"/>
      </w:tblGrid>
      <w:tr>
        <w:trPr/>
        <w:tc>
          <w:tcPr>
            <w:tcW w:w="417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98-1894186</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1731 Embarcadero Rd., Suite 200</w:t>
            </w:r>
            <w:r>
              <w:rPr>
                <w:rFonts w:ascii="Times New Roman" w:hAnsi="Times New Roman"/>
                <w:color w:val="000000"/>
                <w:sz w:val="20"/>
              </w:rPr>
              <w:t xml:space="preserve"> </w:t>
            </w:r>
            <w:r>
              <w:rPr>
                <w:rFonts w:ascii="Times New Roman" w:hAnsi="Times New Roman"/>
                <w:b/>
                <w:color w:val="000000"/>
                <w:sz w:val="20"/>
              </w:rPr>
              <w:t>Palo Alto, CA</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94303</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(650) 276-7040</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3"/>
        <w:gridCol w:w="109"/>
        <w:gridCol w:w="783"/>
        <w:gridCol w:w="109"/>
        <w:gridCol w:w="2461"/>
      </w:tblGrid>
      <w:tr>
        <w:trPr/>
        <w:tc>
          <w:tcPr>
            <w:tcW w:w="6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674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74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 each consisting of one Class A ordinary share, $0.0001 par value and one right to receive one-fifth of one Class A ordinary share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GIXXU</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74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Class A ordinary share, par value $0.0001 per share</w:t>
            </w:r>
            <w:r>
              <w:rPr>
                <w:rFonts w:ascii="Times New Roman" w:hAnsi="Times New Roman"/>
                <w:color w:val="000000"/>
                <w:sz w:val="20"/>
              </w:rPr>
              <w:t xml:space="preserve"> </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GIX</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7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Rights, to receive one-fifth of one Class A ordinary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GIXXR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rFonts w:ascii="Times New Roman" w:hAnsi="Times New Roman"/>
          <w:sz w:val="20"/>
        </w:rPr>
      </w:pPr>
      <w:r>
        <w:rPr>
          <w:rFonts w:ascii="Times New Roman" w:hAnsi="Times New Roman"/>
          <w:color w:val="000000"/>
          <w:sz w:val="17"/>
        </w:rPr>
        <w:t xml:space="preserve">Securities registered pursuant to Section 12(g) of the Act: </w:t>
      </w:r>
      <w:r>
        <w:rPr>
          <w:rFonts w:ascii="Times New Roman" w:hAnsi="Times New Roman"/>
          <w:b/>
          <w:color w:val="000000"/>
          <w:sz w:val="17"/>
        </w:rPr>
        <w:t>None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the Registrant is a well-known seasoned issuer, as defined in Rule 405 of the Securities Act.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the Registrant is not required to file reports pursuant to Section 13 or 15(d) of the Act.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17"/>
        </w:rPr>
        <w:t xml:space="preserve">.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000000"/>
          <w:sz w:val="17"/>
        </w:rPr>
        <w:t xml:space="preserve">.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w:t>
      </w:r>
      <w:r>
        <w:rPr>
          <w:rFonts w:ascii="Times New Roman" w:hAnsi="Times New Roman"/>
          <w:caps/>
          <w:color w:val="000000"/>
          <w:sz w:val="17"/>
        </w:rPr>
        <w:t>Yes</w:t>
      </w:r>
      <w:r>
        <w:rPr>
          <w:rFonts w:ascii="Times New Roman" w:hAnsi="Times New Roman"/>
          <w:color w:val="000000"/>
          <w:sz w:val="20"/>
        </w:rPr>
        <w:t xml:space="preserve"> ☒ </w:t>
      </w:r>
      <w:r>
        <w:rPr>
          <w:rFonts w:ascii="Times New Roman" w:hAnsi="Times New Roman"/>
          <w:caps/>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color w:val="333333"/>
          <w:sz w:val="17"/>
        </w:rPr>
      </w:pPr>
      <w:r>
        <w:rPr>
          <w:rFonts w:ascii="Times New Roman" w:hAnsi="Times New Roman"/>
          <w:color w:val="333333"/>
          <w:sz w:val="17"/>
        </w:rPr>
        <w:t>The registrant was not a public company as of June 30, 2025 and therefore it cannot calculate the aggregate market value of its common equity held by non-affiliates as of such date.</w:t>
      </w:r>
    </w:p>
    <w:p>
      <w:pPr>
        <w:pStyle w:val="TextBody"/>
        <w:bidi w:val="0"/>
        <w:jc w:val="left"/>
        <w:rPr>
          <w:rFonts w:ascii="Times New Roman" w:hAnsi="Times New Roman"/>
          <w:sz w:val="20"/>
        </w:rPr>
      </w:pPr>
      <w:r>
        <w:rPr>
          <w:rFonts w:ascii="Times New Roman" w:hAnsi="Times New Roman"/>
          <w:color w:val="333333"/>
          <w:sz w:val="17"/>
        </w:rPr>
        <w:t>As of March 30, 2026, 25,688,954</w:t>
      </w:r>
      <w:r>
        <w:rPr>
          <w:rFonts w:ascii="Times New Roman" w:hAnsi="Times New Roman"/>
          <w:color w:val="333333"/>
          <w:sz w:val="20"/>
        </w:rPr>
        <w:t xml:space="preserve"> </w:t>
      </w:r>
      <w:r>
        <w:rPr>
          <w:rFonts w:ascii="Times New Roman" w:hAnsi="Times New Roman"/>
          <w:color w:val="333333"/>
          <w:sz w:val="17"/>
        </w:rPr>
        <w:t>Class A</w:t>
      </w:r>
      <w:r>
        <w:rPr>
          <w:rFonts w:ascii="Times New Roman" w:hAnsi="Times New Roman"/>
          <w:color w:val="000000"/>
          <w:sz w:val="20"/>
        </w:rPr>
        <w:t xml:space="preserve"> </w:t>
      </w:r>
      <w:r>
        <w:rPr>
          <w:rFonts w:ascii="Times New Roman" w:hAnsi="Times New Roman"/>
          <w:color w:val="000000"/>
          <w:sz w:val="17"/>
        </w:rPr>
        <w:t>ordinary shares, par value $0.0001 per share and 10,857,857</w:t>
      </w:r>
      <w:r>
        <w:rPr>
          <w:rFonts w:ascii="Times New Roman" w:hAnsi="Times New Roman"/>
          <w:color w:val="000000"/>
          <w:sz w:val="20"/>
        </w:rPr>
        <w:t xml:space="preserve"> </w:t>
      </w:r>
      <w:r>
        <w:rPr>
          <w:rFonts w:ascii="Times New Roman" w:hAnsi="Times New Roman"/>
          <w:color w:val="000000"/>
          <w:sz w:val="17"/>
        </w:rPr>
        <w:t>Class B ordinary shares, par value $0.0001 per share, were issued and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Shareholder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d_analy">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Shareholder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and_rel">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CERTAIN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References in this Annual Report on Form 10-K (the “Annual Report”) to “we,” “us,” “our,” “GigCapital9” or the “Company” refer to GigCapital9 Corp. References to our “management” or our “management team” refer to our directors and executive officers. References to the “Sponsor” refer to GigAcquisitions9 Corp. References to “initial shareholders” refer to holders of our Sponsor (or non-affiliated investors to which our Sponsor assigns the subscription right for the private placement units and as a result, transfers any founder shares), Lynrock Lake Master Fund LP (“Lynrock”), the GigCapital Global advisors and our directors and officers to the extent they hold the founder shares or insider shares immediately prior to the consummation of this offering, and the non-managing investors. References to “founder shares" refer to the Class B ordinary shares initially purchased by our Sponsor in the private placement prior to the initial public offering and then partially sold to the GigCapital Global advisors and Lynrock and the Class A ordinary shares that will be issued upon the automatic conversion of the Class B ordinary shares at the time our initial business combination. References to “insider shares” refer to 15,000 Class B ordinary shares granted to our Chief Financial Officer. References to “private placement units” refer to the private placement units sold in the private placement closed concurrently with our initial public offering, and references to “private placement shares” and “private placement rights” refer to the Class A ordinary shares and rights to receive one-fifth of one Class A ordinary share upon the consummation of an initial business combination, respectively, underlying the private placement units sold in the private placement. The following discussion and analysis of the Company’s financial condition and results of operations should be read in conjunction with the financial statements and the notes thereto contained elsewhere in this Annual Report. Certain information contained in the discussion and analysis set forth below includes forward-looking statements that involve risks and uncertainties.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Annual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Actual results and shareholders’ value will be affected by a variety of risks and factors, including, without limitation, international, national and local economic conditions, merger, acquisition and business combination risks, financing risks, geo-political risks, acts of terror or war, and those risk factors described under “Item 1A. Risk Factors.” Many of the risks and factors that will determine these results and shareholders’ value are beyond the Company’s ability to control or predict.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such forward-looking statements speak only as of the date of this Annual Report. The Company expressly disclaims any obligation or undertaking to release publicly any updates or revisions to any forward-looking statements contained herein to reflect any change in the Company’s expectations with regard thereto or any change in events, conditions or circumstances on which any such statement is based. All subsequent written or oral forward-looking statements attributable to us or persons acting on the Company’s behalf are qualified in their entirety by this Special Note Regarding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120" w:after="283"/>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Cayman Islands exempted company formed for the purpose of effecting a merger, capital share exchange, asset acquisition, share purchase, reorganization or similar business combination with one or more businesses, which we refer to throughout this Annual Report as our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28, 2026, we consummated an initial public offering (“Offering”) of 25,300,000 units (the “public units”), including the issuance of 3,300,000 public units as a result of the underwriters’ exercise in full of their over-allotment option. Each public unit consists of one Class A ordinary share of the Company (each a “public share”), and one right to receive one-fifth of one Class A ordinary share upon the consummation of an initial business combination (a “public right”). The public units were sold at a price of $10.00 per unit, generating gross proceeds to the Company of $253,000,000.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our Sponsor, GigAcquisitions9 Corp., which is owned by two of our directors, Dr. Avi S. Katz and Dr. Raluca Dinu, together with six GigCapital Global advisors, including three of whom are our directors, Bryan Timm, Raanan Horowitz and Luis Machuca, plus Zeev Weiner, Karen Rogge and Peter Wang, and non-affiliated Lynrock Lake Master Fund LP (“Lynrock”) subscribed pursuant to unit purchase agreements (collectively, the “Unit Purchase Agreements”) to purchase an aggregate of 107,500 private placement units, at a price of $9.7374 per unit, for an aggregate purchase price of $1,046,771. Each unit sold in this private placement consisted of one Class A ordinary share and one right to receive one-fifth of one Class A ordinary share upon the consummation of an initial business combination. The private placement units are identical to the public units sold in the Offering, subject to certain limited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Simultaneously with the closing of the Offering, ten groups of institutional accredited investors (none of which are affiliated with any member of our management, our Sponsor or any other investor), which we refer to as the “non-managing investors,” purchased an aggregate of (a) 3,178,430 Class B ordinary shares at a purchase price per Class B ordinary share of $0.023254, and (b) an aggregate of 281,454 private placement units at a price of $9.7374 per private placement unit, for an aggregate purchase price of $2,814,541. We refer to the 3,178,430 Class B ordinary shares issued to the non-managing investors as “private investor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selected any specific business combination target. Our efforts to identify a prospective target business will not be limited to a particular industry or geographic region, although we intend to focus on companies in the aerospace and defense services (“A&amp;D”) industry and technology, media and telecommunications (“TMT”) industry, including TMT companies focused on cybersecurity and secured communications and quantum-based command and control systems, artificial intelligence (“AI”) and machine learning industries (“ML”). We intend to effectuate our initial business combination using cash from the proceeds of our Offering, the sale of the private placement units, the sale of private investor shares, our common equity or any preferred equity that we may create in accordance with the terms of our charter documents, debt, or a combination of cash, common or preferred equity and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capitalize on the significant experience and contacts of our management team to complete our initial business combination. We believe our management team’s distinctive background and record of acquisition and operational success could have a transformative impact on verified target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has significant hands-on experience helping companies optimize their existing and new growth initiatives. Further, we intend to share best practices and key learnings, gathered from our management team’s operating and investing experience, through their more than 30 years of experience in the public markets and more so the last nine years as repeat sponsors of special purpose acquisition company (“SPAC”) entities, as well as strong relationships in the A&amp;D, TMT, cybersecurity and secured communications and quantum-based command and control systems, AI and ML industries, to help shape corporate strategies. Additionally, our management team has operated and invested in leading global A&amp;D, TMT, cybersecurity and secured communications and quantum-based command and control systems, AI and ML companies across their corporate life cycles and has developed deep relationships with key large multi-national organizations, global leaders and executives, and private and public investors. We believe that these relationships and our management team’s know-how present a significant opportunity to help drive strategic dialogue, access new customer and strategic partner relationships, and achieve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ambitions to unlock value through the business combination closing, as well as following the completion of our initial business combination for a horizon of 3-5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acquisition and value creation strategy is to identify, acquire and, after our initial business combination, further accelerate the growth of a company at the intersection of the A&amp;D services industry and the TMT industry, including TMT companies focused on cybersecurity and secured communications and quantum-based command and control systems, AI and ML, and to contribute to the global A&amp;D and TMT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and TMT industries.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and TMT economy is highly regulated, and there are many legal and regulatory considerations that companies must consider, such as licensing requirements, export controls, and liability issues; our management team’s expertise and track record in the A&amp;D and TMT ecosystem, and all related technologies, will help mitigate these factors by proactively advising potential target companies on navigating these issues.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an acquisition and value creation strategy impacting the global A&amp;D and TMT economy requires a careful and strategic approach. The potential benefits can be significant for companies with the ability to identify and acquire complementary businesses and technologies with synergies through effective integration. Our management team believes that the global A&amp;D and TMT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distinguish ourselves with our ability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Tap into our vast international network of relationships to develop a distinctive pipeline of acquisition opportunities. </w:t>
      </w:r>
      <w:r>
        <w:rPr>
          <w:rFonts w:ascii="Times New Roman" w:hAnsi="Times New Roman"/>
          <w:color w:val="000000"/>
          <w:sz w:val="20"/>
        </w:rPr>
        <w:t>We believe the combination of our Chief Executive Officer’s (“CEO”) industry experience and our directors’ and management’s ability and network of relationships with CEOs, founders, family offices, private equity, hedge 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Revitalize the acquisition target and generate value for shareholders after the business combination. </w:t>
      </w:r>
      <w:r>
        <w:rPr>
          <w:rFonts w:ascii="Times New Roman" w:hAnsi="Times New Roman"/>
          <w:color w:val="000000"/>
          <w:sz w:val="20"/>
        </w:rPr>
        <w:t>Given our management’s 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Show a proven record of successful completions of business combinations</w:t>
      </w:r>
      <w:r>
        <w:rPr>
          <w:rFonts w:ascii="Times New Roman" w:hAnsi="Times New Roman"/>
          <w:color w:val="000000"/>
          <w:sz w:val="20"/>
        </w:rPr>
        <w:t>. We believe that our management team’s track record and experience will provide a distinct advantage for identifying, valuing and completing a business combination that will meet our investors’ expectations. GigCapital9 is the ninth SPAC affiliated with GigCapital Global. Of the nine SPACs, five have completed business combinations, one has entered into a business combination agreement, one was liquidated before completing an initial business combination, and two are seeking a suitable business target, as summarized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 Inc. (“GIG1”), a Private-to-Public Equity (PPE) company formed for the purpose of acquiring a company in the technology, media, and telecommunications (“TMT”) industry, completed its initial public offering in December 2017, in which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GigCapital2, Inc. (“GIG2”),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for $56 million in cash and Cloudbreak Health to an affiliate of GTCR, LLC in March 2024 for $180 million in cash. Following an adverse legal judgment, in September 2023, UpHealth Holdings, Inc., a subsidiary of UpHealth, Inc., filed a voluntary petition for relief under Chapter 11 of the U.S. Bankruptcy Code. In addition, in October 2023, two of UpHealth Holdings’ wholly-owned subsidiaries, Thrasys, Inc. and Behavioral Health Services, LLC, and each of their subsidiaries filed voluntary petitions for relief under Chapter 11 of the U.S. Bankruptcy Code. The Bankruptcy Court confirmed a plan of liquidation for each of these entities on September 11, 2025, and as of this time, there are no longer any operations of UpHealth.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GigCapital3, Inc. (“GIG3”),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 for approximately $10 million in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BigBear.ai Holdings, LLC, following which it was renamed as BigBear.ai Holdings, Inc. (NYSE: BBAI) and continues to trade today.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GigCapital5, Inc. (“GIG5”),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in March 2024, GIG5 successfully completed its business combination with QT Imaging, Inc., following which it was renamed as QT Imaging Holdings, Inc. (Nasdaq: QTI) and continues to trade today.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GIG7 entered into a business combination agreement with Hadron Energy, Inc. on September 27, 2025 and filed a registration statement on Form S-4 with the SEC on November 12, 2025, with the third amendment thereto filed with the SEC on March 11,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GigCapital8 Corp. (“GIG8”), a Private-to-Public Equity (PPE) company formed for the purpose of acquiring a company in the aerospace and defense services industry, cybersecurity and secured communications and quantum-based command and control systems, and artificial intelligence and machine-learning industries, completed its initial public offering in October 2025, in which it sold 25,300,000 units at a per unit price of $10.00, with each unit consisting of one Class A ordinary share and one right to receive one-fifth of one Class A ordinary share of GIG8 upon the consummation of an initial business combination, generating $253 million. GIG8 listed on Nasdaq under the symbol “GIW” and is currently looking for a suitable acquisition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the foregoing examples, the past performance of the members of our management team or their affiliates, including with respect to GIG1, GIG2, GIG3, GIG4, GIG5, GIG7 and GIG8,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 efficient de-SPAC process. You should not rely on the historical record of the performance of our management or any of its affiliates’ performance, including GIG1, GIG2, GIG3, GIG4, GIG5, GIG7 and GIG8, as indicative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performance. Members of our management team and their affiliates are likely to form other Private-to-Public Equity (PPE) companies prior to the completion of our initial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our strategy, we have identified general criteria and guidelines that we believe are important in evaluating prospective target businesses and, when evaluating a prospective target business,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 target business that does not meet any or all of these criteria or guidelines: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embrace today’s digital transformation and intelligent automation.</w:t>
      </w:r>
      <w:r>
        <w:rPr>
          <w:color w:val="000000"/>
        </w:rPr>
        <w:t xml:space="preserve"> </w:t>
      </w:r>
      <w:r>
        <w:rPr>
          <w:rFonts w:ascii="Times New Roman" w:hAnsi="Times New Roman"/>
          <w:color w:val="000000"/>
          <w:sz w:val="20"/>
        </w:rPr>
        <w:t>We will seek acquisition candidates active in the A&amp;D services industry and the TMT industry, including TMT companies focused on cybersecurity and secured communications and quantum-based command and control systems,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will benefit from a public listing.</w:t>
      </w:r>
      <w:r>
        <w:rPr>
          <w:color w:val="000000"/>
        </w:rPr>
        <w:t xml:space="preserve"> </w:t>
      </w:r>
      <w:r>
        <w:rPr>
          <w:rFonts w:ascii="Times New Roman" w:hAnsi="Times New Roman"/>
          <w:color w:val="000000"/>
          <w:sz w:val="20"/>
        </w:rPr>
        <w:t>We will focus on partners looking to move to the next level through a public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will benefit from our industry expertise and relationships.</w:t>
      </w:r>
      <w:r>
        <w:rPr>
          <w:color w:val="000000"/>
        </w:rPr>
        <w:t xml:space="preserve"> </w:t>
      </w:r>
      <w:r>
        <w:rPr>
          <w:rFonts w:ascii="Times New Roman" w:hAnsi="Times New Roman"/>
          <w:color w:val="000000"/>
          <w:sz w:val="20"/>
        </w:rPr>
        <w:t>We will seek companies that will be best positioned to 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and TMT industries, including, cybersecurity and secured communications and quantum-based command and control systems,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that are market-leading participants.</w:t>
      </w:r>
      <w:r>
        <w:rPr>
          <w:color w:val="000000"/>
        </w:rPr>
        <w:t xml:space="preserve"> </w:t>
      </w:r>
      <w:r>
        <w:rPr>
          <w:rFonts w:ascii="Times New Roman" w:hAnsi="Times New Roman"/>
          <w:color w:val="000000"/>
          <w:sz w:val="20"/>
        </w:rPr>
        <w:t>We will seek an acquisition target that has an established business and market position. While we will focus on the A&amp;D services industry and the TMT industry, including TMT companies focused on cybersecurity and secured communications and quantum-based command and control systems, AI and ML, we will not seek a target that is pre-revenue or in early stages of development with unproven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Companies with strong management.</w:t>
      </w:r>
      <w:r>
        <w:rPr>
          <w:color w:val="000000"/>
        </w:rPr>
        <w:t xml:space="preserve"> </w:t>
      </w:r>
      <w:r>
        <w:rPr>
          <w:rFonts w:ascii="Times New Roman" w:hAnsi="Times New Roman"/>
          <w:color w:val="000000"/>
          <w:sz w:val="20"/>
        </w:rPr>
        <w:t xml:space="preserve">We will prioritize entities with well-established, proven and talented management teams that 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Sources of Target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evaluate opportunities that are sourced through the relationship networks of Dr. Katz and our combined management and advisory team, which includes numerous entrepreneurs, management teams, intermediaries and venture capital funds. Dr. Katz and our combined management and advisory team have considerable expertise in the evaluation of technology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based on our combined team’s business knowledge and past experience that there are numerous acquisition candidates. Our principal means of identifying potential target businesses is through the extensive contacts and relationships of our combined management team and advisory team. Although our Sponsor, GigAcquisitions9 Corp. (“Sponsor”), executive officers and directors are not required to commit any specific amount of time in identifying or performing due diligence on potential target businesses, our Sponsor, executive officers and directors, as augmented by our advisors, believe that the relationships they have developed over their careers and their access to their contacts and resources generate a number of potential business combination opportunities that can warrant further investigation. We also anticipate that target business candidates may also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our filings with the Securities and Exchange Commission (the “SEC”) and know what types of businesses we are targeting. Our Sponsor, executive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Market Value of Target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target business or businesses that we acquire must collectively have a fair market value equal to at least 80% of the balance of the funds in the trust account (excluding any taxes payable on the interest earned, if any) at the time of the execution of a definitive agreement for our initial business combination, although we may acquire a target business whose fair market value significantly exceeds 80% of the trust account balance. Such initial business combination must be approved by a majority of the Company’s 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anticipate structuring a business combination involving 100% of the equity interests or assets of the target business or businesses. We may, however, structure our initial business combination where we merge directly with the target business or involving less than 100% of such interests or assets of the target business in order to meet certain objectives of the target management team or shareholder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shareholders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Status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structure makes us an attractive business combination partner to target businesses. As an existing public company, we offer a target business an alternative to the traditional initial public offering (“IPO”) through a merger or other business combination. In this situation, the owners of the target business would exchange their shares in the target business for shares or other securities or for a combination of shares, other securities and cash, allowing us to tailor the consideration to the specific needs of the sellers. We believe target businesses might find this method a more certain and cost-effective method to becoming a public company than the typical IPO. In a typical IPO, there are additional expenses incurred in marketing, roadshow and public reporting efforts that may not be present to the same extent in connection with a business combination with us. Furthermore, once the business combination is consummated, the target business will have effectively become public, whereas an IPO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shareholders’ interests than it would have as a privately-held company. It can offer further benefits by augmenting a company’s profile among potential new customers and vendors and aid in attracting talented employees. However, there is currently no market for the target company’s securities and a market for the target company’s securities may not develop. As a result, this purported benefit may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our status as a public company will make us an attractive business partner, some potential target businesses may view the inherent limitations in our status as a blank check company as a deterrent and may prefer to effect a business combination with a more established entity or with a private company. These inherent limitations include limitations on our available financial resources, which may be inferior to those of other entities pursuing the acquisition of similar target businesses; the requirement that we seek shareholder approval of a business combination or conduct a tender offer in relation thereto, which may delay the consummation of a transaction; and the existence of our outstanding rights and units, which may represent a source of future dilution.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funds available for a business combination as of the closing of the Offering of $253,000,000, assuming no redemptions, we can offer the target business a means to fund future expansion and growth of its business. Because we are able to consummate a business combination using the cash proceeds in our trust account, debt or a combination of the foregoing, we have the flexibility to use an efficient structure allowing us to tailor the consideration to be paid to the target business to address the needs of the parties. However, if a business combination requires us to use substantially all of our cash to pay for the purchase price, we may need to arrange third party financing to help fund our business combination. Since we have no specific business combination under consideration, we have not taken any steps to secure third-party financing. Accordingly, our flexibility in structuring a business combination may be subject to constraints resulting from a need to finance such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Lack of Business Diversification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not have the resources to diversify our operations and mitigate the risks of being in a single line of business. By consummating our initial business combination with only a single entity, our lack of diversification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us to negative economic, competitive and regulatory developments, any or all of which may have a substantial adverse impact on the particular industry in which we operate after our initial business combination,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us to depend on the marketing and sale of a single product or limited number of products or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Limited Ability to Evaluate a Target’s Management Team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intend to closely scrutinize the management of a prospective target business when evaluating the desirability of effecting our initial business combination with that business, our assessment of a target business’ management may not prove to be correct. Moreover, members of our management team may not have significant experience or knowledge relating to the operations of the particular target business. The future role of members of our management team, if any, in a post-transaction company cannot presently be stated with any certainty. Consequently, members of our management team may not become a part of the post-transaction company’s management team or serve it in board of directors or advisory positions, and the future management may not have the necessary skills, qualifications or abilities to manage a public company. Further, it is also not certain whether one or more of our directors will remain associated with the post-transaction company in some capacity following our initial business combination. The determination as to whether any of our key personnel will remain with the combined company will be made at the time of our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our initial business combination, we may seek to recruit additional managers to supplement the incumbent management of the target business. However, we may not have the ability to recruit additional managers, or to locate additional managers who will have the requisite skills, knowledge or experience necessary to enhance the incumbent management.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Shareholders May Not Have the Ability to Approve Our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any proposed business combination, 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(net of taxes payable), or (2) provide our shareholders with the opportunity to sell their shares to us by means of a tender offer (and thereby avoid the need for a shareholder vote) for an amount equal to their pro rata share of the aggregate amount then on deposit in the trust account (net of taxes payable), in each case subject to the limitations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seek shareholder approval if it is required by applicable law or stock exchange listing requirement, provided, that we may also decide to seek shareholder approval for business or other reasons.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Nasdaq listing rules, shareholder approval would be required for our initial business combination if,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issue (other than in a public offering for cash) ordinary shares that will either (a) be equal to or in excess of 20% of the number of ordinary shares then outstanding or (b) have voting power equal to or in excess of 20% of the voting power then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directors, officers or substantial security holders (as defined by the Nasdaq rules) has a 5% or greater interest, directly or indirectly, in the target business or assets to be acquired and if the number of ordinary shares to be issued, or if the number of ordinary shares into which the securities may be convertible or exercisable, exceeds 5% of the number of ordinary shares or 5% of the voting power outstanding before the issuance in the case of any substantial security holders;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issuance or potential issuance of ordinary shares will result in our undergoing a change of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determine to engage in a tender offer, such tender offer will be structured so that each shareholder may tender any or all of his, her or its shares rather than some pro rata portion of his, her or its shares. The decision as to whether we will seek shareholder approval of a proposed business combination or will allow shareholders to sell their shares to us in a tender offer will be made by us, solely in our discretion, and will be based on business and legal reasons, which include a variety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proposed transaction, including in the event we determine shareholder approval would require additional time and there is either not enough time to seek shareholder approval or doing so would place us at a disadvantage in the transaction or result in other additional burdens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cost of holding a shareholder vote;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our shareholders would fail to approve the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time and budget constraints;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legal complexities of an initial business combination that would be time-consuming and burdensome to present to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other blank check companies which require shareholder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shareholder vote and allow our shareholders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if we seek shareholder approval, a majority of the ordinary shares voted at a shareholder meeting are voted in favor of the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Redemption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any meeting called to approve an initial business combination, public shareholders may seek to redeem their public shares, regardless of whether they vote for or against the proposed business combination, by converting such shares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net of taxes). Alternatively, we may provide our public shareholders with the opportunity to sell their public shares to us through a tender offer (and thereby avoid the need for a shareholder vote) for an amount equal to their pro rata share of the aggregate amount then on deposit in the trust account, less any taxes then due but not yet paid. Our Sponsor, executive officers and directors have each entered into a letter agreement with us, pursuant to which they have agreed to waive their redemption rights with respect to founder shares, insider shares, private placement shares and any Class A ordinary shares issuable upon conversion thereof in connection with the completion of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non-managing investors that hold private investor shares and private placement units are not required to (i) hold any public units, public shares or public rights they purchased in the Offering or may purchase thereafter for any amount of time, (ii) vote any public shares they may own at the applicable time in favor of our initial business combination (although the non-managing investors have agreed to vote their private investor shares and private placement units in favor of an initial business combination), or (iii) refrain from exercising their right to redeem their public shares at the time of our initial business combination. The non-managing investors have the same rights to the funds held in the trust account with respect to the public shares comprising part of the public units they purchased in the Offering as the rights afforded to our other public shareholders. However, if the non-managing investors purchased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require public shareholders seeking redemption, whether they are a record holder or hold their shares in “street name,” to either (i) tender their certificates to our transfer agent or (ii) deliver their shares to the transfer agent electronically using the Depository Trust Company’s (“DTC”) DWAC (Deposit/Withdrawal At Custodian) System, at the holder’s option, in each case prior to a date set forth in the proxy materials sent in connection with the proposal to approve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nominal cost associated with the above-referenced delivery process and the act of certificating the shares or delivering them through the DWAC System. The transfer agent will typically charge the tendering broker $80.00 and it would be up to the broker whether or not to pass this cost on to the holder. This fee would be incurred regardless of whether or not we require holders seeking to exercise redemption rights to do so prior to the time that we know that the proposed business combination will be consummated. The need to deliver shares is a requirement of exercising redemption rights regardless of the timing of when such delivery must be effectuated. Thus, in the event we require shareholders seeking to exercise redemption rights to deliver their shares prior to the consummation of the proposed business combination and the proposed business combination is not consummated, this may result in an increased cost to shareholders.</w:t>
      </w:r>
    </w:p>
    <w:p>
      <w:pPr>
        <w:pStyle w:val="TextBody"/>
        <w:bidi w:val="0"/>
        <w:spacing w:before="240" w:after="283"/>
        <w:jc w:val="left"/>
        <w:rPr>
          <w:rFonts w:ascii="Times New Roman" w:hAnsi="Times New Roman"/>
          <w:sz w:val="20"/>
        </w:rPr>
      </w:pPr>
      <w:r>
        <w:rPr>
          <w:rFonts w:ascii="Times New Roman" w:hAnsi="Times New Roman"/>
          <w:color w:val="000000"/>
          <w:sz w:val="20"/>
        </w:rPr>
        <w:t>Any proxy solicitation materials we furnish to shareholders in connection with a vote for any proposed business combination will indicate whether we are requiring shareholders to satisfy such certification and delivery requirements. Accordingly, a shareholder would have from the time the shareholder received our proxy statement up until the time designated in the proxy statement to deliver his, her or its shares if he, she or it wishes to seek to exercise his, her or its redemption rights. This time period varies depending on the specific facts of each transaction. However, as the delivery process can be accomplished by the shareholder, whether or not he, she or it is a record holder or his, her or its shares are held in “street name,” in a matter of hours by simply contacting the transfer agent or his, her or its broker and requesting delivery of his, her or its shares through the DWAC System, we believe this time period is sufficient for an average investor. However, we cannot assure you of this fact. Please see the risk factor titled “</w:t>
      </w:r>
      <w:r>
        <w:rPr>
          <w:rFonts w:ascii="Times New Roman" w:hAnsi="Times New Roman"/>
          <w:i/>
          <w:color w:val="000000"/>
          <w:sz w:val="20"/>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hAnsi="Times New Roman"/>
          <w:color w:val="000000"/>
          <w:sz w:val="20"/>
        </w:rPr>
        <w:t xml:space="preserve"> for further information on the risks of failing to comply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is different from the procedures historically used by some blank check companies. Traditionally, in order to perfect redemption rights in connection with a blank check company’s business combination, the Company would distribute proxy materials for the shareholders’ vote on an initial business combination, and a holder could simply vote against a proposed business combination and check a box on the proxy card indicating such holder was seeking to exercise his, her or its redemption rights. After the business combination was approved, the Company would contact such shareholder to arrange for him, her or it to deliver his, her or its certificate to verify ownership. As a result, the shareholder then had an “option window” after the consummation of the business combination during which he, she or it could monitor the price of the Company’s stock in the market. If the price rose above the conversion price, he could sell his, her or its shares on the open market before actually delivering his, her or its shares to the Company for cancellation. As a result, the redemption rights, to which shareholders were aware they needed to commit before the shareholder meeting, would become a “continuing” right surviving past the consummation of the business combination until the holder delivered his, her or its certificate or shares. The requirement for physical or electronic delivery prior to the meeting ensures that a holder’s election to convert his, her or its shares is irrevocable once the business combination is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request to redeem such shares once made, may be withdrawn at any time up to the vote on the proposed business combination. Furthermore, if a holder of a public share delivered his, her or its certificate or shares in connection with an election of such shares’ redemption and subsequently decides prior to the vote on the proposed business combination not to elect to exercise such rights, he, she or it may simply request that the transfer agent return the certificate or shares (physically or electronically).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initial business combination is not approved or completed for any reason, then our public shareholders who elected to exercise their redemption rights would not be entitled to redeem their shares for the applicable pro rata share of the trust account as of two business days prior to the consummation of the initial business combination. In such case, we will promptly return any certificates or shares delivered by public holders. Furthermore, if the initial business combination is not approved or completed for any reason, then our public shareholders who elected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exercise their redemption rights will not be entitled to convert their shares into a full pro rata portion of the trust account, as applicable. We will thereafter promptly return any shares delivered by public shareholders. In such case, public shareholders may only share in the assets of the trust account upon our liquidation. This may result in public shareholders receiving less than they would have received if the business combination was completed and they had exercised redemption rights in connection therewith due to potential claims of creditors. If we would be left with less than $5,000,001 of net tangible assets as a result of the holders of public shares properly demanding redemption of their shares, we will likely be unable to consummate a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Liquidation if No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memorandum and articles of association provide that we will have only 24 months from the closing of the Offering to complete an initial business combination. If we have not completed an initial business combination by such date, we will (i) cease all operations except for the purpose of winding up, (ii) as promptly as reasonably possible but not more than ten (10) business days thereafter, redeem 100% of the outstanding public shares, at a per-share price, payable in cash, equal to the aggregate amount then on deposit in the trust account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the case of (ii) and (iii) above) to our obligations under the Cayman Islands law to provide for claims of creditors and the requirements of other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Sponsor, executive officers and directors have agreed that they will not propose any amendment to our amended and restated memorandum and articles of association that would stop our public shareholders from converting or selling their public shares to us in connection with a business combination or affect the substance or timing of our obligation to redeem 100% of our public shares if we do not complete a business combination within 24 months from the closing of the Offering unless we provide our public shareholders with the opportunity to redeem their public shares upon such approval at a per-share price, payable in cash, equal to the aggregate amount then on deposit in the trust account, net of franchise and income taxes payable, divided by the number of then outstanding public shares. This redemption right shall apply in the event of the approval of any such amendment, whether proposed by our Sponsor, any executive officer, director or director nominee, or any other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non-managing investors are not required to (i) hold any public units, public shares or public rights they purchased in the Offering or may purchase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have the same rights to the funds held in the trust account with respect to the public shares comprising part of the public units they purchased in the Offering as the rights afforded to our other public shareholders. However, since the non-managing investors purchased certain public units in the Offering for which they expressed to us an interest and assuming they will continue holding such units at the time of an initial business combination, the non-managing investors will have different interests than our other public shareholders in approving our initial business combination and otherwise exercising their rights as public shareholders because of their ownership of private investor shares and private placement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to use our reasonable best efforts to have all third parties (including any vendors or other entities we engage after the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(net of taxes and less $100,000 for dissolution expenses) to our public shareholders.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notifying the trustee of the trust account to begin liquidating such assets promptly after such date and anticipate it will take no more than ten (10) business days to effectuate such distribution. Our initial shareholders have waived their rights to participate in any liquidation distribution with respect to the founder shares, private investor shares and private placement shares. We will pay the costs of any subsequent liquidation from our remaining assets outside of the trust account and the interest earned on the funds held in the trust account that we are permitted to withdraw to pay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complete an initial business combination and expend all of the net proceeds of the Offering,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public shareholders shall be entitled to receive funds from the trust account only in the event of our failure to complete a business combination within the required time period or if the shareholders seek to have us redeem or purchase their respective shares upon a business combination which is actually completed by us or upon certain amendments to our chartered documents as described elsewhere herein. In no other circumstances shall a shareholder have any right or interest of any kind to or in the trust account.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insiders and non-managing investors will not participate in any redemption distribution from our trust account with respect to their founder shares, private investor shares and private placement shares. Additionally, any loans made by our officers, directors, Sponsor or their affiliates for working capital needs will be forgiven and not repaid if we are unable to complete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make any assurance of the amount we will be able to return to our public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forced to file a bankruptcy case or an involuntary bankruptcy case is filed against us which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Furthermore, because we intend to distribute the proceeds held in the trust account to our public shareholders promptly after 24 months from the closing of the Offering, this may be viewed or interpreted as giving preference to our public shareholders over any potential creditors with respect to access to or distributions from our assets. Furthermore, our board of directors may be viewed as having breached their fiduciary duties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Amended and Restated Memorandum and Articles of Association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contain certain requirements and restrictions relating to the Offering that will apply to us until the consummation of our initial business combination. These provisions cannot be amended without the approval of a majority of our shareholders. If we seek to amend any provisions of our amended and restated memorandum and articles of association that would stop our public shareholders from converting or selling their shares to us in connection with a business combination or affect the substance or timing of our obligation to redeem 100% of our public shares if we do not complete a business combination within 24 months from the closing of the Offering, we will provide dissenting public shareholders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opportunity to convert their public shares in connection with any such vote. This redemption right shall apply in the event of the approval of any such amendment, whether proposed by our Sponsor, any executive officer, director or director nominee, or any other person. Our initial shareholders have agreed to waive any redemption rights with respect to their founder shares, private investor shares and private placement shares held by them, in each case in connection with any vote to amend our amended and restated memorandum and articles of association. Specifically, our amended and restated memorandum and articles of association provide, among other things,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shall either (1) seek shareholder approval of our initial business combination at a meeting called for such purpose at which shareholders may seek to redeem their shares, regardless of whether they vote for or against the proposed business combination, into their pro rata share of the aggregate amount then on deposit in the trust account (net of taxes payable), or (2) provide our shareholders with the opportunity to sell their shares to us by means of a tender offer (and thereby avoid the need for a shareholder vote) for an amount equal to their pro rata share of the aggregate amount then on deposit in the trust account (net of taxes payable), in each case subject to the limitations described herein;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initial business combination is not consummated within 24 months from the closing of the Offering then we will redeem all of the outstanding public shares and thereafter liquidate and dissolve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consummation of the Offering, $253,000,000 has been placed into the trust account;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business combination, we may not issue additional shares that participates in any manner in the proceeds of the trust account, or that votes as a class with the public shares sold in the Offering on any matter.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Although we believe there may be numerous potential target businesses that we could acquire with the net proceeds of the Offering, our ability to compete in acquiring certain sizable target businesses may be limited by our available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also may not be viewed favorably by certain target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 to seek shareholder approval of a business combination or engage in a tender offer may delay the completion of a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 to redeem Class A ordinary shares held by our public shareholders may reduce sources available to us for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two executive officers. The amount of time they will devote in any time period will vary based on whether a target business has been selected for the business combination and the stage of the business combination process the Company is in. Accordingly, once a suitable target business to acquire has been located,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will spend more time investigating such target business and negotiating and processing the business combination (and consequently spend more time on our affairs) than had been spent prior to locating a suitable target business. Our executive officers devote such amount of time as they reasonably believe is necessary to our business. We do not intend to have any full-time employees prior to the consummation of a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Periodic Reporting and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registered our public units, public shares and public rights under the Exchange Act and have reporting obligations, including the requirement that we file annual, quarterly and current reports with the SEC. In accordance with the requirements of the Exchange Act, this Annual Report contains financial statements audited and reported on by our independent registered public accountants.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provide shareholders with audited financial statements of the prospective target business as part of any proxy solicitation materials or tender offer documents sent to shareholders to assist them in assessing the target business. These financial statements will need to be prepared in accordance with or reconciled to accounting principles generally accepted in the United States (“GAAP”) or international financial reporting standards (“IFRS”), as issued by the International Accounting Standards Board.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required to assess our internal control procedures until the fiscal year ending December 31, 2027 as required by the Sarbanes-Oxley Act of 2002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are a blank check company with no operating history and no revenues, and you have no basis on which to evaluate our ability to achieve our business objective.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public shareholders may not be afforded an opportunity to vote on our proposed business combination, and even if we hold a vote, our initial shareholders will participate in such vote, which means we may consummate our initial business combination even though a majority of our public shareholders do not support such a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we seek shareholder approval of our initial business combination, our initial shareholders have agreed to vote their Class B ordinary shares and private placement shares, which constitutes approximately 30.8% of the issued and outstanding ordinary shares following our Offering, in favor of such initial business combination, regardless of how our public shareholders vote. If any of the non-managing investors purchase public units, our initial shareholders will beneficially own a greater amount of the 36,546,811 ordinary shares of the Company that are issued and outstanding shares following our Offering than 30.8%,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Your only opportunity to effect your investment decision regarding a potential business combination may be limited to the exercise of your right to redeem your shares from us for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requirement that we complete our initial business combination within 24 months from the closing of our Offering may give potential target businesses leverage over us in negotiating our initial business combination which could undermine our ability to consummate our initial business combination on terms that would produce value for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may not be able to consummate our initial business combination within the required time period, in which case we would cease all operations except for the purpose of winding up and we would redeem our public shares and liquidate.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As the number of SPACs evaluating targets increases, and other issued SPAC entities may come to market with superior terms for the acquisition targets, attractive targets may become scarcer and there may be more competition for attractive targets. potentially increasing the cost of, or impairing our ability to consummate, our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Because of our limited resources and the significant competition for business combination opportunities, it may be more difficult for us to complete our initial business combination. If we are unable to complete our initial business combination, our public shareholders may only receive approximately $10.00 per share, or less in certain circumstances, on our redemption of their shares, and our rights will expire worthless.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None of the non-managing investors purchased any of the public units in the Offering or have expressed an interest in after the closing on the open market, but if they do so, although it may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affect our ability to meet Nasdaq listing requirements or maintain such listing, it may reduce the trading volume, volatility and liquidity for our public shares, if the non-managing investors choose post Offering not to trade any public shares that they acquired in the Offering or otherwise, and it may adversely affect the trading price of our public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the net proceeds of the Offering and the sale of the private investor shares and private placement units not being held in the trust account are insufficient to allow us to operate for at least the next 24 months from the closing of the Offering, we may be unable to complete our initial business combination, and we will depend on loans from our Sponsor or management team to fund our search and to complete our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third parties bring claims against the company, the proceeds held in trust could be reduced and the per-share redemption price received by shareholders may be less than $10.00 per share.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grant of registration rights to our initial shareholders, including the non-managing investors, may make it more difficult to complete our initial business combination, and the future exercise of such rights may adversely affect the market price of our public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Because we are not limited to any particular business or specific geographic location or any specific target businesses with which to pursue our initial business combination, you will be unable to ascertain the merits or risks of any particular target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may seek acquisition opportunities outside the A&amp;D and TMT industries, including TMT companies focused on cybersecurity and secured communications and quantum-based command and control systems, AI and ML, which may be outside of our management’s areas of expertise.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may only be able to complete one business combination with the proceeds of the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initial shareholders will control a substantial interest in us and thus may influence certain actions requiring a shareholder vote.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Redeeming shareholders may be unable to sell their securities when they wish to in the event that the proposed business combination is not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are likely to be treated as a passive foreign investment company (“PFIC”), which could result in adverse U.S. federal income tax consequences to U.S. investors. </w:t>
      </w:r>
    </w:p>
    <w:p>
      <w:pPr>
        <w:pStyle w:val="TextBody"/>
        <w:bidi w:val="0"/>
        <w:jc w:val="left"/>
        <w:rPr>
          <w:rFonts w:ascii="Times New Roman" w:hAnsi="Times New Roman"/>
          <w:color w:val="000000"/>
          <w:sz w:val="20"/>
        </w:rPr>
      </w:pPr>
      <w:r>
        <w:rPr>
          <w:rFonts w:ascii="Times New Roman" w:hAnsi="Times New Roman"/>
          <w:color w:val="000000"/>
          <w:sz w:val="20"/>
        </w:rPr>
        <w:t xml:space="preserve"> If we are unable to consummate our initial business combination within 24 months from the closing of the Offering, our public shareholders may be forced to wait beyond such period before redemption from our trust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investment in our securities, and certain subsequent transactions with respect to our securities, may result in uncertain or adverse U.S. federal income tax consequences for an investor.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Transactions in connection with or in anticipation of our initial business combination and our structure thereafter may not be tax-efficient to our shareholders and rights holders. As a result of our initial business combination, our tax obligations may be more complex, burdensome and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other risks and uncertainties discussed in “Risk Factors” and elsewhere in this Annual Report.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Relating to our Search for, and Consummation of or Inability to Consummate, a Business Combination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20"/>
        </w:rPr>
        <w:t>Our public shareholders may not be afforded an opportunity to vote on our proposed business combination, and even if we hold a vote, holders of our founder shares, private investor shares and private placement shares will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participate in such vote, which means we may consummate our initial business combination even though a majority of our public shareholders do not support such a combination.</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We may choose not to hold a shareholder vote to approve our initial business combination unless the business combination would require shareholder approval under applicable law or stock exchange rules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to a target business as consideration in any business combination. Therefore, if we were structuring a business combination that required us to issue more than 20% of our issued and outstanding shares, we would seek shareholder approval of such business combination. However, except as required by applicable law or stock exchange rules,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issued and outstanding ordinary shares do not approve of the business combination we consummate. Our Sponsor controls a substantial interest in us and thus may exert a substantial influence on actions requiring a shareholder vote, potentially in a manner that you do not support. </w:t>
      </w:r>
    </w:p>
    <w:p>
      <w:pPr>
        <w:pStyle w:val="TextBody"/>
        <w:bidi w:val="0"/>
        <w:spacing w:before="280" w:after="283"/>
        <w:jc w:val="left"/>
        <w:rPr>
          <w:rFonts w:ascii="Times New Roman" w:hAnsi="Times New Roman"/>
          <w:sz w:val="20"/>
        </w:rPr>
      </w:pPr>
      <w:r>
        <w:rPr>
          <w:rFonts w:ascii="Times New Roman" w:hAnsi="Times New Roman"/>
          <w:i/>
          <w:color w:val="000000"/>
          <w:sz w:val="20"/>
        </w:rPr>
        <w:t>If we seek shareholder approval of our initial business combination, our initial shareholders have agreed to vote their Class B ordinary shares and private placement shares, which constitutes approximately 30.8% of the issued and outstanding ordinary shares following our Offering, in favor of such initial business combination, regardless of how our public shareholders vote. If any of the non-managing investors purchase public units, our initial shareholders will beneficially own a greater amount of the 36,546,811 ordinary shares of the Company that are issued and outstanding shares following the Offering than 30.8%,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Following our Offering, our initial shareholders, and their permitted transferees, beneficially own approximately 30.8% of the issued and outstanding ordinary shares at the time of any such shareholder vote (assuming none of the initial shareholders purchases any public units in the Offering after the closing on the open market). Our initial shareholders and management team also may from time to time purchase public units or public shares prior to our initial business combination. The non-managing investors purchased public units in the Offering and assuming none of them will trade such public units after the closing, or they subsequently acquire public units in open-market trades, the initial shareholders will beneficially own more than 30.8% of the issued and outstanding ordinary shares at the time of any shareholder vote. Our amended and restated memorandum and articles of association provide that, if we seek shareholder approval of an initial business combination, such initial business combination will be approved if we receive an ordinary resolution under Cayman Islands law and our amended and restated memorandum and articles of association, which require the affirmative vote of at least a majority of the votes cast by such shareholders as, being entitled to do so, vote in person or, where proxies are allowed, by proxy at the applicable general meeting of the Company. Our initial shareholders (and their permitted transferees) have agreed, pursuant to the terms of the agreements entered into with us, to vote their founder shares, private investor shares and private placement shares in favor of our initial business combination, but not any public shares that the non-managing investors may purchase in the Offering or after the closing on the open market. As a result, in addition to the Class B ordinary shares and private placement shares held by our initial shareholders, we would need approximately 7,026,595 public shares, or approximately 19.2% of the 25,300,000 public shares sold in the Offering to be voted in favor of a transaction (assuming all issued and outstanding shares are voted) in order to have such initial business combination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any non-managing investors purchased public units in the Offering or if the non-managing investors purchase public units after the closing on the open market,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or holdings of units by the non-managing investors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negatively impact our ability to meet Nasdaq listing eligibility requirements. We do not expect any of the non-managing investors to hold more than 9.9% of the public units sold in the Offering. The underwriters received the same upfront discounts and commissions on public units purchased by the non-managing investors in the Offering, if any, as it did on the other public units sold to the public in the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the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the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the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please see “— </w:t>
      </w:r>
      <w:r>
        <w:rPr>
          <w:rFonts w:ascii="Times New Roman" w:hAnsi="Times New Roman"/>
          <w:i/>
          <w:color w:val="000000"/>
          <w:sz w:val="20"/>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Assuming that only the holders of one-third of our issued and outstanding ordinary shares, representing a quorum under our amended and restated memorandum and articles of association, vote their ordinary shares at a general meeting of the Company, we will not need any public shares in addition to our founder shares to be voted in favor of an initial business combination in order to approve an initial business combination. However, if our initial business combination is structured as a statutory merger or consolidation with another company under Cayman Islands law, the approval of our initial business combination will require a special resolution, which requires the affirmative vote of at least two-thirds of the votes cast by such shareholders as, being entitled to do so, vote in person or, where proxies are allowed, by proxy at the applicable general meeting of the Company. Accordingly, if we seek shareholder approval of our initial business combination, the agreement by our initial shareholders to vote their founder shares, private investor shares and private placement shares in favor of our initial business combination will increase the likelihood that an ordinary resolution will be passed, being the requisite shareholder approval for such initial business combination. </w:t>
      </w:r>
    </w:p>
    <w:p>
      <w:pPr>
        <w:pStyle w:val="TextBody"/>
        <w:bidi w:val="0"/>
        <w:spacing w:before="280" w:after="283"/>
        <w:jc w:val="left"/>
        <w:rPr>
          <w:rFonts w:ascii="Times New Roman" w:hAnsi="Times New Roman"/>
          <w:sz w:val="20"/>
        </w:rPr>
      </w:pPr>
      <w:r>
        <w:rPr>
          <w:rFonts w:ascii="Times New Roman" w:hAnsi="Times New Roman"/>
          <w:i/>
          <w:color w:val="000000"/>
          <w:sz w:val="20"/>
        </w:rPr>
        <w:t>Your only opportunity to affect the investment decision regarding a potential business combination may be limited to the exercise of your right to redeem your shares from us for cash.</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At the time of your investment in us, you will not be provided with an opportunity to evaluate the specific merits or risks of one or more target businesses. Because our board of directors may consummate our initial business combination without seeking shareholder approval, public shareholders may not have the right or opportunity to vote on the business combination, unless we seek such shareholder vote.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i/>
          <w:color w:val="000000"/>
          <w:sz w:val="20"/>
        </w:rPr>
        <w:t>The ability of our public shareholders to redeem their shares for cash may make our financial condition unattractive to potential business combination targets, which may make it difficult for us to enter into our initial business combination with a target.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enter into a transaction agreement with a prospective target that requires as a closing condition that we have a minimum net worth or a certain amount of cash. If too many public shareholders exercise their redemption rights, we may not be able to meet such closing condition, and as a result, would not be able to proceed with such business combination. Our amended and restated memorandum and articles of association require us to provide all of our public shareholders with an opportunity to redeem all of their shares in connection with the consummation of any initial business combination.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The effect of this dilution will be greater for shareholders who do not redeem. We may not be able to generate sufficient value from the completion of our initial business combination in order to overcome the dilutive impact of these and other factors, and, accordingly, you may incur a net loss on your investment. Please see “ — </w:t>
      </w:r>
      <w:r>
        <w:rPr>
          <w:rFonts w:ascii="Times New Roman" w:hAnsi="Times New Roman"/>
          <w:i/>
          <w:color w:val="000000"/>
          <w:sz w:val="20"/>
        </w:rPr>
        <w:t>The nominal purchase price paid by our designated investors for the founder shares and paid by the non-managing investors for the private investor shares, as well as the grant of the insider shares to our Chief Financial Officer, in addition to the sale of private placement units to the designated investors and the non-managing investors, may result in significant dilution to the implied value of your public shares upon the consummation of our initial business combination.</w:t>
      </w:r>
      <w:r>
        <w:rPr>
          <w:rFonts w:ascii="Times New Roman" w:hAnsi="Times New Roman"/>
          <w:color w:val="000000"/>
          <w:sz w:val="20"/>
        </w:rPr>
        <w:t xml:space="preserve">.” The above considerations may limit our ability to complete the most desirable business combination available to us or optimize our capital structure. </w:t>
      </w:r>
    </w:p>
    <w:p>
      <w:pPr>
        <w:pStyle w:val="TextBody"/>
        <w:bidi w:val="0"/>
        <w:spacing w:before="240" w:after="283"/>
        <w:jc w:val="left"/>
        <w:rPr>
          <w:rFonts w:ascii="Times New Roman" w:hAnsi="Times New Roman"/>
          <w:sz w:val="20"/>
        </w:rPr>
      </w:pPr>
      <w:r>
        <w:rPr>
          <w:rFonts w:ascii="Times New Roman" w:hAnsi="Times New Roman"/>
          <w:i/>
          <w:color w:val="000000"/>
          <w:sz w:val="20"/>
        </w:rPr>
        <w:t>The requirement that we maintain a minimum net worth or retain a certain amount of cash could increase the probability that our business combination would be unsuccessful and that you would have to wait for liquidation in order to redeem your shares.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If, pursuant to the terms of our proposed business combination, we are required to maintain a minimum net worth or retain a certain amount of cash in trust in order to consummate the business combination and regardless of whether we proceed with redemptions under the tender or proxy rules, the probability that our business combination would be unsuccessful is increased. If our business combination is unsuccessful, you would not receive your pro rata portion of the trust account until we liquidate. If you are in need of immediate liquidity, you could attempt to sell your shares on the open market; however, at such time our shares may trade at a discount to the pro rata amount per share in our trust account. In either situation, you may suffer a material loss on your investment or lose the benefit of funds expected in connection with our redemption until we liquidate or you are able to sell your shares on the open market. </w:t>
      </w:r>
    </w:p>
    <w:p>
      <w:pPr>
        <w:pStyle w:val="TextBody"/>
        <w:bidi w:val="0"/>
        <w:spacing w:before="260" w:after="283"/>
        <w:jc w:val="left"/>
        <w:rPr>
          <w:rFonts w:ascii="Times New Roman" w:hAnsi="Times New Roman"/>
          <w:sz w:val="20"/>
        </w:rPr>
      </w:pPr>
      <w:r>
        <w:rPr>
          <w:rFonts w:ascii="Times New Roman" w:hAnsi="Times New Roman"/>
          <w:i/>
          <w:color w:val="000000"/>
          <w:sz w:val="20"/>
        </w:rPr>
        <w:t>The requirement that we complete our initial business combination within 24 months from the closing of the Offering may give potential target businesses leverage over us in negotiating our initial business combination and may limit the amount of time we have to conduct due diligence on potential business combination targets as we approach our dissolution deadline, which could undermine our ability to consummate our initial business combination on terms that would produce value for our shareholders.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Any potential target business with which we enter into negotiations concerning our initial business combination will be aware that we must consummate our initial business combination within 24 months from the closing of the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 The length of time it may take us to complete our diligence and negotiate a business combination may reduce the amount of time available for us to ultimately complete an initial business combination should such diligence or negotiations not lead to a consummated initial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sz w:val="20"/>
        </w:rPr>
      </w:pPr>
      <w:r>
        <w:rPr>
          <w:rFonts w:ascii="Times New Roman" w:hAnsi="Times New Roman"/>
          <w:i/>
          <w:color w:val="000000"/>
          <w:sz w:val="20"/>
        </w:rPr>
        <w:t>We may not be able to consummate our initial business combination within the required time period, in which case we would cease all operations except for the purpose of winding up and we would redeem our public shares and liquidate.</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We must complete our initial business combination within 24 months from the closing of the Offering. We may not be able to find a suitable target business and consummate our initial business combination within such time period. Our ability to complete our initial business combination may be negatively impacted by general market conditions, political considerations, volatility in the capital and debt markets, other social and geopolitical events, and the other risks described herein, including, but not limited to, the war between Russia and Ukraine and the Israel-Hamas conflict. Additionally, the outbreak of unforeseen occurrence of natural disasters, such as the recent COVID-19 pandemic, may negatively impact businesses we may seek to acquire and may make it harder for us to find a suitable target business and consummate our initial business combination.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consummate our initial business combination within the required time period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w:t>
      </w:r>
    </w:p>
    <w:p>
      <w:pPr>
        <w:pStyle w:val="TextBody"/>
        <w:bidi w:val="0"/>
        <w:spacing w:before="260" w:after="283"/>
        <w:jc w:val="left"/>
        <w:rPr>
          <w:rFonts w:ascii="Times New Roman" w:hAnsi="Times New Roman"/>
          <w:sz w:val="20"/>
        </w:rPr>
      </w:pPr>
      <w:r>
        <w:rPr>
          <w:rFonts w:ascii="Times New Roman" w:hAnsi="Times New Roman"/>
          <w:color w:val="000000"/>
          <w:sz w:val="20"/>
        </w:rPr>
        <w:t>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See “</w:t>
      </w:r>
      <w:r>
        <w:rPr>
          <w:rFonts w:ascii="Times New Roman" w:hAnsi="Times New Roman"/>
          <w:i/>
          <w:color w:val="000000"/>
          <w:sz w:val="20"/>
        </w:rPr>
        <w:t>Risk Factors — Risks Relating to our Search for, and Consummation of or Inability to Consummate, a Business Combination</w:t>
      </w:r>
      <w:r>
        <w:rPr>
          <w:rFonts w:ascii="Times New Roman" w:hAnsi="Times New Roman"/>
          <w:color w:val="000000"/>
          <w:sz w:val="20"/>
        </w:rPr>
        <w:t>—</w:t>
      </w:r>
      <w:r>
        <w:rPr>
          <w:rFonts w:ascii="Times New Roman" w:hAnsi="Times New Roman"/>
          <w:i/>
          <w:color w:val="000000"/>
          <w:sz w:val="20"/>
        </w:rPr>
        <w:t>If third parties bring claims against the Company, the proceeds held in trust could be reduced and the per-share redemption price received by shareholders may be less than $10.00 per share</w:t>
      </w:r>
      <w:r>
        <w:rPr>
          <w:rFonts w:ascii="Times New Roman" w:hAnsi="Times New Roman"/>
          <w:color w:val="000000"/>
          <w:sz w:val="20"/>
        </w:rPr>
        <w:t xml:space="preserve">.” </w:t>
      </w:r>
    </w:p>
    <w:p>
      <w:pPr>
        <w:pStyle w:val="TextBody"/>
        <w:bidi w:val="0"/>
        <w:spacing w:before="260" w:after="283"/>
        <w:jc w:val="left"/>
        <w:rPr>
          <w:rFonts w:ascii="Times New Roman" w:hAnsi="Times New Roman"/>
          <w:i/>
          <w:color w:val="000000"/>
          <w:sz w:val="20"/>
        </w:rPr>
      </w:pPr>
      <w:r>
        <w:rPr>
          <w:rFonts w:ascii="Times New Roman" w:hAnsi="Times New Roman"/>
          <w:i/>
          <w:color w:val="000000"/>
          <w:sz w:val="20"/>
        </w:rPr>
        <w:t>Our search for an initial business combination, and any target business with which we may ultimately consummate an initial business combination, may be materially adversely affected by current global geopolitical conditions resulting from the ongoing Russia-Ukraine conflict, the Israel-Hamas conflict, the escalating military conflict involving the United States, Israel and Iran, the resumption of Houthi attacks on Red Sea shipping, and other hostilities in the Middle East, Southwest Asia and globally.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United States and global markets are experiencing volatility and disruption following the geopolitical instability resulting from the ongoing Russia-Ukraine conflict, the Israel-Hamas conflict, the escalating military conflict between the United States, Israel and Iran, and other hostilities and other hostilities in the Middle East region, Southwest Asia and globally.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geopolitical landscape has been significantly affected by the escalation of hostilities between the United States, Israel and Iran. Following prior exchanges of strikes between Israel and Iran in 2024 and a twelve-day conflict involving U.S. and Israeli strikes on Iranian nuclear facilities and military sites in June 2025, the United States and Israel launched a joint military operation against Iran beginning on February 28, 2026. The operation has targeted Iranian military infrastructure, nuclear program assets, senior government and military officials. Iran has responded with retaliatory missile and drone strikes against targets in Israel and U.S. military installations across the Persian Gulf region. The U.S.-Israel-Iran conflict has had substantial effects on global trade and energy markets. Iran's Islamic Revolutionary Guard Corps has imposed a selective blockade in the Strait of Hormuz, impacting commercial shipping. Additionally, Houthi officials in Yemen have stated a readiness resume military strikes on key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waterway in the Red Sea corridor again. Major container carriers and tanker operators have suspended transits and reroute vessels, which may lead to increased transit times and freight costs, and disruption to global supply chains.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 hostilities between the United States, Israel and Iran and others have caused significant disruption in the normal flow of oil, refined petroleum products and related commodities, with consequent price rises and associated economic volatility. The Brent crude oil spot price rose sharply in March 2026 following the onset of military action in the region and has remained elevated.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or have undertaken or will undertake military strikes in Southwest Asia, increasing geopolitical tensions among a number of nations.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invasion of Ukraine by Russia and the escalation of the conflict in the Middle East and Southwest Asia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 abovementioned factors, or any other negative impact on the global economy, capital markets or other geopolitical conditions resulting from the Russian invasion of Ukraine, the escalation of the conflict in the Middle East and Southwest Asia and subsequent sanctions or related actions, could adversely affect our search for an initial business combination and any target business with which we may ultimately consummate an initial business combination.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extent and duration of the ongoing conflicts,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in this section. If these disruptions or other matters of global co</w:t>
      </w:r>
      <w:r>
        <w:rPr>
          <w:rFonts w:ascii="Times New Roman" w:hAnsi="Times New Roman"/>
          <w:color w:val="000000"/>
          <w:sz w:val="24"/>
        </w:rPr>
        <w:t>ncern continue for an extensive period of time, our ability to consummate an initial business combination, or the operations of a target business with which we may ultimately consummate an initial business combination, may be materially adversely affected.</w:t>
      </w:r>
    </w:p>
    <w:p>
      <w:pPr>
        <w:pStyle w:val="TextBody"/>
        <w:bidi w:val="0"/>
        <w:spacing w:before="260" w:after="283"/>
        <w:jc w:val="left"/>
        <w:rPr>
          <w:rFonts w:ascii="Times New Roman" w:hAnsi="Times New Roman"/>
          <w:sz w:val="20"/>
        </w:rPr>
      </w:pPr>
      <w:r>
        <w:rPr>
          <w:rFonts w:ascii="Times New Roman" w:hAnsi="Times New Roman"/>
          <w:i/>
          <w:color w:val="000000"/>
          <w:sz w:val="20"/>
        </w:rPr>
        <w:t>Our search for and ability to complete a business combination, and any target business with which we ultimately complete a business combination, may be adversely affected by general market conditions, political considerations, pandemics, volatility in the capital and debt markets and other social and geopolitical events.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Our search for and ability to complete a business combination is subject to macroeconomic and geopolitical risks, including the emergence or continuation of widespread health emergencies or pandemics (similar to the recent COVID-19 pandemic), cyberattacks or campaigns, the current or anticipated impact of climate change, extreme weather events or natural disasters, military conflict, civil unrest, terrorism or other similar events, which could adversely affect business and economic conditions in the U.S. and abroad. The business of any potential target business with which we consummate a business combination could be materially and adversely affected by these types of events. Furthermore, we may be unable to complete a business combination as a result of these macroeconomic, geopolitical or other events, including if these events restrict travel, or limit the ability to have meetings with potential investors or the acquisition target’s personnel, vendors and services providers are unavailable to negotiate and consummate a transaction in a timely manner. The extent to which one of these types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events could impact our search for a business combination will depend on future developments, which are highly uncertain and cannot be predicted. In addition, various conflicts, such as Russia’s invasion of Ukraine, and conflicts in the Middle East, could result in regional instability and adversely impact commodity and other financial markets as well as economic conditions. These events could create inflationary pressure or otherwise effect the global economy, all of which could negatively impact our ability to complete a business combination or otherwise affect target businesses.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macroeconomic, geopolitical or other matters of global concern cause disruptions to the business environment for an extended period of time, our ability to consummate a business combination, or the operations of a target business with which we ultimately consummate a business combination, may be materially adversely affected. Additionally, our ability to complete a business combination transaction may depend on the ability to raise sufficient equity and debt financing, and any of these or similar events could adversely impact our or the acquisition target’s ability to do so due to, among other things, increased market volatility, decreased market liquidity and the availability of third-party financing on terms acceptable to us or at all.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Macro-economic turbulence and instability relating to recent and ongoing global conflicts and other drivers of uncertainty may adversely affect our business, investments and results of operations and our ability to successfully consummate a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deterioration in economic conditions and related drivers of global uncertainty and change, such as reduced business activity, high unemployment, rising interest rates, housing prices, and energy prices (including the price of gasoline), increased consumer indebtedness, lack of available credit, the rate of inflation, and consumer perceptions of the economy, as well as other factors, such as terrorist attacks, protests, looting, and other forms of civil unrest, cyberattacks and data breaches, public health emergencies (such as the COVID-19 pandemic and other epidemics), extreme weather conditions and climate change, significant changes in the political environment, political instability, armed conflict (such as the ongoing military conflict between Ukraine and Russia and the escalating military conflict between the United States, Israel and Iran) and/or public policy, including increased state, local or federal taxation, could adversely affect our financial condition, the financial condition of prospective target companies for our initial business combination, or the financial condition of the combined company even if we successfully consummate a business combination, as well as our ability to locate a commercially viable target company for our business combination in the first instance.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Fluctuations in the rate of inflation in the United States and elsewhere could make it more difficult for us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Fluctuations in the rate of inflation in the United States and elsewhere may lead to increased price volatility for publicly traded securities, including ours, or other national, regional or international economic disruptions, any of which could make it more difficult for us to complete our initial business combination.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As the number of SPAC's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In recent years, the number of special purpose acquisition companies that have been formed has increased substantially. Many potential targets for SPACs have already entered into an initial business combination, and there are still many companies preparing for an IPO. As a result, at times, fewer attractive targets may be available, and it may require more time, more effort and more resources to identify a suitable target and to consummate an initial business combination.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In addition, because there are more SPACs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increase the cost of, delay or otherwise complicate or frustrate our ability to find and consummate an initial business combination, and may result in our inability to consummate an initial business combination on terms favorable to our investors altogether. </w:t>
      </w:r>
    </w:p>
    <w:p>
      <w:pPr>
        <w:pStyle w:val="TextBody"/>
        <w:bidi w:val="0"/>
        <w:spacing w:before="260" w:after="283"/>
        <w:jc w:val="left"/>
        <w:rPr>
          <w:rFonts w:ascii="Times New Roman" w:hAnsi="Times New Roman"/>
          <w:sz w:val="20"/>
        </w:rPr>
      </w:pPr>
      <w:r>
        <w:rPr>
          <w:rFonts w:ascii="Times New Roman" w:hAnsi="Times New Roman"/>
          <w:i/>
          <w:color w:val="000000"/>
          <w:sz w:val="20"/>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If we seek shareholder approval of our initial business combination pursuant to a proxy solicitation (meaning we would not conduct redemptions pursuant to the tender offer rules), our Sponsor, directors, executive officers, or any of their affiliates are permitted to purchase ordinary shares in privately negotiated transactions or on the open market either prior to or following the consummation of our initial business combination. Any such purchase would be required to include a contractual acknowledgement that the selling shareholder, although he may still be the record holder of the shares being sold, would, upon consummation of such sale, no longer be the beneficial owner of such shares and would agree not to exercise the redemption rights applicable to such shares. In the event that our Sponsor, directors, executive officers, or any of their affiliates purchase public shares in privately negotiated transactions from public shareholders who have already elected to exercise their redemption rights, any such selling shareholders would be required to revoke their prior elections to redeem their public shares prior to the consummation of the transaction.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purpose of such purchases could be to (1) increase the likelihood of obtaining shareholder approval of the initial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 </w:t>
      </w:r>
    </w:p>
    <w:p>
      <w:pPr>
        <w:pStyle w:val="TextBody"/>
        <w:bidi w:val="0"/>
        <w:spacing w:before="160" w:after="283"/>
        <w:jc w:val="left"/>
        <w:rPr>
          <w:rFonts w:ascii="Times New Roman" w:hAnsi="Times New Roman"/>
          <w:sz w:val="20"/>
        </w:rPr>
      </w:pPr>
      <w:r>
        <w:rPr>
          <w:rFonts w:ascii="Times New Roman" w:hAnsi="Times New Roman"/>
          <w:i/>
          <w:color w:val="000000"/>
          <w:sz w:val="20"/>
        </w:rPr>
        <w:t>If a shareholder fails to receive notice of our offer to redeem our public shares in connection with our initial business combination or fails to comply with the procedures for tendering its shares, such shares may not be redeemed.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shareholders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shareholder fails to comply with these procedures, its shares may not be redeemed. </w:t>
      </w:r>
    </w:p>
    <w:p>
      <w:pPr>
        <w:pStyle w:val="TextBody"/>
        <w:bidi w:val="0"/>
        <w:spacing w:before="160" w:after="283"/>
        <w:jc w:val="left"/>
        <w:rPr>
          <w:rFonts w:ascii="Times New Roman" w:hAnsi="Times New Roman"/>
          <w:sz w:val="20"/>
        </w:rPr>
      </w:pPr>
      <w:r>
        <w:rPr>
          <w:rFonts w:ascii="Times New Roman" w:hAnsi="Times New Roman"/>
          <w:i/>
          <w:color w:val="000000"/>
          <w:sz w:val="20"/>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the Offering and the sale of the private share, our ability to compete with respect to the acquisition of certain target businesses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that are sizable will be limited by our available financial resources. Our Sponsor, any of its affiliates or any of their respective clients may make additional investments in us, although our Sponsor and its affiliates have no obligation or other duty to do so. </w:t>
      </w:r>
    </w:p>
    <w:p>
      <w:pPr>
        <w:pStyle w:val="TextBody"/>
        <w:bidi w:val="0"/>
        <w:spacing w:before="160" w:after="283"/>
        <w:jc w:val="left"/>
        <w:rPr>
          <w:rFonts w:ascii="Times New Roman" w:hAnsi="Times New Roman"/>
          <w:sz w:val="20"/>
        </w:rPr>
      </w:pPr>
      <w:r>
        <w:rPr>
          <w:rFonts w:ascii="Times New Roman" w:hAnsi="Times New Roman"/>
          <w:color w:val="000000"/>
          <w:sz w:val="20"/>
        </w:rPr>
        <w:t>This inherent competitive limitation gives others an advantage in pursuing the acquisition of certain target businesses. Furthermore, in the event we seek shareholder approval of our initial business combination and we are obligated to pay cash for public shares that are redeemed, it will potentially reduce the resources available to us for our initial business combination. Target companies will be aware that this may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shareholders may receive only approximately $10.00 per share, or less in certain circumstances, on the liquidation of our trust account. Please see “</w:t>
      </w:r>
      <w:r>
        <w:rPr>
          <w:rFonts w:ascii="Times New Roman" w:hAnsi="Times New Roman"/>
          <w:i/>
          <w:color w:val="000000"/>
          <w:sz w:val="20"/>
        </w:rPr>
        <w:t xml:space="preserve">Risk Factors — Risks Relating to our Search for, and Consummation of or Inability to Consummate, a Business Combination </w:t>
      </w:r>
      <w:r>
        <w:rPr>
          <w:rFonts w:ascii="Times New Roman" w:hAnsi="Times New Roman"/>
          <w:color w:val="000000"/>
          <w:sz w:val="20"/>
        </w:rPr>
        <w:t>—</w:t>
      </w:r>
      <w:r>
        <w:rPr>
          <w:rFonts w:ascii="Times New Roman" w:hAnsi="Times New Roman"/>
          <w:i/>
          <w:color w:val="000000"/>
          <w:sz w:val="20"/>
        </w:rPr>
        <w:t>If third parties bring claims against the Company, the proceeds held in trust could be reduced and the per-share redemption price received by shareholders may be less than $10.00 per share.</w:t>
      </w:r>
      <w:r>
        <w:rPr>
          <w:rFonts w:ascii="Times New Roman" w:hAnsi="Times New Roman"/>
          <w:color w:val="000000"/>
          <w:sz w:val="20"/>
        </w:rPr>
        <w:t xml:space="preserve">” and other risk factors herein. </w:t>
      </w:r>
    </w:p>
    <w:p>
      <w:pPr>
        <w:pStyle w:val="TextBody"/>
        <w:bidi w:val="0"/>
        <w:spacing w:before="160" w:after="283"/>
        <w:jc w:val="left"/>
        <w:rPr>
          <w:rFonts w:ascii="Times New Roman" w:hAnsi="Times New Roman"/>
          <w:sz w:val="20"/>
        </w:rPr>
      </w:pPr>
      <w:r>
        <w:rPr>
          <w:rFonts w:ascii="Times New Roman" w:hAnsi="Times New Roman"/>
          <w:i/>
          <w:color w:val="000000"/>
          <w:sz w:val="20"/>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will require our public shareholders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to deliver their shares to the transfer agent electronically using The Depository Trust Company’s DWAC (Deposit/Withdrawal At Custodian) System, at the holder’s option. In order to obtain a physical share certificate, a shareholder’s broker and/or clearing broker, The DTC and our transfer agent will need to act to facilitate this request. It is our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share certificate. While we have been advised that it takes a short time to deliver shares through the DWAC System, this may not be the case. Under our amended and restated memorandum and articles of association, we are required to provide at least 7 days advance notice of any shareholder meeting, which would be the minimum amount of time a shareholder would have to determine whether to exercise redemption rights. Accordingly, if it takes longer than we anticipate for shareholders to deliver their shares, shareholders who wish to redeem may be unable to meet the deadline for exercising their redemption rights and thus may be unable to redeem their shares. In the event that a shareholder fails to comply with the various procedures that must be complied with in order to validly tender or redeem public shares, its shares may not be redeemed.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despite our compliance with the proxy rules or tender offer rules, as applicable, shareholders may not become aware of the opportunity to redeem their shares. </w:t>
      </w:r>
    </w:p>
    <w:p>
      <w:pPr>
        <w:pStyle w:val="TextBody"/>
        <w:bidi w:val="0"/>
        <w:spacing w:before="180" w:after="283"/>
        <w:jc w:val="left"/>
        <w:rPr>
          <w:rFonts w:ascii="Times New Roman" w:hAnsi="Times New Roman"/>
          <w:sz w:val="20"/>
        </w:rPr>
      </w:pPr>
      <w:r>
        <w:rPr>
          <w:rFonts w:ascii="Times New Roman" w:hAnsi="Times New Roman"/>
          <w:i/>
          <w:color w:val="000000"/>
          <w:sz w:val="20"/>
        </w:rPr>
        <w:t>If we seek shareholder approval of our business combination pursuant to a proxy solicitation (meaning we would not conduct redemptions pursuant to the tender offer rules), and if you or a “group” of shareholders are deemed to hold in excess of 15% of the issued and outstanding public shares sold in the Offering, you will lose the ability to redeem all such shares in excess of 15% of the issued and outstanding public shares sold in the Offering.</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seek shareholder approval of our initial business combination pursuant to a proxy solicitation (meaning we would not conduct redemptions pursuant to the tender offer rules), our amended and restated memorandum and articles of association provide that a public shareholder, individually or together with any affiliate of such shareholder or any other person with whom such shareholder is acting in concert or as a “group” (as defined under Section 13 of the Exchange Act), would be restricted from seeking redemption rights with respect to an aggregate of more than 15% of the public shares sold in the Offering. Your inability to redeem an aggregate of more than 15% of the public shares sold in the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15% and, in order to dispose of such shares, you would be required to sell your shares in open market transaction, potentially at a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If the net proceeds of the Offering and the sale of the private investor shares and private placement units not being held in the trust account are insufficient to allow us to operate for at least the next 24 months from the closing of the Offering, we may be unable to complete our initial business combination, and we will depend on loans from our Sponsor or management team to fund our search and to complete our initial business combination.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funds available to us outside of the trust account may not be sufficient to allow us to operate for at least the next 24 months from the closing of the Offering, assuming that our initial business combination is not consummated during that time. Of the net proceeds of the Offering and the sale of the private investor shares and private placement units, only approximately $1,856,000 is available to us initially outside the trust account to fund our working capital requirements.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only receive $10.00 per share or potentially less than $10.00 per share on our redemption. </w:t>
      </w:r>
    </w:p>
    <w:p>
      <w:pPr>
        <w:pStyle w:val="TextBody"/>
        <w:bidi w:val="0"/>
        <w:spacing w:before="160" w:after="283"/>
        <w:jc w:val="left"/>
        <w:rPr>
          <w:rFonts w:ascii="Times New Roman" w:hAnsi="Times New Roman"/>
          <w:sz w:val="20"/>
        </w:rPr>
      </w:pPr>
      <w:r>
        <w:rPr>
          <w:rFonts w:ascii="Times New Roman" w:hAnsi="Times New Roman"/>
          <w:i/>
          <w:color w:val="000000"/>
          <w:sz w:val="20"/>
        </w:rPr>
        <w:t>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Although we have no other commitments as of the date of this Annual Report to issue any notes or other debt securities, or to otherwise incur outstanding debt, we may choose to incur substantial debt to complete initial business combination. Furthermore, we may issue a substantial number of additional ordinary or preferred shares to complete our initial business combination or under an employee incentive plan upon or after consummation of our initial business combination. We and our officers and directors have agreed that we will not incur any indebtedness unless we have obtained from the lender a waiver of any right, title, interest or claim of any kind in or to any monies held in the trust account. As such, no issuance of debt will affect the per share amount available for redemption from the trust account. Nevertheless, the incurrence of debt could have a variety of negative effects,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default and foreclosure on our assets if our operating revenues after our initial business combination are insufficient to repay our debt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acceleration of our obligations to repay the indebtedness even if we make all principal and interest payments when due if we breach certain covenants that require the maintenance of certain financial ratios or reserves without a waiver or renegotiation of that covenant;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immediate payment of all principal and accrued interest, if any, if the debt security is payable on demand;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inability to obtain necessary additional financing if the debt security contains covenants restricting our ability to obtain such financing while the debt security is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inability to pay dividends on our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using a substantial portion of our cash flow to pay principal and interest on our debt, which will reduce the funds available for dividends on our ordinary shares if declared, expenses, capital expenditures, acquisitions and other general corporate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limitations on our flexibility in planning for and reacting to changes in our business and in the industry in which we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increased vulnerability to adverse changes in general economic, industry and competitive conditions and adverse changes in government regulation;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limitations on our ability to borrow additional amounts for expenses, capital expenditures, acquisitions, debt service requirements, execution of our strategy and other purposes and other disadvantages compared to our competitors who have less debt. </w:t>
      </w:r>
    </w:p>
    <w:p>
      <w:pPr>
        <w:pStyle w:val="TextBody"/>
        <w:bidi w:val="0"/>
        <w:spacing w:before="240" w:after="283"/>
        <w:jc w:val="left"/>
        <w:rPr>
          <w:rFonts w:ascii="Times New Roman" w:hAnsi="Times New Roman"/>
          <w:sz w:val="20"/>
        </w:rPr>
      </w:pPr>
      <w:r>
        <w:rPr>
          <w:rFonts w:ascii="Times New Roman" w:hAnsi="Times New Roman"/>
          <w:i/>
          <w:color w:val="000000"/>
          <w:sz w:val="20"/>
        </w:rPr>
        <w:t>Our directors may decide not to enforce indemnification obligations against our Sponsor, resulting in a reduction in the amount of funds in the trust account available for distribution to our public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the proceeds in the trust account are reduced below $10.00 per share and our Sponsor asserts that it is unable to satisfy obligations or that it has no indemnification obligations related to a particular claim, our independent directors 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our independent directors choose not to enforce these indemnification obligations on our behalf, the amount of funds in the trust account available for distribution to our public shareholders may be reduced below $10.00 per share. </w:t>
      </w:r>
    </w:p>
    <w:p>
      <w:pPr>
        <w:pStyle w:val="TextBody"/>
        <w:bidi w:val="0"/>
        <w:spacing w:before="240" w:after="283"/>
        <w:jc w:val="left"/>
        <w:rPr>
          <w:rFonts w:ascii="Times New Roman" w:hAnsi="Times New Roman"/>
          <w:sz w:val="20"/>
        </w:rPr>
      </w:pPr>
      <w:r>
        <w:rPr>
          <w:rFonts w:ascii="Times New Roman" w:hAnsi="Times New Roman"/>
          <w:i/>
          <w:color w:val="000000"/>
          <w:sz w:val="20"/>
        </w:rPr>
        <w:t>If we are deemed to be an investment company under the Investment Company Act, we may be required to institute burdensome compliance requirements and our activities may be restricted, which may make it difficult for us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were deemed to be subject to the Investment Company Act, compliance with these additional regulatory burdens would require additional expenses for which we have not allotted funds and may hinder our ability to consummate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intend to spend a considerable amount of time actively managing the assets in the trust account for the primary purpose of achieving investment returns. We do not plan to buy businesses or assets with a view to resale or profit from their resale. We do not plan to buy unrelated businesses or assets or to be a passive investor.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believe that our anticipated principal activities will subject us to the Investment Company Act. To this end, the proceeds held in the trust account may only be held as cash, including in demand deposit accounts at a bank, or invested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The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the implementation by the directors of, following a shareholder vote, an amendment to our amended and restated memorandum and articles of association (A) to modify the substance or timing of our obligation to provide for the redemption of our public shares in connection with an initial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combination or to redeem 100% of our public shares if we have not consummated our initial business combination within 24 months from the closing of the Offering or (B) with respect to any other provisions relating to shareholders’ rights or pre-initial business combination activity; or (iii) absent an initial business combination within 24 months from the closing of the Offering, our return of the funds held in the trust account to our public shareholders as part of our redemption of the public shares. If we do not invest the proceeds as discussed above, we may be deemed to be subject to the Investment Company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under the subjective test of a “investment company” pursuant to Section 3(a)(1)(A) of the Investment Company Act, even if the funds deposited in the trust account were invested in the assets discussed above, such assets, other than cash, are “securities” for purposes of the Investment Company Act and, therefore, there is a risk that we could be deemed an investment company and subject to the Investment Company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litigation claiming that certain SPACs should be considered to be investment companies. Although we believe that these claims are without merit, we cannot guarantee that we will not be deemed to be an investment company and thus subject to the Investment Company Act. If we are deemed to be subject to the Investment Company Act, compliance with these additional regulatory burdens would require additional expenses for which we have not allotted funds and may hinder our ability to complete an initial business combination or may result in our winding down our operations and our liquidation. If we are unable to complete our initial business combination, our public shareholders may receive only approximately $10.00 per share on the liquidation of our trust account and our public shareholders would also lose the possibility of an investment opportunity in a target company as well as any potential price appreciation in the combined company following a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circumstances change over time, we will update our disclosure to reflect how such changes impact the risk that we may be considered to be operating as an unregistered investment Company. </w:t>
      </w:r>
    </w:p>
    <w:p>
      <w:pPr>
        <w:pStyle w:val="TextBody"/>
        <w:bidi w:val="0"/>
        <w:spacing w:before="240" w:after="283"/>
        <w:jc w:val="left"/>
        <w:rPr>
          <w:rFonts w:ascii="Times New Roman" w:hAnsi="Times New Roman"/>
          <w:sz w:val="20"/>
        </w:rPr>
      </w:pPr>
      <w:r>
        <w:rPr>
          <w:rFonts w:ascii="Times New Roman" w:hAnsi="Times New Roman"/>
          <w:i/>
          <w:color w:val="000000"/>
          <w:sz w:val="20"/>
        </w:rPr>
        <w:t>To mitigate the risk that we might be deemed to be an investment company for purposes of the Investment Company Act, we may, at any time, instruct the trustee to liquidate the securities held in the trust account and instead to hold the funds in the trust account in cash until the earlier of the consummation of our initial business combination or our liquidation. As a result, following the liquidation of securities in the trust account, the interest earned on the funds held in the trust account may be materially reduced, which would reduce the dollar amount our public shareholders would receive upon any redemption or liquidation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hold the funds in the trust account as cash, including in demand deposit accounts at a bank, or in U.S. government treasury obligations with a maturity of 185 days or less or in money market funds investing solely in U.S. government treasury obligations and meeting certain conditions under Rule 2a-7 under the Investment Company Act. U.S. government treasury obligations are considered “securities” for purposes of the Investment Company Act, while cash is not. As noted above, one of the factors the SEC identified as relevant to the determination of whether a SPAC which holds securities could potentially be deemed an “investment company” under the Investment Company Act is the SPAC’s duration. To mitigate the risk of us being deemed to be an unregistered investment company (including under the subjective test of Section 3(a)(1)(A) of the Investment Company Act) and thus subject to regulation under the Investment Company Act, we may, at any time, instruct Continental Stock Transfer &amp; Trust Company, the trustee with respect to the trust account, to liquidate the U.S. government treasury obligations or money market funds held in the trust account and thereafter to hold all funds in the trust account in cash until the earlier of consummation of our initial business combination or liquidation of the company. Following such liquidation, the rate of interest we receive on the funds held in the trust account may be materially decreased. However, interest previously earned on the funds held in the trust account still may be released to us for permitted withdrawals and certain other expenses as permitted. As a result, any decision to liquidate the securities held in the trust account and thereafter to hold all funds in the trust account in cash would reduce the dollar amount our public shareholders would receive upon any redemption or liquidation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still be deemed to be an investment company. The longer that the funds in the trust account are held in short-term U.S. government treasury obligations or in money market funds invested exclusively in such securities, the greater the risk that we may be deemed to be an unregistered investment company, in which case we may be required to liquidate. If our facts and circumstances change over time, we will update our disclosure to reflect how those changes impact the risk that we may be considered to be operating as an unregistered investment company. As disclosed above, we may determine, in our discretion, to liquidate the securities held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trust account at any time and instead hold all funds in the trust account in an interest bearing demand deposit account or as cash or cash items at a bank, which could further reduce the dollar amount our public shareholders would receive upon any redemption or liquidation of the Company as compared to what they would have received had the investments not been so liquidated. Were we to liquidate the Company, and our securityholders would lose the investment opportunity associated with an investment in the acquisition target with which we could have consummated an initial business combination. In addition, upon moving the funds from the trust account to a deposit account, we will maintain the cash items in bank accounts which, at times, may exceed federally insured limits as guaranteed by the FDIC. While we intend to place our deposits in high-quality banks, only a small portion of the funds in our trust account will be guaranteed by the FDIC. </w:t>
      </w:r>
    </w:p>
    <w:p>
      <w:pPr>
        <w:pStyle w:val="TextBody"/>
        <w:bidi w:val="0"/>
        <w:spacing w:before="240" w:after="283"/>
        <w:jc w:val="left"/>
        <w:rPr>
          <w:rFonts w:ascii="Times New Roman" w:hAnsi="Times New Roman"/>
          <w:sz w:val="20"/>
        </w:rPr>
      </w:pPr>
      <w:r>
        <w:rPr>
          <w:rFonts w:ascii="Times New Roman" w:hAnsi="Times New Roman"/>
          <w:i/>
          <w:color w:val="000000"/>
          <w:sz w:val="20"/>
        </w:rPr>
        <w:t>Our shareholders may be held liable for claims by third parties against us to the extent of distributions received by them.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$18,000 and to imprisonment for five years in the Cayman Islands. </w:t>
      </w:r>
    </w:p>
    <w:p>
      <w:pPr>
        <w:pStyle w:val="TextBody"/>
        <w:bidi w:val="0"/>
        <w:spacing w:before="240" w:after="283"/>
        <w:jc w:val="left"/>
        <w:rPr>
          <w:rFonts w:ascii="Times New Roman" w:hAnsi="Times New Roman"/>
          <w:sz w:val="20"/>
        </w:rPr>
      </w:pPr>
      <w:r>
        <w:rPr>
          <w:rFonts w:ascii="Times New Roman" w:hAnsi="Times New Roman"/>
          <w:i/>
          <w:color w:val="000000"/>
          <w:sz w:val="20"/>
        </w:rPr>
        <w:t>If third parties bring claims against the Company, the proceeds held in trust could be reduced and the per-share redemption price received by shareholders may be less than $10.00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placing of funds in trust may not protect those funds from third party claims against the Company. Although the Company will seek to have all vendors and service providers the Company engages and prospective target businesses the Company negotiates with execute agreements with the Company waiving any right, title, interest or claim of any kind in or to any monies held in the trust account for the benefit of the Company’s public shareholders, they may not execute such agreements. Furthermore, even if such entities execute such agreements with the Company, they may seek recourse against the trust account. A court may not uphold the validity of such agreements. Accordingly, the proceeds held in trust could be subject to claims which could take priority over those of the Company’s public shareholders. If the Company is unable to complete a business combination and distribute the proceeds held in trust to the Company’s public shareholders, the Sponsor has agreed (subject to certain exceptions described in Exhibit 10.1 to this Annual Report)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However, it may not be able to meet such obligation. Therefore, the per-share distribution from the trust account may be less than $10.00, plus interest, due to such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which is filed as an exhibit to the Annual Report, our Sponsor has agreed that it will be liable to us if and to the extent any claims by a third party for services rendered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permitted withdrawals,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 </w:t>
      </w:r>
    </w:p>
    <w:p>
      <w:pPr>
        <w:pStyle w:val="TextBody"/>
        <w:bidi w:val="0"/>
        <w:spacing w:before="240" w:after="283"/>
        <w:jc w:val="left"/>
        <w:rPr>
          <w:rFonts w:ascii="Times New Roman" w:hAnsi="Times New Roman"/>
          <w:sz w:val="20"/>
        </w:rPr>
      </w:pPr>
      <w:r>
        <w:rPr>
          <w:rFonts w:ascii="Times New Roman" w:hAnsi="Times New Roman"/>
          <w:i/>
          <w:color w:val="000000"/>
          <w:sz w:val="20"/>
        </w:rPr>
        <w:t>Unlike some other similarly structured blank check companies, our Sponsor will receive additional Class A ordinary shares if we issue shares to consummate an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founder shares and private investment shares will automatically convert into Class A ordinary shares at the time of our initial business combination (with such conversion taking place immediately prior to, simultaneously with, or immediately following the time of our initial business combination, as may be determined by our directors), or earlier at the option of the holder, on a one-for-one basis, subject to adjustment for share subdivisions, share dividends, reorganizations, recapitalizations and the like and subject to further adjustment as provided herein. In the case that additional Class A ordinary shares or equity-linked securities convertible or exercisable for Class A ordinary shares are issued or deemed issued in excess of the amounts sold in the Offering and related to the closing of the initial business combination, the ratio at which founder shares and private investment shares will convert into Class A ordinary shares will be adjusted so that the number of Class A ordinary shares issuable upon conversion of all founder shares and private investment shares will equal, in the aggregate, on an as-converted basis, 30% of (i) the total number of all ordinary shares outstanding upon the completion of the Offering (including any Class A ordinary shares issued pursuant to the underwriters’ over-allotment option and excluding the Class A ordinary shares underlying the private placement units issued to the Sponsor and the non-managing investors),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units and their underlying securities issued to our Sponsor or any of its affiliates or to our officers or directors upon conversion of working capital loans); provided that such conversion of founder shares will never occur on a less than one-for-one basis. </w:t>
      </w:r>
    </w:p>
    <w:p>
      <w:pPr>
        <w:pStyle w:val="TextBody"/>
        <w:bidi w:val="0"/>
        <w:spacing w:before="240" w:after="283"/>
        <w:jc w:val="left"/>
        <w:rPr>
          <w:rFonts w:ascii="Times New Roman" w:hAnsi="Times New Roman"/>
          <w:sz w:val="20"/>
        </w:rPr>
      </w:pPr>
      <w:r>
        <w:rPr>
          <w:rFonts w:ascii="Times New Roman" w:hAnsi="Times New Roman"/>
          <w:i/>
          <w:color w:val="000000"/>
          <w:sz w:val="20"/>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registration rights agreement, our initial shareholders and their respective permitted transferees, can demand that we register for resale an aggregate of 7,679,427 founder shares and insider shares, 3,178,430 private investor shares, 388,954 private placement shares, 77,788 shares issued upon the conversion of the private placement rights upon the consummation of our initial business combination and underlying securities and securities issued upon conversion of working capital loans, if any. We will bear the cost of registering these securities. The registration and availability of such a significant number of securities for trading in the public market may have an adverse effect on the market price of our public shares. In addition, the existence of the registration rights may make our initial business combination more costly or difficult to conclude. This is because the shareholders of the target business may increase the equity stake they seek in the combined entity or ask for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consideration to offset the negative impact on the market price of our public shares that is expected when the securities owned by our initial shareholders or their respective permitted transferees, are registered. </w:t>
      </w:r>
    </w:p>
    <w:p>
      <w:pPr>
        <w:pStyle w:val="TextBody"/>
        <w:bidi w:val="0"/>
        <w:spacing w:before="180" w:after="283"/>
        <w:jc w:val="left"/>
        <w:rPr>
          <w:rFonts w:ascii="Times New Roman" w:hAnsi="Times New Roman"/>
          <w:sz w:val="20"/>
        </w:rPr>
      </w:pPr>
      <w:r>
        <w:rPr>
          <w:rFonts w:ascii="Times New Roman" w:hAnsi="Times New Roman"/>
          <w:i/>
          <w:color w:val="000000"/>
          <w:sz w:val="20"/>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Although we intend to focus on A&amp;D and TMT industries, including TMT companies focused on cybersecurity and secured communications and quantum-based command and control systems, AI and ML, we may pursue acquisition opportunities in any geographic region and in any business industry or sector. Except for the limitations that a target business has a fair market value of at least 80% of the value of the trust account (less permitted withdrawals)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Furthermore, some of these risks may be outside of our control and leave us with no ability to control or reduce the chances that those risks will adversely impact a target business. An investment in our public units may not ultimately prove to be more favorable to investors than a direct investment, if such opportunity were available, in an acquisition target. </w:t>
      </w:r>
    </w:p>
    <w:p>
      <w:pPr>
        <w:pStyle w:val="TextBody"/>
        <w:bidi w:val="0"/>
        <w:spacing w:before="240" w:after="283"/>
        <w:jc w:val="left"/>
        <w:rPr>
          <w:rFonts w:ascii="Times New Roman" w:hAnsi="Times New Roman"/>
          <w:sz w:val="20"/>
        </w:rPr>
      </w:pPr>
      <w:r>
        <w:rPr>
          <w:rFonts w:ascii="Times New Roman" w:hAnsi="Times New Roman"/>
          <w:i/>
          <w:color w:val="000000"/>
          <w:sz w:val="20"/>
        </w:rPr>
        <w:t>The requirement that the acquisition target(s) that we acquire must collectively have a fair market value equal to at least 80% of the balance of the funds in the trust account (less any taxes payable on interest earned) at the time of the execution of a definitive agreement for our initial business combination may limit the type and number of companies with which we may complete such a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Nasdaq listing rules, the target business or businesses that we acquire must collectively have a fair market value equal to at least 80% of the balance of the funds in the trust account (less any taxes payable on interest earned) at the time of the execution of a definitive agreement for our initial business combination. This restriction may limit the type and number of companies with which we may complete an initial business combination. If we are unable to locate a target business or businesses that satisfy this fair market value test, we may be forced to liquidate and you will only be entitled to receive your pro rata portion of the funds in the trust account. The Nasdaq listing rules require that such initial business combination must be approved by a majority of the Company’s independent directors. </w:t>
      </w:r>
    </w:p>
    <w:p>
      <w:pPr>
        <w:pStyle w:val="TextBody"/>
        <w:bidi w:val="0"/>
        <w:jc w:val="left"/>
        <w:rPr>
          <w:rFonts w:ascii="Times New Roman" w:hAnsi="Times New Roman"/>
          <w:sz w:val="20"/>
        </w:rPr>
      </w:pPr>
      <w:r>
        <w:rPr>
          <w:rFonts w:ascii="Times New Roman" w:hAnsi="Times New Roman"/>
          <w:i/>
          <w:color w:val="000000"/>
          <w:sz w:val="20"/>
        </w:rPr>
        <w:t>We may seek acquisition opportunities outside the A&amp;D and TMT industries, including TMT companies focused on cybersecurity and secured communications and quantum-based command and control systems, AI and ML, which may be outside of our management’s areas of expertise.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consider a business combination outside the A&amp;D and TMT industries, including TMT companies focused on cybersecurity and secured communications and quantum-based command and control systems, AI and ML, such as the pharmaceutical, medical technology and equipment or health care industries, which may be outside of our management’s areas of expertise, if a business combination candidate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ordinary shares will not ultimately prove to be less favorable to investors in the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Annual Report regarding the areas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management’s expertise would not be relevant to an understanding of the business that we elect to acquire. As a result, our management may not be able to adequately ascertain or assess all of the significant risk factors relevant to such acquisition. Accordingly, any shareholder who chooses to remain a shareholder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60" w:after="283"/>
        <w:jc w:val="left"/>
        <w:rPr>
          <w:rFonts w:ascii="Times New Roman" w:hAnsi="Times New Roman"/>
          <w:sz w:val="20"/>
        </w:rPr>
      </w:pPr>
      <w:r>
        <w:rPr>
          <w:rFonts w:ascii="Times New Roman" w:hAnsi="Times New Roman"/>
          <w:i/>
          <w:color w:val="000000"/>
          <w:sz w:val="20"/>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the Nasdaq rules,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$10.00 per share or potentially less than $10.00 per share on our redemption. </w:t>
      </w:r>
    </w:p>
    <w:p>
      <w:pPr>
        <w:pStyle w:val="TextBody"/>
        <w:bidi w:val="0"/>
        <w:spacing w:before="260" w:after="283"/>
        <w:jc w:val="left"/>
        <w:rPr>
          <w:rFonts w:ascii="Times New Roman" w:hAnsi="Times New Roman"/>
          <w:sz w:val="20"/>
        </w:rPr>
      </w:pPr>
      <w:r>
        <w:rPr>
          <w:rFonts w:ascii="Times New Roman" w:hAnsi="Times New Roman"/>
          <w:i/>
          <w:color w:val="000000"/>
          <w:sz w:val="20"/>
        </w:rPr>
        <w:t>We may seek acquisition opportunities with an early-stage company, a financially unstable business or an entity lacking an established record of revenue or earnings.</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To the extent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executive officers and directors.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 </w:t>
      </w:r>
    </w:p>
    <w:p>
      <w:pPr>
        <w:pStyle w:val="TextBody"/>
        <w:bidi w:val="0"/>
        <w:spacing w:before="240" w:after="283"/>
        <w:jc w:val="left"/>
        <w:rPr>
          <w:rFonts w:ascii="Times New Roman" w:hAnsi="Times New Roman"/>
          <w:sz w:val="20"/>
        </w:rPr>
      </w:pPr>
      <w:r>
        <w:rPr>
          <w:rFonts w:ascii="Times New Roman" w:hAnsi="Times New Roman"/>
          <w:i/>
          <w:color w:val="000000"/>
          <w:sz w:val="20"/>
        </w:rPr>
        <w:t>We are not required to obtain an opinion from an independent investment banking firm or another independent entity, and consequently, an independent source may not confirm that the price we are paying for the business is fair to our shareholders from a financial point of 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we consummate our initial business combination with an affiliated entity, we are not required to obtain an opinion from an independent investment banking firm or another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Our board of directors will have significant discretion in choosing the standard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used to establish the fair market value of the target acquisition. Such standards used will be disclosed in our tender offer documents or proxy solicitation materials, as applicable, related to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authorize the issuance of up to 200,000,000 Class A ordinary shares, par value $0.0001 per share, 20,000,000 Class B ordinary shares, par value $0.0001 per share, and 1,000,000 preferred shares, par value $0.0001 per share. Immediately after the Offering, there are 174,311,046 authorized but unissued Class A ordinary shares and 9,142,143 authorized but unissued Class B ordinary shares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on a one-for-one basis, subject to adjustment pursuant to certain anti-dilution rights, as described herein and in our amended and restated memorandum and articles of association. Immediately after the Offering, there are no preferred shares issued and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post-business combination company may issue a substantial number of additional Class A ordinary shares or preferred shares to complete its initial business combination or under an employee incentive plan after completion of an initial business combination. The post-business combination company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 among other things, that prior to the completion of our initial business combination, we may not issue additional shares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the Offering or (y) amend the foregoing provisions. These provisions of our amended and restated memorandum and articles of association, like all provisions of our amended and restated memorandum and articles of association, may be amended with a shareholder vote. The issuance of additional ordinary or preferred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may significantly dilute the equity interest of investors in the Offering, which dilution would increase if the anti-dilution provisions in the Class B ordinary shares resulted in the issuance of Class A ordinary shares on a greater than one-to-one basis upon conversion of the Class B ordinary shares; </w:t>
      </w:r>
    </w:p>
    <w:p>
      <w:pPr>
        <w:pStyle w:val="TextBody"/>
        <w:bidi w:val="0"/>
        <w:jc w:val="left"/>
        <w:rPr>
          <w:rFonts w:ascii="Times New Roman" w:hAnsi="Times New Roman"/>
          <w:color w:val="000000"/>
          <w:sz w:val="20"/>
        </w:rPr>
      </w:pPr>
      <w:r>
        <w:rPr>
          <w:rFonts w:ascii="Times New Roman" w:hAnsi="Times New Roman"/>
          <w:color w:val="000000"/>
          <w:sz w:val="20"/>
        </w:rPr>
        <w:t xml:space="preserve"> may subordinate the rights of holders of Class A ordinary shares if preferred shares are issued with rights senior to those afforded to Class A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could cause a change in control if a substantial number of Class A ordinary shares are issued, which may affect, among other things, the post-business combination company’s ability to use its net operating loss carry forwards, if any, and could result in the resignation or removal of the post-business combination company’s officers and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may have the effect of delaying or preventing a change of control of the post-business combination company by diluting the share ownership or voting rights of a person seeking to obtain control of the post-business combination company;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may adversely affect prevailing market prices for our public shares.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more information on additional financing that we may raise in connection with our business combination and risks related thereto, also see “Risk Factors— </w:t>
      </w:r>
      <w:r>
        <w:rPr>
          <w:rFonts w:ascii="Times New Roman" w:hAnsi="Times New Roman"/>
          <w:i/>
          <w:color w:val="000000"/>
          <w:sz w:val="20"/>
        </w:rPr>
        <w:t>Risks Relating to the Post-Business Combination Company —The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r>
        <w:rPr>
          <w:rFonts w:ascii="Times New Roman" w:hAnsi="Times New Roman"/>
          <w:color w:val="000000"/>
          <w:sz w:val="20"/>
        </w:rPr>
        <w:t>” and “</w:t>
      </w:r>
      <w:r>
        <w:rPr>
          <w:rFonts w:ascii="Times New Roman" w:hAnsi="Times New Roman"/>
          <w:i/>
          <w:color w:val="000000"/>
          <w:sz w:val="20"/>
        </w:rPr>
        <w:t>Risk Factors — Risks Relating to our Search for, and Consummation of or Inability to Consummate, a Business Combination — We may issue notes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other debt securities, or otherwise incur substantial debt, to complete our initial business combination, which may adversely affect our financial condition and thus negatively impact the value of our shareholders’ investment in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Resources could be wasted in researching acquisitions that are not consummated,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$10.00 per share or potentially less than $10.00 per share on our redemption, and our rights will expire worthless. </w:t>
      </w:r>
    </w:p>
    <w:p>
      <w:pPr>
        <w:pStyle w:val="TextBody"/>
        <w:bidi w:val="0"/>
        <w:spacing w:before="260" w:after="283"/>
        <w:jc w:val="left"/>
        <w:rPr>
          <w:rFonts w:ascii="Times New Roman" w:hAnsi="Times New Roman"/>
          <w:sz w:val="20"/>
        </w:rPr>
      </w:pPr>
      <w:r>
        <w:rPr>
          <w:rFonts w:ascii="Times New Roman" w:hAnsi="Times New Roman"/>
          <w:i/>
          <w:color w:val="000000"/>
          <w:sz w:val="20"/>
        </w:rPr>
        <w:t>We may engage in our initial business combination with one or more target businesses that have relationships with entities that may be affiliated with our Sponsor, executive officers or directors, which may raise potential conflicts of interest.</w:t>
      </w:r>
      <w:r>
        <w:rPr>
          <w:rFonts w:ascii="Times New Roman" w:hAnsi="Times New Roman"/>
          <w:color w:val="000000"/>
          <w:sz w:val="20"/>
        </w:rPr>
        <w:t xml:space="preserve">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light of the involvement of our Sponsor, executive officers, directors, and each of their affiliates, with other entities, we may decide to acquire one or more businesses affiliated with our Sponsor, executive officers or directors, or any of their affiliates. Our directors also serve as executive officers and board members for other entities. Our Sponsor, executive officers and directors are not currently aware of any specific opportunities for us to consummate our initial business combination with any entities with which they are affiliated, and there have been no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our initial business combination and such transaction was approved by a majority of our disinterested directors. In such event, neither the Sponsor, nor any executive officer or director, will be entitled to receive or accept a finder’s fee or any other compensation in the event such party originates a business combination. Despite our agreement to obtain an opinion from an independent investment banking firm or another independent entity regarding the fairness to our shareholders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shareholders as they would be absent any conflicts of interest. Our directors have a fiduciary duty to act in the best interests of our shareholders, whether or not a conflict of interest may exist.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 </w:t>
      </w:r>
    </w:p>
    <w:p>
      <w:pPr>
        <w:pStyle w:val="TextBody"/>
        <w:bidi w:val="0"/>
        <w:spacing w:before="260" w:after="283"/>
        <w:jc w:val="left"/>
        <w:rPr>
          <w:rFonts w:ascii="Times New Roman" w:hAnsi="Times New Roman"/>
          <w:sz w:val="20"/>
        </w:rPr>
      </w:pPr>
      <w:r>
        <w:rPr>
          <w:rFonts w:ascii="Times New Roman" w:hAnsi="Times New Roman"/>
          <w:i/>
          <w:color w:val="000000"/>
          <w:sz w:val="20"/>
        </w:rPr>
        <w:t>Since our Sponsor, officers and directors, any other holder of our founder shares, private investor shares and private placement units, including the non-managing investors, will lose their entire investment in us if our initial business combination is not consummated (other than with respect to public shares they may acquire during or after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sz w:val="20"/>
        </w:rPr>
      </w:pPr>
      <w:r>
        <w:rPr>
          <w:rFonts w:ascii="Times New Roman" w:hAnsi="Times New Roman"/>
          <w:i/>
          <w:color w:val="000000"/>
          <w:sz w:val="20"/>
        </w:rPr>
        <w:t>the Offering), and our executive officers and directors have significant financial interests in our Sponsor, a conflict of interest may arise in determining whether a particular acquisition target is appropriate for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our formation on October 29, 2025, one Class B ordinary share that was allotted to Harneys Fiduciary upon our formation was transferred by Harneys Fiduciary to our Sponsor and 7,850,228 Class B ordinary shares were issued to our Sponsor for an aggregate purchase price of $25,000. On November 20, 2025, our Sponsor surrendered 185,802 Class B ordinary shares to us (which were cancelled) for no consideration, leaving outstanding 7,664,427 founder shares. In connection with the entry by our Sponsor, Lynrock and the GigCapital Global advisors, which includes three of our directors, into the Unit Purchase Agreements, our Sponsor has entered into separate agreements with each of Lynrock and the GigCapital Global advisors to sell at the time of the Offering 580,672 founder shares in the aggregate to the GigCapital Global advisors at an aggregate price of $13,503, and 611,236 founder shares to Lynrock at an aggregate price of $14,214, thus recouping in full the amount that our Sponsor paid to purchase all of the founder shares that it purchased, including the 6,472,519 founder shares that it will retain following the sales of founder shares to Lynrock and the GigCapital Global advisors, with the result that our Sponsor will have a $0 per share basis in the founder shares. On November 24, 2025, we granted 15,000 insider shares to Christine Marshall, our Chief Financial Officer, solely in consideration of future services to us, which remain subject to forfeiture back to us in the event she resigns or is removed for cause from her position with us prior to consummation of our initial business combination. The number of founder shares and insider shares together with the private investor shares and private placement shares after the Offering represents 30.8% of the issued and outstanding shares.. The founder shares, insider shares and the private investor shares will be worthless if we do not complete an initial business combination. Drs. Katz and Dinu, who are husband and wife, have a financial interest in an affiliate of our Sponsor, the management company known as GigManagement, LLC, that is providing us with office space and general and administrative services. Drs. Katz and Dinu are also managing members of GigManagement, LLC. The personal and financial interests of our Sponsor, as well as our executive officers and directors with a significant financial interest in our Sponsor, may influence their motivation in identifying and selecting a target business combination, completing an initial business combination and influencing the operation of the business following the initial business combination. This risk may become more acute as the end of the completion window nears, which is the deadline for our completion of an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We may only be able to complete one business combination with the proceeds of the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proceeds after the Offering, the sale of private investor shares and private placement units that we may use to complete our initial business combination is $253,000,000.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solely dependent upon the performance of a single business, property or asset,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dependent upon the development or market acceptance of a single or limited number of products, processes or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lack of diversification may subject us to numerous economic, competitive and regulatory risks, any or all of which may have a substantial adverse impact upon the particular industry in which we may operate subsequent to our initial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 </w:t>
      </w:r>
    </w:p>
    <w:p>
      <w:pPr>
        <w:pStyle w:val="TextBody"/>
        <w:bidi w:val="0"/>
        <w:spacing w:before="240" w:after="283"/>
        <w:jc w:val="left"/>
        <w:rPr>
          <w:rFonts w:ascii="Times New Roman" w:hAnsi="Times New Roman"/>
          <w:sz w:val="20"/>
        </w:rPr>
      </w:pPr>
      <w:r>
        <w:rPr>
          <w:rFonts w:ascii="Times New Roman" w:hAnsi="Times New Roman"/>
          <w:i/>
          <w:color w:val="000000"/>
          <w:sz w:val="20"/>
        </w:rPr>
        <w:t>We may attempt to consummate our initial business combination with a private company about which little information is available, which may result in our initial business combination with a company that is not as profitable as we suspected,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or at all. </w:t>
      </w:r>
    </w:p>
    <w:p>
      <w:pPr>
        <w:pStyle w:val="TextBody"/>
        <w:bidi w:val="0"/>
        <w:spacing w:before="240" w:after="283"/>
        <w:jc w:val="left"/>
        <w:rPr>
          <w:rFonts w:ascii="Times New Roman" w:hAnsi="Times New Roman"/>
          <w:sz w:val="20"/>
        </w:rPr>
      </w:pPr>
      <w:r>
        <w:rPr>
          <w:rFonts w:ascii="Times New Roman" w:hAnsi="Times New Roman"/>
          <w:i/>
          <w:color w:val="000000"/>
          <w:sz w:val="20"/>
        </w:rPr>
        <w:t>Unlike some blank check companies, we do not have a specified maximum redemption threshold. The absence of such a redemption threshold may make it easier for us to consummate our initial business combination with which a substantial majority of our shareholders do not agree.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we have no specified percentage threshold for redemption contained in our amended and restated memorandum and articles of association, our structure is different in this respect from the structure that has been used by many blank check companies. Historically, blank check companies would not be able to consummate an initial business combination if the holders of such company’s public shares voted against a proposed business combination and elected to redeem more than a specified maximum percentage of the shares sold in such company’s IPO, which percentage threshold was typically between 19.99% and 39.99%. As a result, many blank check companies were unable to complete a business combination because the amount of shares voted by their public shareholders electing redemption exceeded the maximum redemption threshold pursuant to which such company could proceed with its initial business combination. As a result, we may be able to consummate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business combination pursuant to the tender offer, have entered into privately negotiated agreements to sell their shares to us or our Sponsor, executive officers, directors, or their affiliates. If too many public shareholders exercise their redemption rights so that we cannot satisfy any net worth or cash requirements, we would not proceed with the redemption of our public shares and the related business combination, and instead may search for an alternate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shareholder meeting. It may be easier for us, therefore, to amend our amended and restated memorandum and articles of association and the trust agreement to facilitate the completion of an initial business combination that some of our shareholders may not support.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provide that any of its provisions related to pre-business combination activity (including the requirement to deposit proceeds of the Offering and the sale of the private investor shares and private placement units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and vote at a shareholder meeting of the Company, and corresponding provisions of the trust agreement governing the release of funds from our trust account may be amended if approved by holders of at least a majority of our ordinary shares, which are represented in person or by proxy and are voted at a general meeting; </w:t>
      </w:r>
      <w:r>
        <w:rPr>
          <w:rFonts w:ascii="Times New Roman" w:hAnsi="Times New Roman"/>
          <w:i/>
          <w:color w:val="000000"/>
          <w:sz w:val="20"/>
        </w:rPr>
        <w:t>provided</w:t>
      </w:r>
      <w:r>
        <w:rPr>
          <w:rFonts w:ascii="Times New Roman" w:hAnsi="Times New Roman"/>
          <w:color w:val="000000"/>
          <w:sz w:val="20"/>
        </w:rPr>
        <w:t xml:space="preserve"> that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Our initial shareholders, and their permitted transferees, if any, who collectively beneficially own, on an as-converted basis, 30.8% of our issued and outstanding ordinary shares upon the closing of the Offering,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36,546,811 ordinary shares of the Company that will be issued and outstanding shares following the Offering than 30.8%,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an amendment to any such provision is approved by the requisite shareholder vote, then the corresponding provisions of the trust agreement governing the release of funds from our trust account may be amended. Subsequent to the Offering and prior to the consummation of our initial business combination, we may not issue additional securities that can vote on amendments to our amended and restated memorandum and articles of association. Our Sponsor, executive officers and directors (and their permitted transferees) collectively beneficially own approximately 19.5% of our outstanding ordinary shares at the closing of the Offering, and they may participate in any vote to amend our amended and restated memorandum and articles of association and/or trust agreement and will have the discretion to vote in any manner they choose; </w:t>
      </w:r>
      <w:r>
        <w:rPr>
          <w:rFonts w:ascii="Times New Roman" w:hAnsi="Times New Roman"/>
          <w:i/>
          <w:color w:val="000000"/>
          <w:sz w:val="20"/>
        </w:rPr>
        <w:t>provided, that</w:t>
      </w:r>
      <w:r>
        <w:rPr>
          <w:rFonts w:ascii="Times New Roman" w:hAnsi="Times New Roman"/>
          <w:color w:val="000000"/>
          <w:sz w:val="20"/>
        </w:rPr>
        <w:t xml:space="preserve">, each of them has agreed (and any of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the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 </w:t>
      </w:r>
    </w:p>
    <w:p>
      <w:pPr>
        <w:pStyle w:val="TextBody"/>
        <w:bidi w:val="0"/>
        <w:spacing w:before="240" w:after="283"/>
        <w:jc w:val="left"/>
        <w:rPr>
          <w:rFonts w:ascii="Times New Roman" w:hAnsi="Times New Roman"/>
          <w:sz w:val="20"/>
        </w:rPr>
      </w:pPr>
      <w:r>
        <w:rPr>
          <w:rFonts w:ascii="Times New Roman" w:hAnsi="Times New Roman"/>
          <w:i/>
          <w:color w:val="000000"/>
          <w:sz w:val="20"/>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$10.00 per share or potentially less than $10.00 per share on our redemption.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the net proceeds of the Offering and the sale of the founder shares, including the interest earned on the proceeds held in the trust account that may be available to us for our initial business combination, will be sufficient to allow us to consummate our initial business combination, because we have not yet identified any prospective target business we cannot ascertain the capital requirements for any particular transaction. If the net proceeds of the Offering and the sale of the private investor shares and private placement units prove to be insufficient, either because of the size of our initial business combination, the depletion of the available net proceeds in search of a target business, the obligation to repurchase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To the extent that additional financing proves to be unavailable when needed to consummate our initial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combination, we would be compelled to either restructure the transaction or abandon that particular initial business combination and seek an alternative target business candidate. If we are unable to complete our initial business combination, our public shareholders may only receive $10.00 per share or potentially less than $10.00 per share on our redemption.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Our initial shareholders will control a substantial interest in us and thus may influence certain actions requiring a shareholder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consummation of our Offering, our initial shareholders own approximately 30.8% of the issued and outstanding shares. If any of the non-managing investors purchased public units, our initial shareholders will beneficially own a greater amount of the issued and outstanding 36,546,811 ordinary shares of the Company than 30.8%,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our Sponsor, executive officers, directors, or any of their affiliates has indicated any intention to purchase public shares from persons on the open market or in private transactions, but they could determine in the future to make additional purchases on the open market or in private transactions, to the extent permitted by law, in order to influence the vote or magnitude of the number of shareholders seeking to tender their shares to us. Factors that would be considered in making such additional purchases would include consideration of the current trading price of our public shares. Accordingly, the initial shareholders may exert a substantial influence on actions requiring a shareholder vote, potentially in a manner that you do not support, including amendments to our amended and restated memorandum and articles of association.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initial shareholders purchase any additional public shares in the aftermarket or in privately negotiated transactions, this would increase their control. Accordingly, our initial shareholders will continue to exert control at least until the completion of our initial business combination. In addition, we have agreed not to enter into a definitive agreement regarding an initial business combination without the prior consent of our Sponsor. In connection with any vote for a proposed business combination our Sponsor, executive officers and directors have agreed to vote all their shares held by them immediately before the Offering, as well as any public shares acquired in the Offering or in the aftermarket in favor of such proposed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Because we must furnish our shareholders with target business financial statements, we may lose the ability to complete an otherwise advantageous initial business combination with some prospective target businesses.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United States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must be prepared in accordance with, or be reconciled to, GAAP, or IFRS as issued by the International Accounting Standards Board,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within our 24-month time frame. </w:t>
      </w:r>
    </w:p>
    <w:p>
      <w:pPr>
        <w:pStyle w:val="TextBody"/>
        <w:bidi w:val="0"/>
        <w:spacing w:before="240" w:after="283"/>
        <w:jc w:val="left"/>
        <w:rPr>
          <w:rFonts w:ascii="Times New Roman" w:hAnsi="Times New Roman"/>
          <w:sz w:val="20"/>
        </w:rPr>
      </w:pPr>
      <w:r>
        <w:rPr>
          <w:rFonts w:ascii="Times New Roman" w:hAnsi="Times New Roman"/>
          <w:i/>
          <w:color w:val="000000"/>
          <w:sz w:val="20"/>
        </w:rPr>
        <w:t>Redeeming shareholders may be unable to sell their securities when they wish to in the event that the proposed business combination is not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require public shareholders who wish to redeem their public shares in connection with any proposed business combination to comply with the delivery requirements discussed above for redemption. If such proposed business combination is not consummated, we will promptly return such certificates to the tendering public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shareholders. Accordingly, investors who attempted to redeem their shares in such a circumstance will be unable to sell their securities after the failed acquisition until we have returned their securities to them. The market price for our public shares may decline during this time and you may not be able to sell your securities when you wish to, even while other shareholders that did not seek redemption may be able to sell their securities. </w:t>
      </w:r>
    </w:p>
    <w:p>
      <w:pPr>
        <w:pStyle w:val="TextBody"/>
        <w:bidi w:val="0"/>
        <w:spacing w:before="240" w:after="283"/>
        <w:jc w:val="left"/>
        <w:rPr>
          <w:rFonts w:ascii="Times New Roman" w:hAnsi="Times New Roman"/>
          <w:sz w:val="20"/>
        </w:rPr>
      </w:pPr>
      <w:r>
        <w:rPr>
          <w:rFonts w:ascii="Times New Roman" w:hAnsi="Times New Roman"/>
          <w:i/>
          <w:color w:val="000000"/>
          <w:sz w:val="20"/>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Like most SPACs, our structure may not fully align the economic interests of our Sponsor and those persons, including certain of our officers and directors, who have interests in our Sponsor with the economic interests of our public shareholders. Upon the closing of the Offering our designated investors paid us an aggregate of $1,071,771 to own 7,664,427 founder shares and 107,500 private placement units, and our investors paid an aggregate of $2,814,541 for 3,178,430 private investor shares and 281,454 private placement units. Our Sponsor (after giving effect to the sales of shares to the GigCapital Global advisors and Lynrock) has $0 per share basis in the founder shares that it retained, each of the other designated investors and the non-managing investors paid $0.023254 per founder share, and each of the designated investors and non-managing investors paid $9.7374 per private placement unit. Our Chief Financial Officer was granted 15,000 insider shares solely in consideration of future services to us. Assuming a trading price of $10.00 per share upon consummation of our initial business combination, the 7,679,427 founder and insider shares held by the designated investors and our Chief Financial Officer would have an aggregate implied value of $76,794,270, and the 107,500 private placement shares that would be held by the Sponsor and the designated investors would have an aggregate implied value of $1,075,000, for an aggregated implied value of all such shares of $77,869,270. Similarly, assuming a trading price of $10.00 per share upon consummation of our initial business combination, the 3,178,430 private investor shares held by the investors would have an aggregate implied value of $31,784,300, and the 281,454 private placement shares that would be held by the investors would have an aggregate implied value of $2,814,540, for an aggregate implied value of all such shares of $34,598,840. Even if the trading price of our public shares was as low as $0.00326 per share, the value of the founder and insider shares would be equal to the $25,000 amount paid to us by the Sponsor for the founder shares. Additionally, even if the trading price of our public shares was as low as $0.813 per share, the value of the combined private investor shares and private placement shares collectively held by the investors would be equal to the aggregate investment of the investors in us. Furthermore, if the trading price of our public shares was as low as $0.3478 per share, the value of the aggregated shares of the designated investors and investors collectively (the founder shares, insider shares, private investors shares and the private placement shares combined) would be equal to the total amount paid to us by the designated investors (after giving effect to the sales of shares to the GigCapital Global advisors and Lynrock) and investors to acquire our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so long as we complete an initial business combination, our insiders and non-managing investors are likely to be able to recoup their investment in us and make a substantial profit on that investment, even if our public shares lose significant value. Accordingly, our insiders, the non-managing investors and members of our management team who own interests in our Sponsor may have incentives to pursue and consummate an initial business combination quickly, with a risky or not well established target business, and/or on transaction terms favorable to the equityholders of the target business, rather than continue to seek a more favorable business combination transaction that could result in an improved outcome for our public shareholders or liquidate and return all of the cash in the trust to the public shareholders. For the foregoing reasons, you should consider our insiders’, the non-managing investors’ and our management team’s financial incentive to complete an initial business combination when evaluating whether to invest in the Offering and/or redeem your shares prior to or in connection with an initial business combination. The non-managing investors will share in any appreciation of the private placement shares if we successfully complete a business combination. Accordingly, non-managing investors’ interests in the private placement shares owned by them may provide them with an incentive to vote any public shares they own in favor of a business combination, and make a substantial profit on such interests, even if the business combination is with a target that ultimately declines in value and is not profitable for other public shareholders. </w:t>
      </w:r>
    </w:p>
    <w:p>
      <w:pPr>
        <w:pStyle w:val="TextBody"/>
        <w:bidi w:val="0"/>
        <w:spacing w:before="240" w:after="283"/>
        <w:jc w:val="left"/>
        <w:rPr>
          <w:rFonts w:ascii="Times New Roman" w:hAnsi="Times New Roman"/>
          <w:sz w:val="20"/>
        </w:rPr>
      </w:pPr>
      <w:r>
        <w:rPr>
          <w:rFonts w:ascii="Times New Roman" w:hAnsi="Times New Roman"/>
          <w:i/>
          <w:color w:val="000000"/>
          <w:sz w:val="20"/>
        </w:rPr>
        <w:t>If we are unable to consummate our initial business combination within 24 months from the closing of the Offering, our public shareholders may be forced to wait beyond such period before redemption from our trust account.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consummate our initial business combination within 24 months from the closing of the Offering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required to liquidate prior to distributing the aggregate amount then on deposit in the trust account (net of permitted withdrawals, and less up to $100,000 of interest to pay dissolution expenses) pro rata to our public shareholders, then such winding up, liquidation and distribution must comply with the applicable provisions of Cayman law. In that case, investors may be forced to wait beyond 24 months from the closing of the Offering before the redemption proceeds of our trust account become available to them, and they receive the return of their pro rata portion of the proceeds from our trust account.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public shares. Only upon any such redemption of public shares as we are required to effect or any liquidation will public shareholders be entitled to distributions if we are unable to complete our initial business combination. </w:t>
      </w:r>
    </w:p>
    <w:p>
      <w:pPr>
        <w:pStyle w:val="TextBody"/>
        <w:bidi w:val="0"/>
        <w:jc w:val="left"/>
        <w:rPr>
          <w:rFonts w:ascii="Times New Roman" w:hAnsi="Times New Roman"/>
          <w:sz w:val="20"/>
        </w:rPr>
      </w:pPr>
      <w:r>
        <w:rPr>
          <w:rFonts w:ascii="Times New Roman" w:hAnsi="Times New Roman"/>
          <w:i/>
          <w:color w:val="000000"/>
          <w:sz w:val="20"/>
        </w:rPr>
        <w:t>We may be unable to consummate an initial business combination if a target business requires that we have a certain amount of cash at closing, in which case public shareholders may have to remain shareholders of our Company and wait until our redemption of the public shares to receive a pro rata share of the trust account or attempt to sell their shares on the open market.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number of our public shareholders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shareholders may have to remain shareholders of our Company and wait the full 24 months from the closing of the Offering, in order to be able to receive a portion of the trust account, or attempt to sell their shares on the open market prior to such time, in which case they may receive less than they would have in a liquidation of the trust account. If you are in need of immediate liquidity, you could attempt to sell your shares on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on the open market. </w:t>
      </w:r>
    </w:p>
    <w:p>
      <w:pPr>
        <w:pStyle w:val="TextBody"/>
        <w:bidi w:val="0"/>
        <w:spacing w:before="240" w:after="283"/>
        <w:jc w:val="left"/>
        <w:rPr>
          <w:rFonts w:ascii="Times New Roman" w:hAnsi="Times New Roman"/>
          <w:sz w:val="20"/>
        </w:rPr>
      </w:pPr>
      <w:r>
        <w:rPr>
          <w:rFonts w:ascii="Times New Roman" w:hAnsi="Times New Roman"/>
          <w:i/>
          <w:color w:val="000000"/>
          <w:sz w:val="20"/>
        </w:rPr>
        <w:t>Our Sponsor may decide not to extend the term we have to consummate our initial business combination, in which case we would cease all operations except for the purpose of winding up and we would redeem our public shares and liquidate.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have until 24 months from the closing of the Offering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we will, as promptly as reasonably possible but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 than ten (10)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possible claims of creditors and the requirements of other applicable law. </w:t>
      </w:r>
    </w:p>
    <w:p>
      <w:pPr>
        <w:pStyle w:val="TextBody"/>
        <w:bidi w:val="0"/>
        <w:spacing w:before="240" w:after="283"/>
        <w:jc w:val="left"/>
        <w:rPr>
          <w:rFonts w:ascii="Times New Roman" w:hAnsi="Times New Roman"/>
          <w:sz w:val="20"/>
        </w:rPr>
      </w:pPr>
      <w:r>
        <w:rPr>
          <w:rFonts w:ascii="Times New Roman" w:hAnsi="Times New Roman"/>
          <w:i/>
          <w:color w:val="000000"/>
          <w:sz w:val="20"/>
        </w:rPr>
        <w:t>We may seek business combination opportunities with a high degree of complexity that require significant operational improvements, which could delay or prevent us from achieving our desired results.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 </w:t>
      </w:r>
    </w:p>
    <w:p>
      <w:pPr>
        <w:pStyle w:val="TextBody"/>
        <w:bidi w:val="0"/>
        <w:spacing w:before="240" w:after="283"/>
        <w:jc w:val="left"/>
        <w:rPr>
          <w:rFonts w:ascii="Times New Roman" w:hAnsi="Times New Roman"/>
          <w:sz w:val="20"/>
        </w:rPr>
      </w:pPr>
      <w:r>
        <w:rPr>
          <w:rFonts w:ascii="Times New Roman" w:hAnsi="Times New Roman"/>
          <w:i/>
          <w:color w:val="000000"/>
          <w:sz w:val="20"/>
        </w:rPr>
        <w:t>We may not hold an annual meeting of shareholders until after the consummation of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Nasdaq corporate governance requirements, we are not required to hold an annual meeting until one year after the first full fiscal year that the Company is in existence.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 </w:t>
      </w:r>
    </w:p>
    <w:p>
      <w:pPr>
        <w:pStyle w:val="TextBody"/>
        <w:bidi w:val="0"/>
        <w:spacing w:before="240" w:after="283"/>
        <w:jc w:val="left"/>
        <w:rPr>
          <w:rFonts w:ascii="Times New Roman" w:hAnsi="Times New Roman"/>
          <w:sz w:val="20"/>
        </w:rPr>
      </w:pPr>
      <w:r>
        <w:rPr>
          <w:rFonts w:ascii="Times New Roman" w:hAnsi="Times New Roman"/>
          <w:i/>
          <w:color w:val="000000"/>
          <w:sz w:val="20"/>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require us to provide our public shareholders with the opportunity to redeem their public shares for cash if we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the Offering or (B) with respect to any other provision relating to the rights of holders of our public shares.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 </w:t>
      </w:r>
    </w:p>
    <w:p>
      <w:pPr>
        <w:pStyle w:val="TextBody"/>
        <w:bidi w:val="0"/>
        <w:jc w:val="left"/>
        <w:rPr>
          <w:rFonts w:ascii="Times New Roman" w:hAnsi="Times New Roman"/>
          <w:sz w:val="20"/>
        </w:rPr>
      </w:pPr>
      <w:r>
        <w:rPr>
          <w:rFonts w:ascii="Times New Roman" w:hAnsi="Times New Roman"/>
          <w:i/>
          <w:color w:val="000000"/>
          <w:sz w:val="20"/>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 </w:t>
      </w:r>
    </w:p>
    <w:p>
      <w:pPr>
        <w:pStyle w:val="TextBody"/>
        <w:bidi w:val="0"/>
        <w:spacing w:before="240" w:after="283"/>
        <w:jc w:val="left"/>
        <w:rPr>
          <w:rFonts w:ascii="Times New Roman" w:hAnsi="Times New Roman"/>
          <w:sz w:val="20"/>
        </w:rPr>
      </w:pPr>
      <w:r>
        <w:rPr>
          <w:rFonts w:ascii="Times New Roman" w:hAnsi="Times New Roman"/>
          <w:i/>
          <w:color w:val="000000"/>
          <w:sz w:val="20"/>
        </w:rPr>
        <w:t>Holders of Class A ordinary shares will not be entitled to vote on any appointment of directors we hold prior to the completion of our initial business combination and will also not be able to vote on our continuation in a jurisdiction outside the Cayman Islands prior to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completion of our initial business combination, only holders of our founder shares and private investor shares will have the right to vote on the appointment of directors. Holders of our public shares will not be entitled to vote on the election of directors during such time. Accordingly, you may not have any say in the management of our Company prior to the consummation of an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prior to the closing of our initial business combination, transferring the Company by way of continuation in a jurisdiction outside the Cayman Islands would only require the approval of our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w:t>
      </w:r>
    </w:p>
    <w:p>
      <w:pPr>
        <w:pStyle w:val="TextBody"/>
        <w:bidi w:val="0"/>
        <w:spacing w:before="240" w:after="283"/>
        <w:jc w:val="left"/>
        <w:rPr>
          <w:rFonts w:ascii="Times New Roman" w:hAnsi="Times New Roman"/>
          <w:sz w:val="20"/>
        </w:rPr>
      </w:pPr>
      <w:r>
        <w:rPr>
          <w:rFonts w:ascii="Times New Roman" w:hAnsi="Times New Roman"/>
          <w:i/>
          <w:color w:val="000000"/>
          <w:sz w:val="20"/>
        </w:rPr>
        <w:t>We may not be able to complete a business combination with certain potential target companies if a proposed transaction with the target company may be subject to review or approval by regulatory authorities pursuant to certain U.S. or foreign laws or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Sponsor is a Cayman Islands exempted company. Our Sponsor owns 6,472,519 founder shares. Our Sponsor is governed by a board of directors consisting of two directors, Avi S. Katz and Raluca Dinu, who are U.S. citizens. As such, Drs. Katz and Dinu have voting and investment discretion with respect to the securities held of record by the Sponsor and may be deemed to have shared beneficial ownership of the securities held directly by the Sponsor. The Sponsor is not “controlled” (as defined in 31 CFR 800.208) by a foreign person, such that the Sponsor’s involvement in any business combination would be a “covered transaction” (as defined in 31 CFR 800.213). However, we do have two directors and one GigCapital Global advisor, Admiral (Ret.) David Ben-Bashat and Maj. General (Ret.) Avi Mizrachi and Zeev Weiner, who are non-U.S. persons, none of whom are deemed to have voting and investment discretion with respect to the securities held of record by the Sponsor or “control”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Sponsor, and none of whom has purchased any of our securities. Further, it is possible that non-U.S. persons could be involved in our business combination, which may increase the risk that our business combination becomes subject to regulatory review, including review by the Committee on Foreign Investment in the United States (“CFIUS”), and that restrictions, limitations or conditions will be imposed by CFIUS. If our business combination with a U.S. business is subject to CFIUS review, the scope of which was expanded by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potential business combination with a U.S. business falls within CFIUS’s jurisdiction, we may determine that we are required to make a mandatory filing or that we will submit a voluntary notice to CFIUS, or to proceed with a business combination without notifying CFIUS and risk CFIUS intervention, before or after closing a business combination. CFIUS may decide to block or delay our business combination, impose conditions to mitigate national security concerns with respect to such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similar foreign ownership issues. A failure to notify CFIUS of a transaction where such notification was required or otherwise warranted based on the national security considerations presented by an investment target may expose our Sponsor and/or the combined company to legal penalties, costs, and/or other adverse reputational and financial effects, thus potentially diminishing the value of the combined company. In addition, CFIUS is actively pursuing transactions that were not notified to it and may ask questions regarding, or impose restrictions or mitigation on, a business combination post-closing.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Moreover, the process of government review, whether by the CFIUS or otherwise, could be lengthy and we have limited time to complete our business combination. If we cannot complete a business combination within 24 months from the closing of the Offering because the transaction is still under review or because our business combination is ultimately prohibited by CFIUS or another U.S. government entity, we may be required to liquidate. If we liquidate, shareholders of record may only receive their pro rata portion of funds available in the trust account. This will also cause you to lose the investment opportunity in a target company and the chance of realizing future gains on your investment through any price appreciation in the combined company. </w:t>
      </w:r>
    </w:p>
    <w:p>
      <w:pPr>
        <w:pStyle w:val="TextBody"/>
        <w:bidi w:val="0"/>
        <w:spacing w:before="220" w:after="283"/>
        <w:jc w:val="left"/>
        <w:rPr>
          <w:rFonts w:ascii="Times New Roman" w:hAnsi="Times New Roman"/>
          <w:sz w:val="20"/>
        </w:rPr>
      </w:pPr>
      <w:r>
        <w:rPr>
          <w:rFonts w:ascii="Times New Roman" w:hAnsi="Times New Roman"/>
          <w:i/>
          <w:color w:val="000000"/>
          <w:sz w:val="20"/>
        </w:rPr>
        <w:t>We may engage one or more of our underwriters or one of their respective affiliates to provide additional services to us after the Offering, which may include acting as M&amp;A advisor in connection with an initial business combination or as placement agent in connection with a related financing transaction for an additional fee. These financial incentives may cause them to have potential conflicts of interest in rendering any such additional services to us after the Offering, including, for example, in connection with the sourcing and consummation of an initial business combination.</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Times New Roman" w:hAnsi="Times New Roman"/>
          <w:color w:val="000000"/>
          <w:sz w:val="20"/>
        </w:rPr>
        <w:t xml:space="preserve">We may engage one or more of our underwriters or one of their respective affiliates to provide additional services to us after the Offering, including, for example, identifying potential targets, providing M&amp;A advisory services, acting as a placement agent in a private offering or arranging debt financing transactions. We may pay such underwriter or its affiliate fair and reasonable fees or other compensation that would be determined at that time in an arm’s length negotiation; </w:t>
      </w:r>
      <w:r>
        <w:rPr>
          <w:rFonts w:ascii="Times New Roman" w:hAnsi="Times New Roman"/>
          <w:i/>
          <w:color w:val="000000"/>
          <w:sz w:val="20"/>
        </w:rPr>
        <w:t>provided</w:t>
      </w:r>
      <w:r>
        <w:rPr>
          <w:rFonts w:ascii="Times New Roman" w:hAnsi="Times New Roman"/>
          <w:color w:val="000000"/>
          <w:sz w:val="20"/>
        </w:rPr>
        <w:t xml:space="preserve"> that no agreement will be entered into with any of the underwriters or their respective affiliates and no fees or other compensation for such services will be paid to any of the underwriters or their respective affiliates prior to the date that is 60 days from the date of the prospectus, unless the Financial Industry Regulatory Authority (“FINRA”) determines that such payment would not be deemed underwriters’ compensation in connection with the Offering.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valuation and consummation of an initial business combination. </w:t>
      </w:r>
    </w:p>
    <w:p>
      <w:pPr>
        <w:pStyle w:val="TextBody"/>
        <w:bidi w:val="0"/>
        <w:jc w:val="left"/>
        <w:rPr>
          <w:rFonts w:ascii="Times New Roman" w:hAnsi="Times New Roman"/>
          <w:sz w:val="20"/>
        </w:rPr>
      </w:pPr>
      <w:r>
        <w:rPr>
          <w:rFonts w:ascii="Times New Roman" w:hAnsi="Times New Roman"/>
          <w:i/>
          <w:color w:val="000000"/>
          <w:sz w:val="20"/>
        </w:rPr>
        <w:t>Changes in international trade policies, tariffs and treaties affecting imports and exports may have a material adverse effect on our search for an initial business combination target or the performance or business prospects of a post-business combination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recently been significant changes to international trade policies and tariffs affecting imports and exports. Any significant increases in tariffs on goods or materials or other changes in trade policy could negatively affect our search for a target and/or our ability to complete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Recently, the U.S. has implemented a range of new tariffs and increases to existing tariffs. In response to the tariffs announced by the U.S.,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we enter into a business combination agreement, as a result of tariffs or the threat of tariffs that may have a material impact on that target’s business, and it may be costly or impractical for us to terminate that business combination agreement. These factors could affect our selection of a business combination target.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adequately address the risks presented by these tariffs or other potential trade policy changes. As a result, we may deem it costly, impractical or risky to complete an initial business combination with a particular target or with a target in a particular industry or from a particular country. Consequently, the pool of potential target companies may be reduced, which could impair our ability to identify a suitable target and to complete an initial business combination. If we complete an initial business combination with such a target, the post-business combination company’s operations and financial results could be adversely affected as a result of tariffs or changes to trade policies, which may cause the market value of the securities of the post-business combination company to decline. </w:t>
      </w:r>
    </w:p>
    <w:p>
      <w:pPr>
        <w:pStyle w:val="TextBody"/>
        <w:bidi w:val="0"/>
        <w:spacing w:before="400" w:after="283"/>
        <w:jc w:val="left"/>
        <w:rPr>
          <w:rFonts w:ascii="Times New Roman" w:hAnsi="Times New Roman"/>
          <w:sz w:val="20"/>
        </w:rPr>
      </w:pPr>
      <w:r>
        <w:rPr>
          <w:rFonts w:ascii="Times New Roman" w:hAnsi="Times New Roman"/>
          <w:b/>
          <w:color w:val="000000"/>
          <w:sz w:val="20"/>
        </w:rPr>
        <w:t>Risks Relating to the Post-Business Combination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Subsequent to our consummation of our initial business combination, we may be required to take write-downs or write-offs, or we may be subject to restructuring and impairment or other charges that could have a significant negative effect on our financial condition, results of operations and the price of our public shares, which could cause you to lose some or all of your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conduct thorough due diligence on a target business with which we combine, this diligence may not surface all material issues that may be present inside a particular target business. Factors outside of the target business and outside of our control may, at any time,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40" w:after="283"/>
        <w:jc w:val="left"/>
        <w:rPr>
          <w:rFonts w:ascii="Times New Roman" w:hAnsi="Times New Roman"/>
          <w:sz w:val="20"/>
        </w:rPr>
      </w:pPr>
      <w:r>
        <w:rPr>
          <w:rFonts w:ascii="Times New Roman" w:hAnsi="Times New Roman"/>
          <w:i/>
          <w:color w:val="000000"/>
          <w:sz w:val="20"/>
        </w:rPr>
        <w:t>Our management team and our shareholders may not be able to maintain control of a target business after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structure our initial business combination to acquire less than 100% of the equity interests or assets of a target business, but we will only consummate such business combination if we become the majority shareholder of the target (or control the target through contractual arrangements in limited circumstances for regulatory compliance purposes) or are otherwise not required to register as an investment company under the Investment Company Act. Even though we may own a majority interest in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shareholders immediately prior to such transaction could own less than a majority of our outstanding shares subsequent to such transaction. In addition, other minority shareholders may subsequently combine their holdings resulting in a single person or group obtaining a larger share of the Company’s stock than we initially acquired. Accordingly, this may make it more likely that we will not be able to maintain our control of the post-transaction company. </w:t>
      </w:r>
    </w:p>
    <w:p>
      <w:pPr>
        <w:pStyle w:val="TextBody"/>
        <w:bidi w:val="0"/>
        <w:spacing w:before="240" w:after="283"/>
        <w:jc w:val="left"/>
        <w:rPr>
          <w:rFonts w:ascii="Times New Roman" w:hAnsi="Times New Roman"/>
          <w:sz w:val="20"/>
        </w:rPr>
      </w:pPr>
      <w:r>
        <w:rPr>
          <w:rFonts w:ascii="Times New Roman" w:hAnsi="Times New Roman"/>
          <w:i/>
          <w:color w:val="000000"/>
          <w:sz w:val="20"/>
        </w:rPr>
        <w:t>Transactions in connection with or in anticipation of our initial business combination and our structure thereafter may not be tax-efficient to our shareholders. As a result of our initial business combination, our tax obligations may be more complex, burdensome and uncertain.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will attempt to structure transactions in connection with our initial business combination in a tax-efficient manner, tax structuring considerations are complex, the relevant facts and law are uncertain and may change, and we may prioritize commercial and other considerations over tax considerations. For example, in anticipation of or as a result of our initial business combination, we may enter into one or more transactions that require shareholders to recognize gain or income for tax purposes or otherwise increase their tax burden without prior notice to or approval from our shareholders. We do not intend to make any cash distributions to shareholders to pay taxes in connection with our business combination or thereafter. Accordingly, a shareholder may be required to satisfy any liability resulting from any such transactions with cash from its own funds or by selling all or a portion of such holder’s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we will likely effect a business combination with a target company that has business operations outside of the Cayman Islands and, possibly, business operations in multiple jurisdictions, and we may reincorporate in a different jurisdiction in connection therewith (including, but not limited to, the jurisdiction in which the target company or business is located). For example, in anticipation of engaging in a business combination with certain target companies, we may unilaterally convert into a U.S. company without notice pursuant to our amended and restated memorandum and articles, even if such a business combination ultimately is not achieved. If we effect any such transaction, including such a conversion, we could be subject to significant income, withholding and other tax obligations in a number of jurisdictions with respect to income, operations and subsidiaries related to those jurisdictions. Due to the complexity of tax obligations and filings in many jurisdictions, we may have a heightened risk related to audits or examinations by taxing authorities. This additional complexity and risk could have an adverse effect on our after-tax profitability and financial condition. In addition, shareholders may be subject to additional income, withholding or other taxes with respect to their ownership of us after any such transaction. </w:t>
      </w:r>
    </w:p>
    <w:p>
      <w:pPr>
        <w:pStyle w:val="TextBody"/>
        <w:bidi w:val="0"/>
        <w:spacing w:before="240" w:after="283"/>
        <w:jc w:val="left"/>
        <w:rPr>
          <w:rFonts w:ascii="Times New Roman" w:hAnsi="Times New Roman"/>
          <w:sz w:val="20"/>
        </w:rPr>
      </w:pPr>
      <w:r>
        <w:rPr>
          <w:rFonts w:ascii="Times New Roman" w:hAnsi="Times New Roman"/>
          <w:i/>
          <w:color w:val="000000"/>
          <w:sz w:val="20"/>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economic, political and social conditions, as well as government policies, of the country in which our operations are located could affect our business. Economic growth could be uneven, both geographically and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 </w:t>
      </w:r>
    </w:p>
    <w:p>
      <w:pPr>
        <w:pStyle w:val="TextBody"/>
        <w:bidi w:val="0"/>
        <w:spacing w:before="240" w:after="283"/>
        <w:jc w:val="left"/>
        <w:rPr>
          <w:rFonts w:ascii="Times New Roman" w:hAnsi="Times New Roman"/>
          <w:sz w:val="20"/>
        </w:rPr>
      </w:pPr>
      <w:r>
        <w:rPr>
          <w:rFonts w:ascii="Times New Roman" w:hAnsi="Times New Roman"/>
          <w:i/>
          <w:color w:val="000000"/>
          <w:sz w:val="20"/>
        </w:rPr>
        <w:t>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our initial business combination, the post-business combination company may issue shares to investors in private placement transactions (so-called PIPE transactions) in order to complete an initial business combination and provide sufficient liquidity and capital to the post-business combination entity. The price of the shares so issued in connection with an initial business combination may b</w:t>
      </w:r>
      <w:r>
        <w:rPr>
          <w:rFonts w:ascii="Times New Roman" w:hAnsi="Times New Roman"/>
          <w:b/>
          <w:color w:val="000000"/>
          <w:sz w:val="20"/>
        </w:rPr>
        <w:t>e</w:t>
      </w:r>
      <w:r>
        <w:rPr>
          <w:rFonts w:ascii="Times New Roman" w:hAnsi="Times New Roman"/>
          <w:color w:val="000000"/>
          <w:sz w:val="20"/>
        </w:rPr>
        <w:t xml:space="preserve"> less, and potentially significantly less, than $10.00 per share or the market price for our shares at such time. Any such issuances of equity securities at a price that is less than $10.00 or the prevailing market price of our shares at that time could be structured to ensure a return on investment to the investors and could dilute the interests of our existing shareholders in a manner that would not ordinarily occur in a traditional Offering and could result in both a reduction in the trading price of our shares to the price at which the post-business combination company issues such equity securities and fluctuations in the net tangible book value per share of the combined company’s securities following the completion of our initial business combination. The post-business combination company may also provide price protection or other incentives, or issue convertible securities such as preferred equity or convertible debt, and the exercise or conversion price of those securities may be fixed or adjustable, and may be less, and potentially significantly less, than $10.00 per share or the market price for our shares at such time. Such issuances could also result in additional transaction costs related to our initial business combination compared to a traditional Offering, including the placement fees associated with the engagement of a placement agent in connection with PIPE transactions.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Relating to Acquiring and Operating a Business in Foreign Countries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If we effect our initial business combination with a company located outside of the United States, we would be subject to a variety of additional risks that may adversely affect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effect our initial business combination with such a company, we would be subject to any special considerations or risks associated with companies operating in an international setting, including any of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costs and difficulties inherent in managing cross-border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rules and regulations regarding currency redemption;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complex corporate withholding taxes on individuals;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laws governing the manner in which future business combinations may be effected;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exchange listing and/or delisting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tariffs and trade barriers;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regulations related to customs and import/export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local or regional economic policies and market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unexpected changes in regulatory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challenges in managing and staffing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longer payment cycles;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tax issues, such as tax law changes and variations in tax laws as compared to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currency fluctuations and exchange controls;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rates of inflation;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challenges in collecting accounts receivable;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cultural and language differences;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employment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underdeveloped or unpredictable legal or regulatory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protection of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social unrest, crime, strikes, riots and civil disturbances;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regime changes and political upheaval;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military announced wars;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terrorist attacks, natural disasters, widespread health emergencies and wars;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deterioration of political relations with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 </w:t>
      </w:r>
    </w:p>
    <w:p>
      <w:pPr>
        <w:pStyle w:val="TextBody"/>
        <w:bidi w:val="0"/>
        <w:jc w:val="left"/>
        <w:rPr>
          <w:rFonts w:ascii="Times New Roman" w:hAnsi="Times New Roman"/>
          <w:sz w:val="20"/>
        </w:rPr>
      </w:pPr>
      <w:r>
        <w:rPr>
          <w:rFonts w:ascii="Times New Roman" w:hAnsi="Times New Roman"/>
          <w:b/>
          <w:color w:val="000000"/>
          <w:sz w:val="20"/>
        </w:rPr>
        <w:t>Risks Relating to Our Management Team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officers and directors are not required to, and will not, unless any officer or director otherwise decides to,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including but not limited to new and existing Private-to-Public Equity (PPE) companies, for which they may be entitled to substantial compensation and our officers are not obligated to contribute any specific number of hours per week to our affairs. In particular, certain of our officers and directors provide services to affiliates of our Sponsor. In particular, certain of our officers and directors serve as officers or directors of UpHealth, Inc., QT Imaging Holdings, Inc., GIG7 and GIG8. Our independent directors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Our ability to successfully effect our initial business combination and to be successful thereafter will be largely dependent upon the efforts of our executive officers and directors, some of whom may join the post-transaction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company following our initial business combination. The loss of our executive officers or directors could negatively impact the operations and profitability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are dependent upon a relatively small group of individuals and, in particular, our executive officers and directors. We believe that our success depends on the continued service of our executive officers and directors, at least until we have consummated our initial business combination. In addition, our executive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 Additionally, we do not intend to have any full-time employees prior to the consummation of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role of such persons in the target business following a business combination, however, cannot presently be ascertained. Although some of such persons may remain with the post-transaction company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 </w:t>
      </w:r>
    </w:p>
    <w:p>
      <w:pPr>
        <w:pStyle w:val="TextBody"/>
        <w:bidi w:val="0"/>
        <w:spacing w:before="220" w:after="283"/>
        <w:jc w:val="left"/>
        <w:rPr>
          <w:rFonts w:ascii="Times New Roman" w:hAnsi="Times New Roman"/>
          <w:sz w:val="20"/>
        </w:rPr>
      </w:pPr>
      <w:r>
        <w:rPr>
          <w:rFonts w:ascii="Times New Roman" w:hAnsi="Times New Roman"/>
          <w:i/>
          <w:color w:val="000000"/>
          <w:sz w:val="20"/>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shareholders who choose to retain their securities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 </w:t>
      </w:r>
    </w:p>
    <w:p>
      <w:pPr>
        <w:pStyle w:val="TextBody"/>
        <w:bidi w:val="0"/>
        <w:spacing w:before="220" w:after="283"/>
        <w:jc w:val="left"/>
        <w:rPr>
          <w:rFonts w:ascii="Times New Roman" w:hAnsi="Times New Roman"/>
          <w:sz w:val="20"/>
        </w:rPr>
      </w:pPr>
      <w:r>
        <w:rPr>
          <w:rFonts w:ascii="Times New Roman" w:hAnsi="Times New Roman"/>
          <w:i/>
          <w:color w:val="000000"/>
          <w:sz w:val="20"/>
        </w:rPr>
        <w:t>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Following the completion of the Offering and until we consummate our initial business combination, we intend to engage in the business of identifying and combining with one or more businesses. Our Sponsor and officers and directors are, and may in the future become, affiliated with entities that are engaged in a similar business.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or operating company, with which they may become involved. Any of such companies may present additional conflicts of interest in pursuing an acquisition target.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officers and directors also may become aware of business opportunities which may be appropriate for presentation to us and the other entities to which they owe certain fiduciary or contractual duties.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w:t>
      </w:r>
    </w:p>
    <w:p>
      <w:pPr>
        <w:pStyle w:val="TextBody"/>
        <w:bidi w:val="0"/>
        <w:spacing w:before="240" w:after="283"/>
        <w:jc w:val="left"/>
        <w:rPr>
          <w:rFonts w:ascii="Times New Roman" w:hAnsi="Times New Roman"/>
          <w:sz w:val="20"/>
        </w:rPr>
      </w:pPr>
      <w:r>
        <w:rPr>
          <w:rFonts w:ascii="Times New Roman" w:hAnsi="Times New Roman"/>
          <w:i/>
          <w:color w:val="000000"/>
          <w:sz w:val="20"/>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shareholders.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requirement that our initial business combination must be with one or more target businesses or assets having an aggregate fair market value of at least 80% of the value of the trust account (less any taxes, if any, payable on interest earned)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shareholders. </w:t>
      </w:r>
    </w:p>
    <w:p>
      <w:pPr>
        <w:pStyle w:val="TextBody"/>
        <w:bidi w:val="0"/>
        <w:spacing w:before="220" w:after="283"/>
        <w:jc w:val="left"/>
        <w:rPr>
          <w:rFonts w:ascii="Times New Roman" w:hAnsi="Times New Roman"/>
          <w:sz w:val="20"/>
        </w:rPr>
      </w:pPr>
      <w:r>
        <w:rPr>
          <w:rFonts w:ascii="Times New Roman" w:hAnsi="Times New Roman"/>
          <w:i/>
          <w:color w:val="000000"/>
          <w:sz w:val="20"/>
        </w:rPr>
        <w:t>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executive officers and directors may be able to remain with the post-transaction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Moreover, there is no certainty that any of our executive officers or directors will remain with the post-transaction company after the consummation of our initial business combination. Our executive officers and directors may not remain in senior management or advisory positions with the post-transaction company. The determination as to whether any of our executive officers and directors will remain with the post-transaction company will be made at the time of our initial business combination. </w:t>
      </w:r>
    </w:p>
    <w:p>
      <w:pPr>
        <w:pStyle w:val="TextBody"/>
        <w:bidi w:val="0"/>
        <w:spacing w:before="220" w:after="283"/>
        <w:jc w:val="left"/>
        <w:rPr>
          <w:rFonts w:ascii="Times New Roman" w:hAnsi="Times New Roman"/>
          <w:sz w:val="20"/>
        </w:rPr>
      </w:pPr>
      <w:r>
        <w:rPr>
          <w:rFonts w:ascii="Times New Roman" w:hAnsi="Times New Roman"/>
          <w:i/>
          <w:color w:val="000000"/>
          <w:sz w:val="20"/>
        </w:rPr>
        <w:t>The officers and directors of an acquisition candidate may resign upon consummation of our initial business combination. The loss of an acquisition target’s key personnel could negatively impact the operations and profitability of our post-combination business.</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role of an acquisition target’s key personnel upon the consummation of our initial business combination cannot be ascertained at this time. Although we contemplate that certain members of an acquisition candidate’s management team will remain associated with the post-transaction company following our initial business combination, it is possible that some members of the management team of an acquisition candidate will not wish to remain in place. </w:t>
      </w:r>
    </w:p>
    <w:p>
      <w:pPr>
        <w:pStyle w:val="TextBody"/>
        <w:bidi w:val="0"/>
        <w:spacing w:before="220" w:after="283"/>
        <w:jc w:val="left"/>
        <w:rPr>
          <w:rFonts w:ascii="Times New Roman" w:hAnsi="Times New Roman"/>
          <w:sz w:val="20"/>
        </w:rPr>
      </w:pPr>
      <w:r>
        <w:rPr>
          <w:rFonts w:ascii="Times New Roman" w:hAnsi="Times New Roman"/>
          <w:i/>
          <w:color w:val="000000"/>
          <w:sz w:val="20"/>
        </w:rPr>
        <w:t>Past performance by our management team may not be indicative of future performance of an investment in the Company.</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Information regarding performance by, or businesses associated with, our management team and their affiliates, including GIG1, GIG2, GIG3, GIG4, GIG5, GIG7 and GIG8, is presented for informational purposes only. Past performance by our management team, including with respect to GIG1, GIG2, GIG3, GIG4, GIG5, GIG7 and GIG8, is not a guarantee either (i) that we will be able to identify a suitable candidate for our initial business combination or (ii) of success with respect to any business combination we may consummate. You should not rely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on the historical record of our management team’s performance as indicative of our future performance of an investment in the Company or the returns the Company will, or is likely to, generate going forward. </w:t>
      </w:r>
    </w:p>
    <w:p>
      <w:pPr>
        <w:pStyle w:val="TextBody"/>
        <w:bidi w:val="0"/>
        <w:spacing w:before="220" w:after="283"/>
        <w:jc w:val="left"/>
        <w:rPr>
          <w:rFonts w:ascii="Times New Roman" w:hAnsi="Times New Roman"/>
          <w:sz w:val="20"/>
        </w:rPr>
      </w:pPr>
      <w:r>
        <w:rPr>
          <w:rFonts w:ascii="Times New Roman" w:hAnsi="Times New Roman"/>
          <w:i/>
          <w:color w:val="000000"/>
          <w:sz w:val="20"/>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Individual members of our management team and board of directors 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the market for directors and officers liability insurance could make it more difficult and more expensive for us to negotiate and complete an initial business combination.</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 </w:t>
      </w:r>
    </w:p>
    <w:p>
      <w:pPr>
        <w:pStyle w:val="TextBody"/>
        <w:bidi w:val="0"/>
        <w:spacing w:before="240" w:after="283"/>
        <w:jc w:val="left"/>
        <w:rPr>
          <w:rFonts w:ascii="Times New Roman" w:hAnsi="Times New Roman"/>
          <w:sz w:val="20"/>
        </w:rPr>
      </w:pPr>
      <w:r>
        <w:rPr>
          <w:rFonts w:ascii="Times New Roman" w:hAnsi="Times New Roman"/>
          <w:i/>
          <w:color w:val="000000"/>
          <w:sz w:val="20"/>
        </w:rPr>
        <w:t>Our letter agreement with our Sponsor, officers and directors may be amended without shareholder approval.</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letter agreement with our Sponsor, officers and directors contains provisions relating to transfer restrictions of our founder shares, indemnification of the trust account, waiver of redemption rights and participation in liquidating distributions from the trust account. The letter agreement may be amended without shareholder approval with our written consent as well as the written consent of the Sponsor and our directors and officers to the extent they are the subject of any change, amendment, modification or waiver to the letter agreement. The written consent of D. Boral Capital LLC as the representative of the underwriters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the Offering, they will not, without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prior written consent of the Representative, offer, sell, contract to sell, pledge or otherwise dispose of, directly or indirectly, Class A ordinary shares or any other securities convertible into, or exercisable, or exchangeable for, Class A ordinary shares.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 </w:t>
      </w:r>
    </w:p>
    <w:p>
      <w:pPr>
        <w:pStyle w:val="TextBody"/>
        <w:bidi w:val="0"/>
        <w:jc w:val="left"/>
        <w:rPr>
          <w:rFonts w:ascii="Times New Roman" w:hAnsi="Times New Roman"/>
          <w:sz w:val="20"/>
        </w:rPr>
      </w:pPr>
      <w:r>
        <w:rPr>
          <w:rFonts w:ascii="Times New Roman" w:hAnsi="Times New Roman"/>
          <w:i/>
          <w:color w:val="000000"/>
          <w:sz w:val="20"/>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Relating to Our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permitted withdrawals (less, in the case we are unable to complete our initial business combination, of up to $100,000 of interest). Negative interest rates could reduce the value of the assets held in trust such that the per-share redemption amount received by public shareholders may be less than $10.00 per share. </w:t>
      </w:r>
    </w:p>
    <w:p>
      <w:pPr>
        <w:pStyle w:val="TextBody"/>
        <w:bidi w:val="0"/>
        <w:spacing w:before="240" w:after="283"/>
        <w:jc w:val="left"/>
        <w:rPr>
          <w:rFonts w:ascii="Times New Roman" w:hAnsi="Times New Roman"/>
          <w:sz w:val="20"/>
        </w:rPr>
      </w:pPr>
      <w:r>
        <w:rPr>
          <w:rFonts w:ascii="Times New Roman" w:hAnsi="Times New Roman"/>
          <w:i/>
          <w:color w:val="000000"/>
          <w:sz w:val="20"/>
        </w:rPr>
        <w:t>You will not have any rights or interests in funds from the trust account, except under certain limited circumstances. To liquidate your investment, therefore, you may be forced to sell your public shares, potentially at a 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public shareholders shall be entitled to receive funds from the trust account only (i) in the event of a redemption to public shareholders prior to any winding up in the event we do not consummate our initial business combination or our liquidation, (ii) if they redeem their shares in connection with an initial business combination that we consummate or, (iii) if they redeem their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the Offering, or (B) with respect to any other provision relating to our pre-business combination activity and related shareholders’ rights. In no other circumstances will a shareholder have any right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of any kind to the funds in the trust account. Accordingly, to liquidate your investment, you may be forced to sell your securities, potentially at a loss. </w:t>
      </w:r>
    </w:p>
    <w:p>
      <w:pPr>
        <w:pStyle w:val="TextBody"/>
        <w:bidi w:val="0"/>
        <w:jc w:val="left"/>
        <w:rPr>
          <w:rFonts w:ascii="Times New Roman" w:hAnsi="Times New Roman"/>
          <w:sz w:val="20"/>
        </w:rPr>
      </w:pPr>
      <w:r>
        <w:rPr>
          <w:rFonts w:ascii="Times New Roman" w:hAnsi="Times New Roman"/>
          <w:i/>
          <w:color w:val="000000"/>
          <w:sz w:val="20"/>
        </w:rPr>
        <w:t>Nasdaq may delist our securities from trading on its exchange, which could limit investors’ ability to make transactions in our securities and subject us to additional trading restrictions.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our public units, public shares and public rights are currently listed and traded on Nasdaq,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Offering, we must maintain an average market value of listed securities (generally $50,000,000) and a minimum number of holders of our securities (generally 300 public shareholders).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unless we decide to list on a different Nasdaq tier, such as the Nasdaq Capital Market which has different initial listing requirements, our share price would generally be required to be at least $4.00 per share and we would be required to have a minimum of 400 round lot holders of our securities. We may not be able to meet those initial listing requirements at that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a limited availability of market quotations for our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reduced liquidity for our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determination that our public shares is a “penny stock” which will require brokers trading in our public shares to adhere to more stringent rules and possibly result in a reduced level of trading activity in the secondary trading market for our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limited amount of news and analyst coverage;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decreased ability to issue additional securities or obtain additional financing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National Securities Markets Improvement Act of 1996, which is a federal statute, prevents or preempts the states from regulating the sale of certain securities, which are referred to as “covered securities.” Because our public units, our public shares and our public rights are listed on Nasdaq, our public units, public shares, and public rights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You will not be entitled to protections normally afforded to investors of many other blank check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net proceeds of the Offering and the sale of the private placement units are intended to be used to complete an initial business combination with a target business that has not been selected, we may be deemed to be a “blank check” company under the United States securities laws. However, we are exempt from rules promulgated by the SEC to protect investors in blank check companies, such as Rule 419. Accordingly, investors will not be afforded the benefits or protections of those rules. Among other things, this means our units will be immediately tradable and we have a longer period of time to complete our initial business combination than do companies subject to Rule 419. Moreover, if the Offering were subject to Rule 419, that rule would prohibit the release of any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earned on funds held in the trust account to us unless and until the funds in the trust account were released to us in connection with our completion of an initial business combination.</w:t>
      </w:r>
    </w:p>
    <w:p>
      <w:pPr>
        <w:pStyle w:val="TextBody"/>
        <w:bidi w:val="0"/>
        <w:spacing w:before="240" w:after="283"/>
        <w:jc w:val="left"/>
        <w:rPr>
          <w:rFonts w:ascii="Times New Roman" w:hAnsi="Times New Roman"/>
          <w:sz w:val="20"/>
        </w:rPr>
      </w:pPr>
      <w:r>
        <w:rPr>
          <w:rFonts w:ascii="Times New Roman" w:hAnsi="Times New Roman"/>
          <w:i/>
          <w:color w:val="000000"/>
          <w:sz w:val="20"/>
        </w:rPr>
        <w:t>Purchases of public shares on the open market or in privately negotiated transactions by our Sponsor, directors, executive officers, or their affiliates may make it difficult for us to maintain the listing of our public shares on Nasdaq following the consummation of an initial business combination.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Sponsor, directors, executive officers, or their affiliates purchase public shares on the open market or in privately negotiated transactions, the public “float” of our public shares and the number of beneficial holders of our securities would both be reduced, possibly making it difficult to maintain the listing or trading of our securities on Nasdaq following consummation of the initial business combination. Additionally, at any time at or prior to the completion of our initial business combination, subject to applicable securities laws (including with respect to material nonpublic information), our initial shareholders, directors, executive officers, or their affiliates may enter into transactions with investors and others to provide them with incentives to acquire public shares or not redeem their public shares. Such a purchase may include a contractual acknowledgment that such shareholder, although still the record holder of our shares is no longer the beneficial owner thereof and therefore agrees not to exercise its redemption rights. In the event that our initial shareholders, directors, officers, and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It is intended that, if Rule 10b-18 would apply to purchases by our initial shareholders, directors, officers, and their affiliates, then such purchases will comply with Rule 10b-18 under the Exchange Act, to the extent it applies, which provides a safe harbor for purchases made under certain conditions, including with respect to timing, pricing and volume of purchases.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limit on the number of shares our initial shareholders,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any material non-public information not disclosed to the seller or if such purchases are prohibited by Regulation M under the Exchange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any such purchases of shares could be to (i) increase the likelihood of obtaining shareholder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Any such transactions may result in the completion of our business combination that may not otherwise have been 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 </w:t>
      </w:r>
    </w:p>
    <w:p>
      <w:pPr>
        <w:pStyle w:val="TextBody"/>
        <w:bidi w:val="0"/>
        <w:jc w:val="left"/>
        <w:rPr>
          <w:rFonts w:ascii="Times New Roman" w:hAnsi="Times New Roman"/>
          <w:color w:val="000000"/>
          <w:sz w:val="20"/>
        </w:rPr>
      </w:pPr>
      <w:r>
        <w:rPr>
          <w:rFonts w:ascii="Times New Roman" w:hAnsi="Times New Roman"/>
          <w:color w:val="000000"/>
          <w:sz w:val="20"/>
        </w:rPr>
        <w:t xml:space="preserve">Our initial shareholders, directors, officers, and/or their affiliates anticipate that they may identify the shareholders with whom our initial shareholders, directors, officers, or their affiliates may pursue privately negotiated purchases by either the shareholders contacting us directly or by our receipt of redemption requests submitted by shareholders (holding public shares) following our mailing of proxy materials in connection with our initial business combination. To the extent that our initial shareholders, directors, officers,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initial shareholders, directors, officers, their affiliates will select which shareholders to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shares from based on the negotiated price and number of shares and any other factors that they may deem relevant, and will only purchase shares if such purchases comply with Regulation M under the Exchange Act and the other federal securities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purchases by our initial shareholders, directors, officers,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initial shareholders, directors, officers, and/or their affiliates will be subject to restrictions in making purchases of ordinary shares if the purchases would violate Section 9(a)(2) or Rule 10b-5 of the Exchange Act. Any such purchases will be reported pursuant to Section 13 and Section 16 of the Exchange Act to the extent such purchasers are subject to such reporting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the event our initial shareholders, directors, officers, or their affiliates were to purchase public shares from public shareholders, such purchases would be structured in compliance with the requirements of Rule 14e-5 under the Exchange Act including, in pertinent part, through adherence to the following: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Our registration statement/proxy statement filed for our business combination transaction would disclose the possibility that our initial shareholders, directors, officers, and their affiliates may purchase public shares from public shareholders outside the redemption process, along with the purpose of such purchases;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if our initial shareholders, directors, officers, and their affiliates were to purchase public shares from public shareholders, they would do so at a price no higher than the price offered through our redemption process;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our registration statement/proxy statement filed for our business combination transaction would include a representation that any of our securities purchased by our initial shareholders, directors, officers, and their affiliates would not be voted in favor of approving the business combination transaction;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our initial shareholders, directors, officers, and their affiliates would not possess any redemption rights with respect to our securities or, if they do acquire and possess redemption rights, they would waive such rights; and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we would disclose in a Form 8-K, before our security holder meeting to approve the business combination transaction, the following material items: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amount of our securities purchased outside of the redemption offer by our initial shareholders, directors, officers, and their affiliates, along with the purchase price;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purpose of the purchases by our initial shareholders, directors, officers, and their affiliates;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impact, if any, of the purchases by our initial shareholders, directors, officers, and their affiliates on the likelihood that the business combination transaction will be approved; </w:t>
      </w:r>
    </w:p>
    <w:p>
      <w:pPr>
        <w:pStyle w:val="TextBody"/>
        <w:bidi w:val="0"/>
        <w:jc w:val="left"/>
        <w:rPr>
          <w:rFonts w:ascii="Times New Roman" w:hAnsi="Times New Roman"/>
          <w:color w:val="000000"/>
          <w:sz w:val="20"/>
        </w:rPr>
      </w:pPr>
      <w:r>
        <w:rPr>
          <w:rFonts w:ascii="Times New Roman" w:hAnsi="Times New Roman"/>
          <w:color w:val="000000"/>
          <w:sz w:val="20"/>
        </w:rPr>
        <w:t xml:space="preserve"> the identities of our security holders who sold to our initial shareholders, directors, officers, and their affiliates (if not purchased on the open market) or the nature of our security holders (e.g., 5% security holders) who sold to our initial shareholders, directors, officers, and their affiliates; and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 the number of our securities for which we have received redemption requests pursuant to our redemption offer. </w:t>
      </w:r>
    </w:p>
    <w:p>
      <w:pPr>
        <w:pStyle w:val="TextBody"/>
        <w:bidi w:val="0"/>
        <w:spacing w:before="240" w:after="283"/>
        <w:jc w:val="left"/>
        <w:rPr>
          <w:rFonts w:ascii="Times New Roman" w:hAnsi="Times New Roman"/>
          <w:sz w:val="20"/>
        </w:rPr>
      </w:pPr>
      <w:r>
        <w:rPr>
          <w:rFonts w:ascii="Times New Roman" w:hAnsi="Times New Roman"/>
          <w:i/>
          <w:color w:val="000000"/>
          <w:sz w:val="20"/>
        </w:rPr>
        <w:t>Since only holders of our founder shares, insider shares and private investor shares will have the right to vote on the appointment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completion of the Offering, only holders of our founder shares, insider shares and private investor shares will have the right to vote on the appointment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have a board that includes a majority of “independent directors,” as defined under Nasdaq rules;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have a compensation committee of our board that is comprised entirely of independent directors with a written charter addressing the committee’s purpose and responsibilities;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we have independent director oversight of our director nominations.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 </w:t>
      </w:r>
    </w:p>
    <w:p>
      <w:pPr>
        <w:pStyle w:val="TextBody"/>
        <w:bidi w:val="0"/>
        <w:spacing w:before="240" w:after="283"/>
        <w:jc w:val="left"/>
        <w:rPr>
          <w:rFonts w:ascii="Times New Roman" w:hAnsi="Times New Roman"/>
          <w:sz w:val="20"/>
        </w:rPr>
      </w:pPr>
      <w:r>
        <w:rPr>
          <w:rFonts w:ascii="Times New Roman" w:hAnsi="Times New Roman"/>
          <w:i/>
          <w:color w:val="000000"/>
          <w:sz w:val="20"/>
        </w:rPr>
        <w:t>Because we received an aggregate of $98,911 for the 10,857,857 Class B ordinary shares that were issued collectively to our Sponsor, Lynrock, the six GigCapital Global advisors, the non-managing investors and Ms. Marshall, or a nominal aggregate purchase price of $0.0091 per share, our public shareholders incurred an immediate and material dilution upon the closing of the Offering, and our designated investors and the non-managing investors purchased 388,954 private placement units at a purchase price of $9.7374 per private placement unit, our public shareholders experienced immediate and substantial dilution from the purchase of our public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difference between the public offering price per share and the pro forma net tangible book value per public share after the Offering constitutes the dilution to investors in the Offering. Upon the closing of the Offering, our designated investors paid us an aggregate of $1,071,771 to own 7,664,427 founder shares and 107,500 private placement units, and our investors paid an aggregate of $2,814,541 for 3,178,430 private investor shares and 281,454 private placement units. Our Sponsor (after giving effect to the sales of shares to the GigCapital Global advisors and Lynrock) has a $0 per share basis in the founder shares that it retained, each of the other designated investors and the non-managing investors paid $0.023254 per founder share, and each of the designated investors and non-managing investors paid $9.7374 per private placement unit. In addition, our Chief Financial Officer was granted 15,000 insider shares solely in consideration of future services to us. Upon closing of the Offering, the shareholders incurred an immediate and substantial dilution of approximately 98.3% or $9.83 per share (the difference between the pro forma net tangible book value of $0.17 per share and the initial offering price of $10.00 per share). This dilution would increase to the extent that the anti-dilution provisions of the founder shares, insider shares and private investor shares result in the issuance of Class A ordinary shares on a greater than one-to-one basis upon conversion of such shares at the time of our initial business combination and would become exacerbated to the extent that public shareholders seek redemptions from the trust for their public shares. In addition, because of the anti-dilution protection in the founder shares, insider shares and private investor shares, any equity or equity-linked securities issued in connection with our initial business combination would be disproportionately dilutive to our Class A ordinary shares. Moreover, although we are of the view that our Sponsor, directors and officers paid or will pay fair value for the founder shares and insider shares and the investors will pay fair value for the private investor shares, there is no assurance that a taxing authority would agree with us, and if a taxing authority were to successfully assert otherwise, we may be subject to material withholding and other tax liabilities that could adversely affect our financial condition. </w:t>
      </w:r>
    </w:p>
    <w:p>
      <w:pPr>
        <w:pStyle w:val="TextBody"/>
        <w:bidi w:val="0"/>
        <w:spacing w:before="160" w:after="283"/>
        <w:jc w:val="left"/>
        <w:rPr>
          <w:rFonts w:ascii="Times New Roman" w:hAnsi="Times New Roman"/>
          <w:sz w:val="20"/>
        </w:rPr>
      </w:pPr>
      <w:r>
        <w:rPr>
          <w:rFonts w:ascii="Times New Roman" w:hAnsi="Times New Roman"/>
          <w:i/>
          <w:color w:val="000000"/>
          <w:sz w:val="20"/>
        </w:rPr>
        <w:t>The nominal purchase price paid by our designated investors for the founder shares and paid by the non-managing investors for the private investor shares, as well as the grant of the insider shares to our Chief Financial Officer, in addition to the sale of private placement units to the designated investors and the non-managing investors, may result in significant dilution to the implied value of your public shares upon the consummation of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our formation on October 29, 2025, one Class B ordinary share that was allotted to Harneys Fiduciary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formation was transferred by Harneys Fiduciary to our Sponsor and 7,850,228 Class B ordinary shares were issued to our Sponsor for an aggregate purchase price of $25,000. On November 20, 2025, our Sponsor surrendered 185,802 Class B ordinary shares to us (which were cancelled) for no consideration, with the resulting 7,664,427 founder shares paid for at a purchase price of $0.00326 per share. In connection with the entry by our Sponsor, Lynrock and the GigCapital Global advisors into the Unit Purchase Agreements, our Sponsor entered into separate agreements with each of Lynrock and the GigCapital Global advisors to sell at the time of the Offering 580,672 founder shares in the aggregate to the GigCapital Global advisors at an aggregate price of $13,503, and 611,236 founder shares to non-affiliated Lynrock at an aggregate price of $14,214, thus recouping in full the amount that our Sponsor paid to purchase all of the founder shares that it purchased, including the 6,472,519 founder shares that it will retain following the sales of founder shares to Lynrock and the GigCapital Global advisors, with the result that our Sponsor has a $0 per share basis in the founder shares. Our designated investors also purchased 107,500 private placement units, at a price of $9.7374 per unit, for an aggregate purchase price of $1,046,771 in the private placement that closed simultaneously with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24, 2025, we granted 15,000 insider shares to Christine Marshall, our Chief Financial Officer, solely in consideration of future services to us, which remain subject to forfeiture back to us in the event she resigns or is removed for cause from her position with us prior to consummation of our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Separately, the non-managing investors purchased an aggregate of (a) 3,178,430 Class B ordinary shares at a purchase price per Class B ordinary share of $0.023254, and (b) an aggregate of 281,454 private placement units at a price of $9.7374 per private placement unit, for an aggregate purchase price of $2,814,541 in the private placement that closed simultaneously with the completion of the Offering.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the value of your public shares may be significantly diluted upon the consummation of our initial business combination, when the founder shares, insider shares, private placement shares and private investor shares are converted into public shares. For example, the following table shows the dilutive effect of the founder shares, insider shares, private investor shares and private placement shares on the implied value of the public shares upon the consummation of our initial business combination, assuming that our equity value at that time is $253,000,000, which is the amount in cash we have for our initial business combination in the trust account, assuming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equityholders or other third parties, or the target’s business itself, including its assets, liabilities, management and prospects. At such valuation, our shares would have an implied value of $6.92 per share upon consummation of our initial business combination, which would be a 30.6% decrease as compared to the initial implied value per public share of $10.00 (the price per unit in the Offering, assuming no value is ascribed to the public rights). </w:t>
      </w:r>
    </w:p>
    <w:p>
      <w:pPr>
        <w:pStyle w:val="TextBody"/>
        <w:bidi w:val="0"/>
        <w:jc w:val="left"/>
        <w:rPr/>
      </w:pPr>
      <w:r>
        <w:rPr/>
        <w:t> </w:t>
      </w:r>
    </w:p>
    <w:tbl>
      <w:tblPr>
        <w:tblW w:w="8912" w:type="dxa"/>
        <w:jc w:val="left"/>
        <w:tblInd w:w="0" w:type="dxa"/>
        <w:tblLayout w:type="fixed"/>
        <w:tblCellMar>
          <w:top w:w="28" w:type="dxa"/>
          <w:left w:w="28" w:type="dxa"/>
          <w:bottom w:w="28" w:type="dxa"/>
          <w:right w:w="28" w:type="dxa"/>
        </w:tblCellMar>
      </w:tblPr>
      <w:tblGrid>
        <w:gridCol w:w="6646"/>
        <w:gridCol w:w="2266"/>
      </w:tblGrid>
      <w:tr>
        <w:trPr/>
        <w:tc>
          <w:tcPr>
            <w:tcW w:w="66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Public shares</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25,300,000</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Founder shares</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7,664,427</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Insider shares</w:t>
            </w:r>
            <w:r>
              <w:rPr>
                <w:rFonts w:ascii="Times New Roman" w:hAnsi="Times New Roman"/>
                <w:color w:val="000000"/>
                <w:sz w:val="10"/>
              </w:rPr>
              <w:t>(1)</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pPr>
            <w:r>
              <w:rPr>
                <w:color w:val="000000"/>
              </w:rPr>
              <w:t>                     </w:t>
            </w:r>
            <w:r>
              <w:rPr>
                <w:rFonts w:ascii="Times New Roman" w:hAnsi="Times New Roman"/>
                <w:color w:val="000000"/>
                <w:sz w:val="20"/>
              </w:rPr>
              <w:t xml:space="preserve">15,000 </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Private investor shares</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3,178,430</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Private placement shares underlying private placement units</w:t>
            </w:r>
          </w:p>
        </w:tc>
        <w:tc>
          <w:tcPr>
            <w:tcW w:w="22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388,954</w:t>
            </w:r>
          </w:p>
        </w:tc>
      </w:tr>
      <w:tr>
        <w:trPr/>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Total shares</w:t>
            </w:r>
          </w:p>
        </w:tc>
        <w:tc>
          <w:tcPr>
            <w:tcW w:w="22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36,546,811</w:t>
            </w:r>
          </w:p>
        </w:tc>
      </w:tr>
      <w:tr>
        <w:trPr/>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Total funds in trust available for initial business combination</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$ 253,000,000</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Initial implied value per public share</w:t>
            </w:r>
            <w:r>
              <w:rPr>
                <w:rFonts w:ascii="Times New Roman" w:hAnsi="Times New Roman"/>
                <w:color w:val="000000"/>
                <w:sz w:val="10"/>
              </w:rPr>
              <w:t>(2)</w:t>
            </w:r>
          </w:p>
        </w:tc>
        <w:tc>
          <w:tcPr>
            <w:tcW w:w="22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$ 10.00</w:t>
            </w:r>
          </w:p>
        </w:tc>
      </w:tr>
      <w:tr>
        <w:trPr/>
        <w:tc>
          <w:tcPr>
            <w:tcW w:w="6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Implied value per share upon consummation of initial business combination</w:t>
            </w:r>
            <w:r>
              <w:rPr>
                <w:rFonts w:ascii="Times New Roman" w:hAnsi="Times New Roman"/>
                <w:color w:val="000000"/>
                <w:sz w:val="10"/>
              </w:rPr>
              <w:t>(3)</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$ 6.92</w:t>
            </w:r>
          </w:p>
        </w:tc>
      </w:tr>
    </w:tbl>
    <w:p>
      <w:pPr>
        <w:pStyle w:val="TextBody"/>
        <w:bidi w:val="0"/>
        <w:jc w:val="left"/>
        <w:rPr>
          <w:rFonts w:ascii="Times New Roman" w:hAnsi="Times New Roman"/>
          <w:color w:val="000000"/>
          <w:sz w:val="20"/>
        </w:rPr>
      </w:pPr>
      <w:r>
        <w:rPr>
          <w:rFonts w:ascii="Times New Roman" w:hAnsi="Times New Roman"/>
          <w:color w:val="000000"/>
          <w:sz w:val="20"/>
        </w:rPr>
        <w:t>(1) 15,000 insider shares remain subject to forfeiture back to us in the event the Chief Financial Officer resigns or is removed for cause from her position with us prior to consummation of our initial business combination.</w:t>
      </w:r>
    </w:p>
    <w:p>
      <w:pPr>
        <w:pStyle w:val="TextBody"/>
        <w:bidi w:val="0"/>
        <w:jc w:val="left"/>
        <w:rPr>
          <w:rFonts w:ascii="Times New Roman" w:hAnsi="Times New Roman"/>
          <w:color w:val="000000"/>
          <w:sz w:val="20"/>
        </w:rPr>
      </w:pPr>
      <w:r>
        <w:rPr>
          <w:rFonts w:ascii="Times New Roman" w:hAnsi="Times New Roman"/>
          <w:color w:val="000000"/>
          <w:sz w:val="20"/>
        </w:rPr>
        <w:t xml:space="preserve">(2) While the public shareholders’ investment is in both the public shares and the public rights, for purposes of this table the full investment amount is ascribed to the public shares only. </w:t>
      </w:r>
    </w:p>
    <w:p>
      <w:pPr>
        <w:pStyle w:val="TextBody"/>
        <w:bidi w:val="0"/>
        <w:jc w:val="left"/>
        <w:rPr>
          <w:rFonts w:ascii="Times New Roman" w:hAnsi="Times New Roman"/>
          <w:color w:val="000000"/>
          <w:sz w:val="20"/>
        </w:rPr>
      </w:pPr>
      <w:r>
        <w:rPr>
          <w:rFonts w:ascii="Times New Roman" w:hAnsi="Times New Roman"/>
          <w:color w:val="000000"/>
          <w:sz w:val="20"/>
        </w:rPr>
        <w:t xml:space="preserve">(3) All founder shares and private investor shares would automatically convert into Class A ordinary shares upon completion of our initial business combination or earlier at the option of the holder.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This dilution would increase to the extent that the anti-dilution provisions of the founder shares and private investor shares result in the issuance of Class A ordinary shares on a greater than one-to-one basis upon conversion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of the founder shares and private investor shares at the time of our initial business combination and would become exacerbated to the extent that public shareholders seek redemptions from the trust for their public shares. In addition, because of the anti-dilution protection in the founder shares and private investor shares, any equity or equity-linked securities issued in connection with our initial business combination would be disproportionately dilutive to our Class A ordinary shares. </w:t>
      </w:r>
    </w:p>
    <w:p>
      <w:pPr>
        <w:pStyle w:val="TextBody"/>
        <w:bidi w:val="0"/>
        <w:spacing w:before="180" w:after="283"/>
        <w:jc w:val="left"/>
        <w:rPr>
          <w:rFonts w:ascii="Times New Roman" w:hAnsi="Times New Roman"/>
          <w:sz w:val="20"/>
        </w:rPr>
      </w:pPr>
      <w:r>
        <w:rPr>
          <w:rFonts w:ascii="Times New Roman" w:hAnsi="Times New Roman"/>
          <w:i/>
          <w:color w:val="000000"/>
          <w:sz w:val="20"/>
        </w:rPr>
        <w:t>The grant of registration rights to our initial shareholders may make it more difficult to complete our initial business combination, and the future exercise of such rights may adversely affect the market price of our ordinary shares.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Pursuant to an agreement entered into concurrently with the issuance and sale of the securities in the Offering, holders of the founder shares, insider shares, private placement units and any units that may be issued upon conversion of working capital loans may demand that we register such units and/or underlying securities. We will bear the cost of registering these securities. The registration and availability of such a significant number of securities for trading in the public market may have an adverse effect on the market price of our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ordinary shares that is expected when the founder shares, insider shares, private placement units and any units that may be issued upon conversion of working capital loans are registered. </w:t>
      </w:r>
    </w:p>
    <w:p>
      <w:pPr>
        <w:pStyle w:val="TextBody"/>
        <w:bidi w:val="0"/>
        <w:spacing w:before="240" w:after="283"/>
        <w:jc w:val="left"/>
        <w:rPr>
          <w:rFonts w:ascii="Times New Roman" w:hAnsi="Times New Roman"/>
          <w:sz w:val="20"/>
        </w:rPr>
      </w:pPr>
      <w:r>
        <w:rPr>
          <w:rFonts w:ascii="Times New Roman" w:hAnsi="Times New Roman"/>
          <w:i/>
          <w:color w:val="000000"/>
          <w:sz w:val="20"/>
        </w:rPr>
        <w:t>We may amend the terms of the rights in a manner that may be adverse to holders with the approval by the holders of at least a majority of the then outstanding rights.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rights were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 </w:t>
      </w:r>
    </w:p>
    <w:p>
      <w:pPr>
        <w:pStyle w:val="TextBody"/>
        <w:bidi w:val="0"/>
        <w:spacing w:before="240" w:after="283"/>
        <w:jc w:val="left"/>
        <w:rPr>
          <w:rFonts w:ascii="Times New Roman" w:hAnsi="Times New Roman"/>
          <w:sz w:val="20"/>
        </w:rPr>
      </w:pPr>
      <w:r>
        <w:rPr>
          <w:rFonts w:ascii="Times New Roman" w:hAnsi="Times New Roman"/>
          <w:i/>
          <w:color w:val="000000"/>
          <w:sz w:val="20"/>
        </w:rPr>
        <w:t>Our rights may have an adverse effect on the market price of our ordinary shares and make it more difficult to complete our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issued rights as part of the units sold in the Offering entitling the holders to receive an aggregate of up to 5,060,000 ordinary shares. Simultaneously with the closing of the Offering, we issued as part of the private placement units rights entitling the holders to receive an aggregate of 77,788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we issue ordinary shares to complete a business combination, the potential for the issuance of a substantial number of additional ordinary shares upon conversion of the rights could make us a less attractive acquisition vehicle to a target business. Any such issuance will increase the number of issued and outstanding ordinary shares and reduce the value of the ordinary shares issued to complete the business combination. Therefore, our rights may make it more difficult to complete a business combination or increase the cost of acquiring the target business. </w:t>
      </w:r>
    </w:p>
    <w:p>
      <w:pPr>
        <w:pStyle w:val="TextBody"/>
        <w:bidi w:val="0"/>
        <w:spacing w:before="240" w:after="283"/>
        <w:jc w:val="left"/>
        <w:rPr>
          <w:rFonts w:ascii="Times New Roman" w:hAnsi="Times New Roman"/>
          <w:sz w:val="20"/>
        </w:rPr>
      </w:pPr>
      <w:r>
        <w:rPr>
          <w:rFonts w:ascii="Times New Roman" w:hAnsi="Times New Roman"/>
          <w:i/>
          <w:color w:val="000000"/>
          <w:sz w:val="20"/>
        </w:rPr>
        <w:t>If we are deemed to be an investment company for purposes of the Investment Company Act, we could be forced to liquidate and investors in our Company would not be able to participate in any benefits of owning stock in an operating business, including the potential appreciation of our stock following a business combination and our rights would expire worthless.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indicated above, we have 24 months from the closing of the Offering to consummate an initial business combination. It is possible that a claim in the future could be made that we have been operating as an unregistered investment company. It is also possible that the investment of funds from the Offering and private placement of units during our life as a blank check company, and the earning and use of interest from such investment, both of which will likely continue until we consummate an initial business combination, could increase the likelihood of us being found to have been operating as an unregistered investment company more than if we sought to potentially mitigate this risk by holding such funds as cash. Furthermore, the longer the funds are invested in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0"/>
        </w:rPr>
        <w:t xml:space="preserve">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the greater the risk could be that we are considered an investment company. If we are deemed to be an investment company for purposes of the Investment Company Act and found to have been operating as an unregistered investment company, it could cause us to liquidate. If we are forced to liquidate, investors in our Company would not be able to participate in any benefits of owning stock in an operating business, including the potential appreciation of our stock following a business combination and our rights would expire worthless. </w:t>
      </w:r>
    </w:p>
    <w:p>
      <w:pPr>
        <w:pStyle w:val="TextBody"/>
        <w:bidi w:val="0"/>
        <w:spacing w:before="240" w:after="283"/>
        <w:jc w:val="left"/>
        <w:rPr>
          <w:rFonts w:ascii="Times New Roman" w:hAnsi="Times New Roman"/>
          <w:sz w:val="20"/>
        </w:rPr>
      </w:pPr>
      <w:r>
        <w:rPr>
          <w:rFonts w:ascii="Times New Roman" w:hAnsi="Times New Roman"/>
          <w:i/>
          <w:color w:val="000000"/>
          <w:sz w:val="20"/>
        </w:rPr>
        <w:t>Our rights agreement designates the courts of the State of New York located in the County of New York or the United States District Court for the Southern District of New York as the sole and exclusive forum for certain types of actions and proceedings that may be initiated by holders of our rights, as applicable, which could limit the ability of rights holders to obtain a favorable judicial forum for disputes with our Company.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rights agreement provides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choice-of-forum provision may limit a right holder’s ability to bring a claim in a judicial forum that it finds favorable for disputes with our Company, which may discourage such lawsuits. Right holders who are unable to bring their claims in the judicial forum of their choosing may be required to incur additional costs in pursuit of actions which are subject to our choice-of-forum provisions.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t>
      </w:r>
    </w:p>
    <w:p>
      <w:pPr>
        <w:pStyle w:val="TextBody"/>
        <w:bidi w:val="0"/>
        <w:spacing w:before="240" w:after="283"/>
        <w:jc w:val="left"/>
        <w:rPr>
          <w:rFonts w:ascii="Times New Roman" w:hAnsi="Times New Roman"/>
          <w:sz w:val="20"/>
        </w:rPr>
      </w:pPr>
      <w:r>
        <w:rPr>
          <w:rFonts w:ascii="Times New Roman" w:hAnsi="Times New Roman"/>
          <w:i/>
          <w:color w:val="000000"/>
          <w:sz w:val="20"/>
        </w:rPr>
        <w:t>The determination of the offering price of our public units and the size of the Offering is more arbitrary than the pricing of securities and size of an offering of an operating company in a particular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Offering there has been no public market for any of our securities. The public offering price of the public units and the terms of the rights were negotiated between us and the underwriters. In determining the size of the Offering, management held customary organizational meetings with the Representative, with respect to the state of capital markets, generally, and the amount the underwriters believed they reasonably could raise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considered in determining the size of the Offering, prices and terms of the public units, including the public shares and public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history and prospects of companies whose principal business is the acquisition of other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prior offerings of those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prospects for acquiring an operating business at attractive values;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review of debt-to-equity ratios in leveraged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capital 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assessment of our management and their experience in identifying operating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general conditions of the securities markets at the time of the Offering;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other factors as were deemed relevant.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these factors were considered, the determination of our offering price is more arbitrary than the pricing of securities of an operating company in a particular industry since we have no historical operations or financial results. </w:t>
      </w:r>
    </w:p>
    <w:p>
      <w:pPr>
        <w:pStyle w:val="TextBody"/>
        <w:bidi w:val="0"/>
        <w:spacing w:before="240" w:after="283"/>
        <w:jc w:val="left"/>
        <w:rPr>
          <w:rFonts w:ascii="Times New Roman" w:hAnsi="Times New Roman"/>
          <w:sz w:val="20"/>
        </w:rPr>
      </w:pPr>
      <w:r>
        <w:rPr>
          <w:rFonts w:ascii="Times New Roman" w:hAnsi="Times New Roman"/>
          <w:i/>
          <w:color w:val="000000"/>
          <w:sz w:val="20"/>
        </w:rPr>
        <w:t>We may issue our shares to investors in connection with our initial business combination at a price which is less than the prevailing market price of our shares at that time.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 </w:t>
      </w:r>
    </w:p>
    <w:p>
      <w:pPr>
        <w:pStyle w:val="TextBody"/>
        <w:bidi w:val="0"/>
        <w:spacing w:before="240" w:after="283"/>
        <w:jc w:val="left"/>
        <w:rPr>
          <w:rFonts w:ascii="Times New Roman" w:hAnsi="Times New Roman"/>
          <w:sz w:val="20"/>
        </w:rPr>
      </w:pPr>
      <w:r>
        <w:rPr>
          <w:rFonts w:ascii="Times New Roman" w:hAnsi="Times New Roman"/>
          <w:i/>
          <w:color w:val="000000"/>
          <w:sz w:val="20"/>
        </w:rPr>
        <w:t>An investment in our securities, and certain subsequent transactions with respect to our securities, may result in uncertain or adverse U.S. federal income tax consequences for an investor.</w:t>
      </w:r>
      <w:r>
        <w:rPr>
          <w:rFonts w:ascii="Times New Roman" w:hAnsi="Times New Roman"/>
          <w:color w:val="000000"/>
          <w:sz w:val="20"/>
        </w:rPr>
        <w:t xml:space="preserve"> </w:t>
      </w:r>
    </w:p>
    <w:p>
      <w:pPr>
        <w:pStyle w:val="TextBody"/>
        <w:bidi w:val="0"/>
        <w:spacing w:before="300" w:after="283"/>
        <w:jc w:val="left"/>
        <w:rPr>
          <w:rFonts w:ascii="Times New Roman" w:hAnsi="Times New Roman"/>
          <w:color w:val="000000"/>
          <w:sz w:val="20"/>
        </w:rPr>
      </w:pPr>
      <w:r>
        <w:rPr>
          <w:rFonts w:ascii="Times New Roman" w:hAnsi="Times New Roman"/>
          <w:color w:val="000000"/>
          <w:sz w:val="20"/>
        </w:rPr>
        <w:t xml:space="preserve">An investment in our securities, and certain subsequent transactions with respect to our securities, may result in uncertain or adverse U.S. federal income tax consequences for an investor. For instance, because there is no authority that directly addresses the U.S. federal income tax implications of instruments similar to the public units we are issuing in the Offering, the allocation an investor makes of the purchase price of a public unit between the public share and the public rights included in each unit could be challenged by the Internal Revenue Service (the “IRS”) or the courts. Furthermore, the U.S. federal income tax consequences of a cashless exercise of public rights is unclear under current law. Additionally, it is unclear whether the redemption rights with respect to our public shares suspend the running of a U.S. Holder’s (as defined in the section captioned “Taxation—Material United States Federal Income Tax Considerations—U.S. Holders” below) holding period for purposes of determining whether any gain or loss realized by such holder on the sale or exchange of public shares is long-term capital gain or loss and for determining whether any dividend we pay would be eligible for favorable U.S. federal income tax treatment. Each prospective investor is urged to consult with and rely solely upon its own tax advisors with respect to these and other tax consequences when purchasing, holding or disposing of our securities. </w:t>
      </w:r>
    </w:p>
    <w:p>
      <w:pPr>
        <w:pStyle w:val="TextBody"/>
        <w:bidi w:val="0"/>
        <w:spacing w:before="240" w:after="283"/>
        <w:jc w:val="left"/>
        <w:rPr>
          <w:rFonts w:ascii="Times New Roman" w:hAnsi="Times New Roman"/>
          <w:sz w:val="20"/>
        </w:rPr>
      </w:pPr>
      <w:r>
        <w:rPr>
          <w:rFonts w:ascii="Times New Roman" w:hAnsi="Times New Roman"/>
          <w:i/>
          <w:color w:val="000000"/>
          <w:sz w:val="20"/>
        </w:rPr>
        <w:t>Whether a redemption of public shares will be treated as a sale of such public shares for U.S. federal income tax purposes will depend on a shareholder’s specific facts.</w:t>
      </w:r>
      <w:r>
        <w:rPr>
          <w:rFonts w:ascii="Times New Roman" w:hAnsi="Times New Roman"/>
          <w:color w:val="000000"/>
          <w:sz w:val="20"/>
        </w:rPr>
        <w:t xml:space="preserve"> </w:t>
      </w:r>
    </w:p>
    <w:p>
      <w:pPr>
        <w:pStyle w:val="TextBody"/>
        <w:bidi w:val="0"/>
        <w:spacing w:before="300" w:after="283"/>
        <w:jc w:val="left"/>
        <w:rPr>
          <w:rFonts w:ascii="Times New Roman" w:hAnsi="Times New Roman"/>
          <w:color w:val="000000"/>
          <w:sz w:val="20"/>
        </w:rPr>
      </w:pPr>
      <w:r>
        <w:rPr>
          <w:rFonts w:ascii="Times New Roman" w:hAnsi="Times New Roman"/>
          <w:color w:val="000000"/>
          <w:sz w:val="20"/>
        </w:rPr>
        <w:t xml:space="preserve">The U.S. federal income tax treatment of a redemption of public shares will depend on whether the redemption qualifies as a sale of such public shares under Section 302(a) of the Internal Revenue Code of 1986, as amended (the “Code”), which will depend largely on the total number of our shares treated as held by the shareholder electing to redeem public shares (including any shares constructively owned by the holder as a result of owning private placement rights or public rights or otherwise) relative to all of our shares outstanding both before and after the redemption. If such redemption is not treated as a sale of public shares for U.S. federal income tax purposes, the redemption will instead be treated as a corporate distribution of cash from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i/>
          <w:color w:val="000000"/>
          <w:sz w:val="20"/>
        </w:rPr>
        <w:t>We are likely to be treated as a passive foreign investment company (“PFIC”), which could result in adverse U.S. federal income tax consequences to U.S. investors.</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If we are treated as a PFIC for any taxable year in which a U.S. Holder holds our Class A ordinary shares or rights (regardless of whether we remain a PFIC for subsequent taxable years), such U.S. Holder may be subject to certain adverse U.S. federal income tax consequences and may be subject to additional reporting requirements. Our PFIC status for our current and subsequent taxable years may depend on, among other things, the timing of our business combination, the amount of our passive income and assets in the year of the business combination, whether we combine with a U.S. or non-U.S. target company, and the amount of passive income and assets of the acquired business. Our actual PFIC status for our current taxable year or any subsequent taxable year will not be determinable until after the end of such taxable year. However, we anticipate that we are likely to be treated as a PFIC in our current taxable year. </w:t>
      </w:r>
    </w:p>
    <w:p>
      <w:pPr>
        <w:pStyle w:val="TextBody"/>
        <w:bidi w:val="0"/>
        <w:spacing w:before="280" w:after="283"/>
        <w:jc w:val="left"/>
        <w:rPr>
          <w:rFonts w:ascii="Times New Roman" w:hAnsi="Times New Roman"/>
          <w:color w:val="000000"/>
          <w:sz w:val="20"/>
        </w:rPr>
      </w:pPr>
      <w:r>
        <w:rPr>
          <w:rFonts w:ascii="Times New Roman" w:hAnsi="Times New Roman"/>
          <w:color w:val="000000"/>
          <w:sz w:val="20"/>
        </w:rPr>
        <w:t xml:space="preserve">If we determine we are a PFIC for any taxable year, upon written request by a U.S. Holder, we will endeavor to provide to such U.S. Holder such information as the IRS may require, including a PFIC annual information statement, in order to enable such U.S. Holder to make and maintain a “qualified electing fund” (“QEF”) election with respect to its Class A ordinary shares, but there is no assurance that we will timely provide such required information. Furthermore, a U.S. Holder may not make a QEF election with respect to its rights to acquire our Class A ordinary shares. The rules dealing with PFICs and with the QEF election are very complex and are affected by various factors in addition to those described in this Annual Report. Accordingly, U.S. investors are strongly urged to consult with and rely solely upon their own tax advisors regarding the application of the PFIC rules to them in their particular circumstances. </w:t>
      </w:r>
    </w:p>
    <w:p>
      <w:pPr>
        <w:pStyle w:val="TextBody"/>
        <w:bidi w:val="0"/>
        <w:jc w:val="left"/>
        <w:rPr>
          <w:rFonts w:ascii="Times New Roman" w:hAnsi="Times New Roman"/>
          <w:sz w:val="20"/>
        </w:rPr>
      </w:pPr>
      <w:r>
        <w:rPr>
          <w:rFonts w:ascii="Times New Roman" w:hAnsi="Times New Roman"/>
          <w:i/>
          <w:color w:val="000000"/>
          <w:sz w:val="20"/>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Inflation Reduction Act of 2022 provides for, among other things, a new 1% U.S. federal excise tax on certain repurchases (including redemptions) of stock by publicly traded U.S. corporations after December 31, 2022 (the “stock buyback tax”), subject to certain exceptions. If applicable, the amount of the stock buyback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stock buyback tax rate from 1% to 4%; however, it is unclear whether such a change will be enacted and, if enacted, how soon it could take effect. In addition, the U.S. Treasury Department and IRS have released preliminary guidance that would potentially cause a non-U.S. corporation’s U.S. subsidiaries to be subject to the stock buyback tax with respect to any share repurchases made by the non-U.S. corporation under certain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an entity incorporated as a Cayman Islands exempted company, the stock buyback tax is currently not expected to apply to redemptions of our public shares (absent any regulations or other additional guidance that may be issued in the future). However, in connection with an initial business combination involving a company organized under the laws of the United States (or any subdivision thereof), it is possible that we domesticate and continue as a Delaware corporation prior to certain redemptions. Because we expect that, following such a domestication, our securities would continue to trade on Nasdaq, in such a case we could be subject to the stock buyback tax with respect to any subsequent redemptions (including redemptions in connection with the initial business combination) that are treated as repurchases for this purpose. In all cases, whether and to what extent we would be subject to the stock buyback tax will depend on a number of factors, including (i) the structure of the initial business combination, including the extent to which the initial business combination involves a U.S. corporation and the extent to which we issue shares in the initial business combination or otherwise during the same taxable year that are eligible to offset any redemptions or other repurchases, (ii) the fair market value of the shares redeemed and (iii) the extent such redemptions could be treated as dividends and not as repurchases. The applicability of the stock buyback tax to us could be further affected by the content of any regulations, clarifications or other additional guidance from the U.S. Treasury Department that may be issued and applicable to the redemptions.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stock buyback tax that becomes payable as a result of any redemptions of our public shares (or other shares into which such public shares may be converted) in connection with our initial business combination or otherwise would be payable by us and not by the redeeming holder. To the extent such taxes are applicable, the amount of cash available to pay redemptions or to transfer to the target business in connection with our initial business combination may be reduced, which could result in our inability to meet conditions in the agreement relating to our initial business combination related to a minimum cash requirement, if any, or otherwise result in the shareholders of the combined company (including any of our shareholders who do not exercise their redemption rights in connection with the initial business combination) to economically bear the impact of such stock buyback tax.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We are a blank check company with no operating history and no revenues, and you have no basis on which to evaluate our ability to achieve our business objective.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blank check company that did not commence operations until the closing of the Offering. Because we lack an operating history, you have no basis upon which to evaluate our ability to achieve our business objective of completing our initial business combination with one or more target businesses. To date, our efforts have been limited to organizational activities as well as activities related to the Offering. We have not selected any specific business combination target and may be unable to complete our initial business combination. If we fail to complete our initial business combination, we will never generate any operating revenues. </w:t>
      </w:r>
    </w:p>
    <w:p>
      <w:pPr>
        <w:pStyle w:val="TextBody"/>
        <w:bidi w:val="0"/>
        <w:spacing w:before="240" w:after="283"/>
        <w:jc w:val="left"/>
        <w:rPr>
          <w:rFonts w:ascii="Times New Roman" w:hAnsi="Times New Roman"/>
          <w:sz w:val="20"/>
        </w:rPr>
      </w:pPr>
      <w:r>
        <w:rPr>
          <w:rFonts w:ascii="Times New Roman" w:hAnsi="Times New Roman"/>
          <w:i/>
          <w:color w:val="000000"/>
          <w:sz w:val="20"/>
        </w:rPr>
        <w:t>Our Sponsor has the ability to remove itself as the Company’s Sponsor or to substantially reduce its interests in the Company before identifying a business combination, which may result in change in the strategy and focus of our Company in pursuing a business combination.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In addition, the members of our Sponsor could, with the permission of the Sponsor’s managing member, transfer their membership interests in the Sponsor, thereby transferring control of our Sponsor to a third party. Through the forgoing means, our Sponsor may remove itself as the Company’s Sponsor, substantially reduce its interests in the Company, or have its control transferred to a third party before we identify a business combination. Any such reduction of the interests of our Sponsor in the securities of the Company or transfer of Sponsor interests may lead to the Sponsor’s managing member no longer having voting power and control over the affairs of the Company in pursuing a business combination. This could also result in a change to our management team, acquisition strategy and criteria and our industry focus without shareholders having the ability to consider the merits of a change in the management team. Additionally, there can be no assurance that any replacement sponsor will successfully identify a business combination target for us, or, even if one is so identified, successfully complete such business combination. </w:t>
      </w:r>
    </w:p>
    <w:p>
      <w:pPr>
        <w:pStyle w:val="TextBody"/>
        <w:bidi w:val="0"/>
        <w:spacing w:before="240" w:after="283"/>
        <w:jc w:val="left"/>
        <w:rPr>
          <w:rFonts w:ascii="Times New Roman" w:hAnsi="Times New Roman"/>
          <w:sz w:val="20"/>
        </w:rPr>
      </w:pPr>
      <w:r>
        <w:rPr>
          <w:rFonts w:ascii="Times New Roman" w:hAnsi="Times New Roman"/>
          <w:i/>
          <w:color w:val="000000"/>
          <w:sz w:val="20"/>
        </w:rPr>
        <w:t>We are an “emerging growth company” and we cannot be certain if the reduced disclosure requirements applicable to emerging growth companies will make our securities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within the meaning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public shares held by non-affiliates exceeds $700 million as of any June 30 before that time, in which case we would no longer be an emerging growth company as of the following January 1. We cannot predict whether investors will find our securities less attractive because we will rely on these exemptions.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a comparison of our financial statements with another public company, unless it is an emerging growth company that has not opted out of using the extended transition period, difficult or impossible because of the potential differences in accounting standards used.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$250 million as of the prior June 30, and (2) our annual revenues equaled or exceeded $100 million during such completed fiscal year or the market value of our ordinary shares held by non-affiliates equals or exceeds $700 million as of the prior June 30. To the extent we take advantage of such reduced disclosure obligations, it may also make comparison of our financial statements with other public companies difficult or impossible. </w:t>
      </w:r>
    </w:p>
    <w:p>
      <w:pPr>
        <w:pStyle w:val="TextBody"/>
        <w:bidi w:val="0"/>
        <w:spacing w:before="220" w:after="283"/>
        <w:jc w:val="left"/>
        <w:rPr>
          <w:rFonts w:ascii="Times New Roman" w:hAnsi="Times New Roman"/>
          <w:sz w:val="20"/>
        </w:rPr>
      </w:pPr>
      <w:r>
        <w:rPr>
          <w:rFonts w:ascii="Times New Roman" w:hAnsi="Times New Roman"/>
          <w:i/>
          <w:color w:val="000000"/>
          <w:sz w:val="20"/>
        </w:rPr>
        <w:t>Because we are incorporated under the laws of the Cayman Islands, you may face difficulties in protecting your interests, and your ability to protect your rights through the U.S. federal courts may be limited.</w:t>
      </w:r>
      <w:r>
        <w:rPr>
          <w:rFonts w:ascii="Times New Roman" w:hAnsi="Times New Roman"/>
          <w:color w:val="000000"/>
          <w:sz w:val="20"/>
        </w:rPr>
        <w:t xml:space="preserv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Our corporate affairs and the rights of shareholders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information needed to establish any facts necessary for a shareholder motion or to solicit proxies from other shareholders in connection with a proxy contest.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hAnsi="Times New Roman"/>
          <w:i/>
          <w:color w:val="000000"/>
          <w:sz w:val="20"/>
        </w:rPr>
        <w:t>provided</w:t>
      </w:r>
      <w:r>
        <w:rPr>
          <w:rFonts w:ascii="Times New Roman" w:hAnsi="Times New Roman"/>
          <w:color w:val="000000"/>
          <w:sz w:val="20"/>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TextBody"/>
        <w:bidi w:val="0"/>
        <w:spacing w:before="200" w:after="283"/>
        <w:jc w:val="left"/>
        <w:rPr>
          <w:rFonts w:ascii="Times New Roman" w:hAnsi="Times New Roman"/>
          <w:sz w:val="20"/>
        </w:rPr>
      </w:pPr>
      <w:r>
        <w:rPr>
          <w:rFonts w:ascii="Times New Roman" w:hAnsi="Times New Roman"/>
          <w:i/>
          <w:color w:val="000000"/>
          <w:sz w:val="20"/>
        </w:rPr>
        <w:t>Compliance obligations under the Sarbanes-Oxley Act may make it more difficult for us to effectuate our initial business combination, require substantial financial and management resources, and increase the time and costs of completing a business combination.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Section 404 of the Sarbanes-Oxley Act requires that we evaluate and report on our system of internal controls beginning with our Annual Report on Form 10-K for the year ending December 31, 2027.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 </w:t>
      </w:r>
    </w:p>
    <w:p>
      <w:pPr>
        <w:pStyle w:val="TextBody"/>
        <w:bidi w:val="0"/>
        <w:spacing w:before="200" w:after="283"/>
        <w:jc w:val="left"/>
        <w:rPr>
          <w:rFonts w:ascii="Times New Roman" w:hAnsi="Times New Roman"/>
          <w:sz w:val="20"/>
        </w:rPr>
      </w:pPr>
      <w:r>
        <w:rPr>
          <w:rFonts w:ascii="Times New Roman" w:hAnsi="Times New Roman"/>
          <w:i/>
          <w:color w:val="000000"/>
          <w:sz w:val="20"/>
        </w:rPr>
        <w:t>Provisions in our amended and restated memorandum and articles of association may inhibit a takeover of us, which could limit the price investors might be willing to pay in the future for our ordinary shares and could entrench management.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 </w:t>
      </w:r>
    </w:p>
    <w:p>
      <w:pPr>
        <w:pStyle w:val="TextBody"/>
        <w:bidi w:val="0"/>
        <w:spacing w:before="180" w:after="283"/>
        <w:jc w:val="left"/>
        <w:rPr>
          <w:rFonts w:ascii="Times New Roman" w:hAnsi="Times New Roman"/>
          <w:sz w:val="20"/>
        </w:rPr>
      </w:pPr>
      <w:r>
        <w:rPr>
          <w:rFonts w:ascii="Times New Roman" w:hAnsi="Times New Roman"/>
          <w:i/>
          <w:color w:val="000000"/>
          <w:sz w:val="20"/>
        </w:rPr>
        <w:t>Our amended and restated memorandum and articles of association provide that the courts of the Cayman Islands will be the exclusive forums for certain disputes between us and our shareholders, which could limit our shareholders’ ability to obtain a favorable judicial forum for complaints against us or our directors, officers or employees.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provide that unless we consent in writing to the selection of an alternative forum, the courts of the Cayman Islands shall have exclusive jurisdiction over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 </w:t>
      </w:r>
    </w:p>
    <w:p>
      <w:pPr>
        <w:pStyle w:val="TextBody"/>
        <w:bidi w:val="0"/>
        <w:spacing w:before="160" w:after="283"/>
        <w:jc w:val="left"/>
        <w:rPr>
          <w:rFonts w:ascii="Times New Roman" w:hAnsi="Times New Roman"/>
          <w:sz w:val="20"/>
        </w:rPr>
      </w:pPr>
      <w:r>
        <w:rPr>
          <w:rFonts w:ascii="Times New Roman" w:hAnsi="Times New Roman"/>
          <w:i/>
          <w:color w:val="000000"/>
          <w:sz w:val="20"/>
        </w:rPr>
        <w:t>Changes in laws or regulations, or a failure to comply with any laws and regulations, may adversely affect our business, investments and results of operations.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 </w:t>
      </w:r>
    </w:p>
    <w:p>
      <w:pPr>
        <w:pStyle w:val="TextBody"/>
        <w:bidi w:val="0"/>
        <w:jc w:val="left"/>
        <w:rPr>
          <w:rFonts w:ascii="Times New Roman" w:hAnsi="Times New Roman"/>
          <w:i/>
          <w:color w:val="000000"/>
          <w:sz w:val="20"/>
        </w:rPr>
      </w:pPr>
      <w:r>
        <w:rPr>
          <w:rFonts w:ascii="Times New Roman" w:hAnsi="Times New Roman"/>
          <w:i/>
          <w:color w:val="000000"/>
          <w:sz w:val="20"/>
        </w:rPr>
        <w:t>We are subject to changing law and regulations regarding regulatory matters, corporate governance and public disclosure that have increased both our costs and the risk of non-compliance.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Changes to laws or regulations or in how such laws or regulations are interpreted or applied, or a failure to comply with any laws, regulations, interpretations or applications may adversely affect our business, including our ability to negotiate and complete our initial business combination.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laws and regulations, and interpretations and applications of such laws and regulations, of national, regional, state and local governments and applicable non-U.S. jurisdictions. In particular, we are required to comply with certain SEC and potentially other legal and regulatory requirements, and our consummation of an initial business combination may be contingent upon our ability to comply with certain laws, regulations, interpretations and applications and any post-business combination company may be subject to additional laws, regulations, interpretations and applications. Compliance with, and monitoring of, the foregoing may be difficult, time consuming and costly. Those laws and regulations and their interpretation and application may also change from time to time, and those changes could have a material adverse effect on our business, including our ability to negotiate and complete an initial business combination. A failure to comply with applicable laws or regulations, as interpreted and applied, could have a material adverse effect on our business, including our ability to negotiate and complete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24, 2024, the SEC issued final rules (the “2024 SPAC Rules”), which became effective on July 1, 2024, that formally adopted some of the SEC’s proposed rules for SPACs that were released on March 30, 2022. The 2024 SPAC Rules, among other items, impose additional disclosure requirements in Offerings by SPACs and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as well as when projections are disclosed in connection with proposed business combination transactions; increase the potential liability of certain participants in proposed business combination transactions; and could impact the extent to which SPACs could become subject to regulation under the Investment Company Act of 1940. The 2024 SPAC Rules may materially adversely affect our business, including our ability to negotiate and complete, and the costs associated with, our initial business combination, and results of operations. </w:t>
      </w:r>
    </w:p>
    <w:p>
      <w:pPr>
        <w:pStyle w:val="TextBody"/>
        <w:bidi w:val="0"/>
        <w:spacing w:before="180" w:after="283"/>
        <w:jc w:val="left"/>
        <w:rPr>
          <w:rFonts w:ascii="Times New Roman" w:hAnsi="Times New Roman"/>
          <w:sz w:val="20"/>
        </w:rPr>
      </w:pPr>
      <w:r>
        <w:rPr>
          <w:rFonts w:ascii="Times New Roman" w:hAnsi="Times New Roman"/>
          <w:i/>
          <w:color w:val="000000"/>
          <w:sz w:val="20"/>
        </w:rPr>
        <w:t>We may reincorporate in another jurisdiction in connection with our initial business combination and such reincorporation may result in taxes imposed on shareholders.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may, in connection with our initial business combination,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 </w:t>
      </w:r>
    </w:p>
    <w:p>
      <w:pPr>
        <w:pStyle w:val="TextBody"/>
        <w:bidi w:val="0"/>
        <w:jc w:val="left"/>
        <w:rPr>
          <w:rFonts w:ascii="Times New Roman" w:hAnsi="Times New Roman"/>
          <w:sz w:val="20"/>
        </w:rPr>
      </w:pPr>
      <w:r>
        <w:rPr>
          <w:rFonts w:ascii="Times New Roman" w:hAnsi="Times New Roman"/>
          <w:i/>
          <w:color w:val="000000"/>
          <w:sz w:val="20"/>
        </w:rPr>
        <w:t>Our initial business combination or reincorporation may result in taxes imposed on shareholders.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may, subject to requisite shareholder approval under the Companies Act, effect a business combination with a target company in another jurisdiction, reincorporate in the jurisdiction in which the target company or business is located, or reincorporate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taxes attributable to such income. Shareholders may be subject to withholding taxes or other taxes with respect to their ownership of us after the reincorporation. </w:t>
      </w:r>
    </w:p>
    <w:p>
      <w:pPr>
        <w:pStyle w:val="TextBody"/>
        <w:bidi w:val="0"/>
        <w:spacing w:before="180" w:after="283"/>
        <w:jc w:val="left"/>
        <w:rPr>
          <w:rFonts w:ascii="Times New Roman" w:hAnsi="Times New Roman"/>
          <w:sz w:val="20"/>
        </w:rPr>
      </w:pPr>
      <w:r>
        <w:rPr>
          <w:rFonts w:ascii="Times New Roman" w:hAnsi="Times New Roman"/>
          <w:i/>
          <w:color w:val="000000"/>
          <w:sz w:val="20"/>
        </w:rPr>
        <w:t>Neither the underwriters nor any of their affiliates have an obligation to provide us with potential investment opportunities or to devote any specified amount of time or support to our Company’s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Neither the underwriters nor any of their affiliates have any legal or contractual obligation to seek on our behalf or to present to us investment opportunities that might be suitable for our business, and may allocate any such opportunities at their discretion to us or other parties. We have no investment management, advisory, consulting or other agreement in place with the underwriters or any of its affiliates that obligates them to undertake efforts on our behalf or that govern the manner in which they will allocate investment opportunities. Even if the underwriters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one of their affiliates refer an opportunity to us, no assurance can be given that such opportunity will result in an acquisition agreement or our initial business combination. </w:t>
      </w:r>
    </w:p>
    <w:p>
      <w:pPr>
        <w:pStyle w:val="TextBody"/>
        <w:bidi w:val="0"/>
        <w:spacing w:before="180" w:after="283"/>
        <w:jc w:val="left"/>
        <w:rPr>
          <w:rFonts w:ascii="Times New Roman" w:hAnsi="Times New Roman"/>
          <w:sz w:val="20"/>
        </w:rPr>
      </w:pPr>
      <w:r>
        <w:rPr>
          <w:rFonts w:ascii="Times New Roman" w:hAnsi="Times New Roman"/>
          <w:i/>
          <w:color w:val="000000"/>
          <w:sz w:val="20"/>
        </w:rPr>
        <w:t>We intend to offer each public shareholder the option to vote in favor of the proposed business combination and still seek redemption of such shareholders’ public shares.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connection with any meeting held to approve an initial business combination, we will offer each public shareholder (but not our Sponsor, executive officers and directors) the right to have his, her or its public shares redeemed for cash regardless of whether such shareholder votes for or against such proposed business combination or votes at all. This is different than other similarly structured blank check companies where shareholders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 </w:t>
      </w:r>
    </w:p>
    <w:p>
      <w:pPr>
        <w:pStyle w:val="TextBody"/>
        <w:bidi w:val="0"/>
        <w:spacing w:before="180" w:after="283"/>
        <w:jc w:val="left"/>
        <w:rPr>
          <w:rFonts w:ascii="Times New Roman" w:hAnsi="Times New Roman"/>
          <w:sz w:val="20"/>
        </w:rPr>
      </w:pPr>
      <w:r>
        <w:rPr>
          <w:rFonts w:ascii="Times New Roman" w:hAnsi="Times New Roman"/>
          <w:i/>
          <w:color w:val="000000"/>
          <w:sz w:val="20"/>
        </w:rPr>
        <w:t>Because of our structure, other companies may have a competitive advantage and we may not be able to consummate an attractive business combination.</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expect to encounter intense competition from entities other than blank check companies having a business objective similar to ours, including private equity groups,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shareholder approval of our initial business combination may delay the consummation of a transaction. Any of the foregoing may place us at a competitive disadvantage in successfully negotiating our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do not intend to hold an annual meeting of shareholders to elect new directors prior to the completion of our business combination. Unless we hold an annual meeting, all of the current directors will continue in office until at least the completion of the business combination. If there is an annual meeting, the entire board of directors will be considered for election, however our initial shareholders, because of their ownership position, will have considerable influence regarding the outcome. Accordingly, our initial shareholders will continue to exert control at least until the completion of our business combination. </w:t>
      </w:r>
    </w:p>
    <w:p>
      <w:pPr>
        <w:pStyle w:val="TextBody"/>
        <w:bidi w:val="0"/>
        <w:jc w:val="left"/>
        <w:rPr>
          <w:rFonts w:ascii="Times New Roman" w:hAnsi="Times New Roman"/>
          <w:sz w:val="20"/>
        </w:rPr>
      </w:pPr>
      <w:r>
        <w:rPr>
          <w:rFonts w:ascii="Times New Roman" w:hAnsi="Times New Roman"/>
          <w:i/>
          <w:color w:val="000000"/>
          <w:sz w:val="20"/>
        </w:rPr>
        <w:t>Cyber incidents or attacks directed at us could result in information theft, data corruption, operational disruption and/or financial 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 </w:t>
      </w:r>
    </w:p>
    <w:p>
      <w:pPr>
        <w:pStyle w:val="TextBody"/>
        <w:bidi w:val="0"/>
        <w:spacing w:before="240" w:after="283"/>
        <w:jc w:val="left"/>
        <w:rPr>
          <w:rFonts w:ascii="Times New Roman" w:hAnsi="Times New Roman"/>
          <w:sz w:val="20"/>
        </w:rPr>
      </w:pPr>
      <w:r>
        <w:rPr>
          <w:rFonts w:ascii="Times New Roman" w:hAnsi="Times New Roman"/>
          <w:i/>
          <w:color w:val="000000"/>
          <w:sz w:val="20"/>
        </w:rPr>
        <w:t>We may face risks related to companies in the A&amp;D and TMT industries, including TMT companies focused on cybersecurity and secured communications and quantum-based command and control systems, AI and ML.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Business combinations with companies in the A&amp;D and TMT industries, including TMT companies focused on cybersecurity and secured communications and quantum-based command and control systems, AI and ML. entail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special considerations and risks. If we are successful in completing a business combination with such a target business, we may be subject to, and possibly adversely affected by, the following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compete effectively in a highly competitive environment with many incumbents having substantially greater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manage rapid change, increasing consumer expectations and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build strong brand identity and improve subscriber or customer satisfaction and loyalty;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reliance on proprietary technology to provide services and to manage our operations, and the failure of this technology to operate effectively, or our failure to use such technology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deal with our subscribers’ or customers’ privacy concerns;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attract and retain subscribers or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license or enforce intellectual property rights on which our business may depend;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any significant disruption in our computer systems or those of third parties that we would utilize in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by us, or a refusal by third parties, to license intellectual property to us upon acceptable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potential liability for negligence, copyright, or trademark infringement or other claims based on the nature and content of materials that we may distribute;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competition for the leisure and entertainment time and discretionary spending of subscribers or customers, which may intensify in part due to advances in technology and changes in consumer expectations and behavior;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disruption or failure of our networks, systems or technology as a result of computer viruses, “cyber-attacks,” misappropriation of data or other malfeasance, as well as outages, natural disasters, terrorist attacks, accidental releases of information or similar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an inability to obtain necessary hardware, software and operational support;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reliance on third-party vendors or service providers. </w:t>
      </w:r>
    </w:p>
    <w:p>
      <w:pPr>
        <w:pStyle w:val="TextBody"/>
        <w:bidi w:val="0"/>
        <w:jc w:val="left"/>
        <w:rPr>
          <w:rFonts w:ascii="Times New Roman" w:hAnsi="Times New Roman"/>
          <w:color w:val="000000"/>
          <w:sz w:val="20"/>
        </w:rPr>
      </w:pPr>
      <w:r>
        <w:rPr>
          <w:rFonts w:ascii="Times New Roman" w:hAnsi="Times New Roman"/>
          <w:color w:val="000000"/>
          <w:sz w:val="20"/>
        </w:rPr>
        <w:t xml:space="preserve">Any of the foregoing could have an adverse impact on our operations following a business combination. However, our efforts in identifying prospective target businesses will not be limited to the A&amp;D and TMT industries, including TMT companies focused on cybersecurity and secured communications and quantum-based command and control systems, AI and ML. Accordingly, if we acquire a target business in another industry, we will be subject to risks attendant with the specific industry in which the target business we acquire operates, which may or may not be different than those risks listed above.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Start w:id="7" w:name="toc_page"/>
      <w:bookmarkEnd w:id="6"/>
      <w:bookmarkEnd w:id="7"/>
      <w:r>
        <w:rPr>
          <w:rFonts w:ascii="Times New Roman" w:hAnsi="Times New Roman"/>
          <w:b/>
          <w:color w:val="000000"/>
          <w:sz w:val="20"/>
        </w:rPr>
        <w:t>Item 1C. Cybersecurity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2025, we were a SPAC with no business operations. Our sole activity related to the Company’s formation and the proposed Offering. We assess and identify the possibility of risk from cybersecurity threats considering both our operations and the nature of our assets, which consist solely of the funds in our operating bank account. To date, we have not experienced any cybersecurity attacks. In light of the nature of our operations we believe that cybersecurity threats are not reasonably likely to materially affect these business operations. In addition, the procedures in place with third parties that maintain our assets are such that it also should not be reasonably likely for cybersecurity threats to materially affect our financial condition. But we recognize that a penetration of our systems or a third party’s systems could subject us to business, regulatory, litigation and reputation risk, which could have a negative effect on our business, financial condition and results of operations.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We have not adopted any specific cybersecurity risk management program or formal processes for managing risks from cybersecurity threats. However, in our overall risk management processes, we employ various procedures designed to identify, protect, detect and respond to and manage reasonably foreseeable cybersecurity risks and threats given our limited operations and assets. These include, but are not limited to, engaging a third-party information technology consultant who maintains and monitors our information technology network, internal reporting, monitoring and detection tools and anti-virus software. We also periodically assess risks from cybersecurity and technology threats and monitor our information systems for potential vulnerabilities, including those that could arise from internal sources and external sources such as third-party service providers we do business with.</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Our management is generally responsible for assessing and managing risks from any cybersecurity threats, including through the use of the third-party information technology consultant who reports to our management on actions that he is undertaking and the cybersecurity threats that he sees to our information technology network. If and when any reportable cybersecurity incident arises, our management shall promptly report such matters to the Audit Committee of our Board of Directors (which is the committee of the Board of Directors to which oversight of cybersecurity matters and management of cybersecurity incidents has been delegated by the Board of Directors) for further actions, including regarding the appropriate disclosure, mitigation, or other response or actions that the Audit Committee or the Board of Directors deems appropriate to take. In addition, our management reports to the Audit Committee on a regular basis on the potential for risks from cybersecurity threats.</w:t>
      </w:r>
    </w:p>
    <w:p>
      <w:pPr>
        <w:pStyle w:val="TextBody"/>
        <w:bidi w:val="0"/>
        <w:spacing w:before="20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maintain our corporate offices at 1731 Embarcadero Rd., Suite 200, Palo Alto, CA 94303. The cost for this space is included in the $30,000 per month fee that we pay an affiliate of our Sponsor for office space, administrative and support services. We believe, based on fees for similar services in the San Francisco Bay Area, that the fee charged by our Sponsor is at least as favorable as we could have obtained from an unaffiliated party. We consider our current office space, combined with the other office space otherwise available to our executive officers, adequate for our current operations.</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2" w:name="item_5_market_for_registrants_common"/>
      <w:bookmarkEnd w:id="12"/>
      <w:r>
        <w:rPr>
          <w:rFonts w:ascii="Times New Roman" w:hAnsi="Times New Roman"/>
          <w:b/>
          <w:color w:val="000000"/>
          <w:sz w:val="20"/>
        </w:rPr>
        <w:t>Item 5. Market for Registrant’s Common Equity, Related Shareholder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units commenced public trading on January 27, 2026. On March 16, 2026, the Company announced that the holders of the Company’s units may elect to separately trade the securities underlying such units which commenced on March 19, 2026. Any public units not separated will continue to trade on the Nasdaq under the symbol “GIXXU”. Any underlying Class A ordinary shares and rights that are separated will trade on the Nasdaq under the symbols “GIX,” and “GIXXR,” respectively. Each five rights entitles the holder to purchase one Class A ordinary share.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30, 2026, there were thirty-one holders of record of our ordinary shares. The actual number of holders of our units, separately traded public shares and separately traded rights is greater than the number of record holders, and includes shareholders who are beneficial owners, but whose securities are held in “nominee” or “street name” by brokers and other nominees. The number of holders of record also does not include shareholders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 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 Recent Sales of Unregistered Securities; Use of Proceeds from Registered Offerings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 from October 29, 2025 (date of inception) through December 31, 2025, the Sponsor purchased a net 7,664,427 founder shares, for an aggregate purchase price of $25,000, or $0.00326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issued to the Sponsor were issued pursuant to the exemption from registration contained in Section 4(a)(2) of the Securities Act. Each holder of the founder shares is an “accredited investor” as such term is defined in Rule 501(a) of Regulation D under the Securities Act.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Insider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24, 2025, we granted 15,000 Class B ordinary shares to our Chief Financial Officer, solely in consideration of future services, which remain subject to forfeiture back to us in the event the Chief Financial Officer resigns or is removed for cause prior to consummation of an initial business combination.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Placement Units and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 GigCapital Global advisors and Lynrock purchased pursuant to the Unit Purchase Agreements 107,500 private placement units at a price of $9.7374 per private placement unit, or $1,046,771 in the aggregate, in the private placement that occurred simultaneously with the completion of the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non-managing investors (none of which are affiliated with any member of management, our Sponsor or any other investor) purchased from us an aggregate of (a) 3,178,430 Class B ordinary shares at a purchase price per Class B ordinary shares of $0.023254, and (b) an aggregate 281,454 private placement units at a price of $9.7374 per private placement unit, for an aggregate purchase price of $2,814,541 in the private placement that occurred simultaneously with the completion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placement units and private placement shares were issued pursuant to the exemption from registration contained in Section 4(a)(2) of the Securities Act. The institutional investors are each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23, 2026, the SEC declared our initial Registration Statement on Form S-1 (File No. 333-291869), in connection with the Offering of $220.0 million,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an underwriting agreement on January 26, 2026 to conduct the Offering of 22,000,000 units in the amount of $220.0 million in gross proceeds, with a 45-day option provided to the underwriters to purchase up to 3,300,000 additional units solely to cover over-allotments, if any, in the amount of up to $33.0 million in additional gross proceeds. Each public unit consists of one Class A ordinary share of the Company, $0.0001 par value, and one right to receive one-fifth (1/5) of one Class A ordinary shares upon consummation of the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2026, we consummated the Offering of 25,300,000 units, including the issuance of 3,300,000 units as a result of the underwriter’s exercise in full of their over-allotment option. The units were sold at a price of $10.00 per public unit, generating gross proceeds to us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cash of $73,881 held outside the trust account for working capital purposes.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4" w:name="item_7_managements_discussion_and_analy"/>
      <w:bookmarkEnd w:id="14"/>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of the Company’s financial condition and results of operations should be read in conjunction with the Company’s financial statements and notes related thereto which are included in “Item 8. Financial Statements and Supplementary Data” of this Annual Report on Form 10-K. This discussion contains forward-looking statements that involve risks and uncertainties. Please see “Special Note Regarding Forward-Looking Statements,” “Item 1A. Risk Factors” and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newly organized Private-to-Public Equity (PPE) company, also known as a blank check company or special purpose acquisition vehicle, incorporated in the Cayman Islands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We intend to effectuate our initial business combination using cash from the proceeds of our Offering and the sale of the private placement units, our ordinary equity or any preferred equity that we may create in accordance with the terms of our charter documents, debt, or a combination of cash, common or preferred equity and debt. The public units sold in the Offering each consist of one Class A ordinary share of the Company and one right to receive one-fifth (1/5) of one Class A ordinary share upon the consummation of the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ordinary shares or the creation of one or more classes of preferred shares during our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significantly dilute the equity interest of investors in the Offering who would not have pre-emption rights in respect of any such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subordinate the rights of holders of ordinary shares if the rights, preferences, designations and limitations attaching to the preference shares are senior to those afforded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the effect of delaying or preventing a change of control of us by diluting the share ownership or voting rights of a person seeking to obtain control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adversely affect prevailing market prices for our public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Similarly, if we issue debt securities or otherwise incur significant indebtedness, it could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and foreclosure on our assets if our operating revenues after our initial business combination are insufficient to repay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immediate payment of all principal and accrued interest, if any, if the debt is payable on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necessary additional financing if any document governing such debt contains covenants restricting our ability to obtain such financing while the debt security is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pay dividends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flexibility in planning for and reacting to changes in our business and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vulnerability to adverse changes in general economic, industry and competitive conditions and adverse changes in government regulation;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incur significant costs in the pursuit of our acquisition plans. We cannot assure you that our plans to raise capital or to complete our initial business combination will be successful.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and dividend income on cash and marketable securities from proceeds raised during the Offering. We expect to incur increased expenses as a result of being a public company (for legal, financial reporting, accounting and auditing compliance), as well as for due diligence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period from October 29, 2025 (date of inception) through December 31, 2025, we had net loss of $44,764, which consisted of operating expenses of $44,766 that were partially offset by interest income of $2.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needs have been satisfied to date through receipt of $125,000 from the sale of the founder shares and a related party loan of $100,000. As of December 31, 2025 we had cash of $73,881 and a working capital deficit of $97,718.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28, 2026, subsequent to the period covered by this Annual Report, the Company consummated the Offering of 25,300,000 units, which includes the full exercise by the underwriters of their over-allotment option of 3,300,000 units, at $10.00 per Unit, generating gross proceeds of $253,000,000. Simultaneously with the closing of the Offering, the Company consummated the sale of the private placement units to our sponsor, GigCapital Global advisors and Lynrock for a purchase price of $1,046,771, and the sale of private placement units and the private investor shares to the non-managing investors for a purchase price of $2,814,541.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period from October 29, 2025 (date of inception) through December 31, 2025, cash used in operating activities was $4,191, resulting from a net loss of $44,764 and an increase in prepaid expenses and other current assets of $3,993. These are partially offset by an increase in liabilities of $44,566, due to increases in accounts payable and accrued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combination if the funds available to us outside of the trust account were insufficient to cover such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had cash of $73,881 held outside the trust account. If the proceeds not held in the trust account become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the proceeds not held in the trust account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do not have any long-term debt, capital lease obligations, operating lease obligations or long-term liabilities, other than an agreement with our Chief Financial Officer to pay a monthly fee of up to $20,000 for accounting services. Commencing on January 27, 2026, the Company agreed to pay our Founder a monthly fee of $30,000 for office space, administrative services and secretarial support.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non-emerging growth companies but any such election to opt out is irrevocable. We have elected not to opt out of such extended transition period, which means that when an accounting standard is issued or revised and it has different application dates for public or private companies, we,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per ordinary share is computed by dividing net loss by the weighted-average number of ordinary shares outstanding during the period (after deducting 999,712 ordinary shares subject to forfeiture in connection with the Proposed Offering). As of December 31,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 presented.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Offering Costs Associated with the Proposed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offering costs consist of legal, accounting, and other costs incurred through the balance sheet date that are directly related to the Proposed Offering and that will be charged to shareholder’s deficit upon the completion of the Proposed Offering. Should the Proposed Offering prove to be unsuccessful, these deferred costs, as well as additional expenses to be incurred, will be charged to operations.</w:t>
      </w:r>
    </w:p>
    <w:p>
      <w:pPr>
        <w:pStyle w:val="TextBody"/>
        <w:bidi w:val="0"/>
        <w:spacing w:before="360" w:after="283"/>
        <w:jc w:val="both"/>
        <w:rPr>
          <w:rFonts w:ascii="Times New Roman" w:hAnsi="Times New Roman"/>
          <w:b/>
          <w:color w:val="000000"/>
          <w:sz w:val="20"/>
        </w:rPr>
      </w:pPr>
      <w:bookmarkStart w:id="15" w:name="item_7a_quantitative_and_qualitative"/>
      <w:bookmarkEnd w:id="15"/>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our efforts have been limited to organizational activities and activities relating to the Offering and the identification and evaluation of a potential initial business combination. We have neither engaged in any operations nor generated any revenues. As of December 31, 2025, we are not subject to any market or interest rate risk. Following the consummation of the Offering, the net proceeds from our Offering, including amounts held in the trust account, have been comprised entirely of money market funds meeting certain conditions under Rule 2a-7 under the Investment Company Act, which invest solely in United States treasuries. Due to the short-term nature of the money market fund’s investments, we do not believe that there will be an associated material exposure to interest rate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6" w:name="item_8_financial_statements"/>
      <w:bookmarkEnd w:id="16"/>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opinion">
              <w:r>
                <w:rPr>
                  <w:rStyle w:val="InternetLink"/>
                  <w:rFonts w:ascii="Times New Roman" w:hAnsi="Times New Roman"/>
                  <w:color w:val="0000FF"/>
                  <w:sz w:val="20"/>
                  <w:u w:val="single"/>
                </w:rPr>
                <w:t>Report of Independent Registered Public Accounting Firm (PCAOB ID: 207)</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balance_sheet">
              <w:r>
                <w:rPr>
                  <w:rStyle w:val="InternetLink"/>
                  <w:rFonts w:ascii="Times New Roman" w:hAnsi="Times New Roman"/>
                  <w:color w:val="0000FF"/>
                  <w:sz w:val="20"/>
                  <w:u w:val="single"/>
                </w:rPr>
                <w:t>Balance Sheet as of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income_statement">
              <w:r>
                <w:rPr>
                  <w:rStyle w:val="InternetLink"/>
                  <w:rFonts w:ascii="Times New Roman" w:hAnsi="Times New Roman"/>
                  <w:color w:val="0000FF"/>
                  <w:sz w:val="20"/>
                  <w:u w:val="single"/>
                </w:rPr>
                <w:t>Statement of Operations and Comprehensive Loss for the Period from October 29, 2025 (Date of Inception) through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sose">
              <w:r>
                <w:rPr>
                  <w:rStyle w:val="InternetLink"/>
                  <w:rFonts w:ascii="Times New Roman" w:hAnsi="Times New Roman"/>
                  <w:color w:val="0000FF"/>
                  <w:sz w:val="20"/>
                  <w:u w:val="single"/>
                </w:rPr>
                <w:t>Statement of Shareholders’ Deficit for the Period from October 29, 2025 (Date of Inception) through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stmt_cf">
              <w:r>
                <w:rPr>
                  <w:rStyle w:val="InternetLink"/>
                  <w:rFonts w:ascii="Times New Roman" w:hAnsi="Times New Roman"/>
                  <w:color w:val="0000FF"/>
                  <w:sz w:val="20"/>
                  <w:u w:val="single"/>
                </w:rPr>
                <w:t>Statement of Cash Flows for the Period from October 29, 2025 (Date of Inception) through December 31, 2025</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notes_to_financials">
              <w:r>
                <w:rPr>
                  <w:rStyle w:val="InternetLink"/>
                  <w:rFonts w:ascii="Times New Roman" w:hAnsi="Times New Roman"/>
                  <w:color w:val="0000FF"/>
                  <w:sz w:val="20"/>
                  <w:u w:val="single"/>
                </w:rPr>
                <w:t>Notes to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 the Board of Directors and</w:t>
      </w:r>
    </w:p>
    <w:p>
      <w:pPr>
        <w:pStyle w:val="TextBody"/>
        <w:bidi w:val="0"/>
        <w:jc w:val="left"/>
        <w:rPr>
          <w:rFonts w:ascii="Arial" w:hAnsi="Arial"/>
          <w:color w:val="000000"/>
          <w:sz w:val="20"/>
        </w:rPr>
      </w:pPr>
      <w:r>
        <w:rPr>
          <w:rFonts w:ascii="Arial" w:hAnsi="Arial"/>
          <w:color w:val="000000"/>
          <w:sz w:val="20"/>
        </w:rPr>
        <w:t>Shareholders of GigCapital9 Corp.</w:t>
      </w:r>
    </w:p>
    <w:p>
      <w:pPr>
        <w:pStyle w:val="TextBody"/>
        <w:bidi w:val="0"/>
        <w:jc w:val="left"/>
        <w:rPr/>
      </w:pPr>
      <w:bookmarkStart w:id="17" w:name="item_8_opinion"/>
      <w:bookmarkEnd w:id="17"/>
      <w:r>
        <w:rPr/>
        <w:t> </w:t>
      </w:r>
    </w:p>
    <w:p>
      <w:pPr>
        <w:pStyle w:val="TextBody"/>
        <w:bidi w:val="0"/>
        <w:jc w:val="left"/>
        <w:rPr/>
      </w:pPr>
      <w:r>
        <w:rPr/>
        <w:t> </w:t>
      </w:r>
    </w:p>
    <w:p>
      <w:pPr>
        <w:pStyle w:val="TextBody"/>
        <w:bidi w:val="0"/>
        <w:spacing w:before="0" w:after="120"/>
        <w:jc w:val="left"/>
        <w:rPr>
          <w:rFonts w:ascii="Arial" w:hAnsi="Arial"/>
          <w:b/>
          <w:color w:val="000000"/>
          <w:sz w:val="20"/>
        </w:rPr>
      </w:pPr>
      <w:r>
        <w:rPr>
          <w:rFonts w:ascii="Arial" w:hAnsi="Arial"/>
          <w:b/>
          <w:color w:val="000000"/>
          <w:sz w:val="20"/>
        </w:rPr>
        <w:t>Opinion on the Financial Statements</w:t>
      </w:r>
    </w:p>
    <w:p>
      <w:pPr>
        <w:pStyle w:val="TextBody"/>
        <w:bidi w:val="0"/>
        <w:spacing w:before="0" w:after="120"/>
        <w:jc w:val="both"/>
        <w:rPr>
          <w:rFonts w:ascii="Arial" w:hAnsi="Arial"/>
          <w:color w:val="000000"/>
          <w:sz w:val="20"/>
        </w:rPr>
      </w:pPr>
      <w:r>
        <w:rPr>
          <w:rFonts w:ascii="Arial" w:hAnsi="Arial"/>
          <w:color w:val="000000"/>
          <w:sz w:val="20"/>
        </w:rPr>
        <w:t>We have audited the accompanying balance sheet of GigCapital9 Corp. (a Cayman Islands exempted company) (the “Company”) as of December 31, 2025, and the related statements of operations and comprehensive loss, shareholders’ deficit, and cash flows for the period from October 29, 2025 (date of inception) through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from October 29, 2025 (date of inception) through December 31, 2025, in conformity with accounting principles generally accepted in the United States of America.</w:t>
      </w:r>
    </w:p>
    <w:p>
      <w:pPr>
        <w:pStyle w:val="TextBody"/>
        <w:bidi w:val="0"/>
        <w:spacing w:before="0" w:after="120"/>
        <w:jc w:val="left"/>
        <w:rPr>
          <w:rFonts w:ascii="Arial" w:hAnsi="Arial"/>
          <w:b/>
          <w:color w:val="000000"/>
          <w:sz w:val="20"/>
        </w:rPr>
      </w:pPr>
      <w:r>
        <w:rPr>
          <w:rFonts w:ascii="Arial" w:hAnsi="Arial"/>
          <w:b/>
          <w:color w:val="000000"/>
          <w:sz w:val="20"/>
        </w:rPr>
        <w:t>Basis for Opinion</w:t>
      </w:r>
    </w:p>
    <w:p>
      <w:pPr>
        <w:pStyle w:val="TextBody"/>
        <w:bidi w:val="0"/>
        <w:spacing w:before="0" w:after="120"/>
        <w:jc w:val="both"/>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jc w:val="both"/>
        <w:rPr>
          <w:rFonts w:ascii="Arial" w:hAnsi="Arial"/>
          <w:color w:val="000000"/>
          <w:sz w:val="20"/>
        </w:rPr>
      </w:pPr>
      <w:r>
        <w:rPr>
          <w:rFonts w:ascii="Arial" w:hAnsi="Arial"/>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20"/>
        <w:jc w:val="both"/>
        <w:rPr>
          <w:rFonts w:ascii="Times New Roman" w:hAnsi="Times New Roman"/>
          <w:sz w:val="20"/>
        </w:rPr>
      </w:pPr>
      <w:r>
        <w:rPr>
          <w:rFonts w:ascii="Arial" w:hAnsi="Arial"/>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Arial" w:hAnsi="Arial"/>
          <w:color w:val="000000"/>
          <w:sz w:val="20"/>
        </w:rPr>
      </w:pPr>
      <w:r>
        <w:rPr>
          <w:rFonts w:ascii="Arial" w:hAnsi="Arial"/>
          <w:color w:val="000000"/>
          <w:sz w:val="20"/>
        </w:rPr>
        <w:t>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BPM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served as the Company’s auditor since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San Jose, California</w:t>
      </w:r>
    </w:p>
    <w:p>
      <w:pPr>
        <w:pStyle w:val="TextBody"/>
        <w:bidi w:val="0"/>
        <w:jc w:val="left"/>
        <w:rPr>
          <w:rFonts w:ascii="Arial" w:hAnsi="Arial"/>
          <w:color w:val="000000"/>
          <w:sz w:val="20"/>
        </w:rPr>
      </w:pPr>
      <w:r>
        <w:rPr>
          <w:rFonts w:ascii="Arial" w:hAnsi="Arial"/>
          <w:color w:val="000000"/>
          <w:sz w:val="20"/>
        </w:rPr>
        <w:t>March 31,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18" w:name="item_8_balance_sheet"/>
      <w:bookmarkEnd w:id="18"/>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r>
        <w:rPr>
          <w:rFonts w:ascii="Times New Roman" w:hAnsi="Times New Roman"/>
          <w:b/>
          <w:color w:val="000000"/>
          <w:sz w:val="20"/>
        </w:rPr>
        <w:t>Balance Sheet</w:t>
      </w:r>
    </w:p>
    <w:p>
      <w:pPr>
        <w:pStyle w:val="TextBody"/>
        <w:bidi w:val="0"/>
        <w:jc w:val="center"/>
        <w:rPr/>
      </w:pPr>
      <w:r>
        <w:rPr/>
        <w:t> </w:t>
      </w:r>
    </w:p>
    <w:p>
      <w:pPr>
        <w:pStyle w:val="TextBody"/>
        <w:bidi w:val="0"/>
        <w:jc w:val="left"/>
        <w:rPr/>
      </w:pPr>
      <w:r>
        <w:rPr/>
        <w:t> </w:t>
      </w:r>
    </w:p>
    <w:tbl>
      <w:tblPr>
        <w:tblW w:w="9443" w:type="dxa"/>
        <w:jc w:val="left"/>
        <w:tblInd w:w="0" w:type="dxa"/>
        <w:tblLayout w:type="fixed"/>
        <w:tblCellMar>
          <w:top w:w="28" w:type="dxa"/>
          <w:left w:w="28" w:type="dxa"/>
          <w:bottom w:w="28" w:type="dxa"/>
          <w:right w:w="28" w:type="dxa"/>
        </w:tblCellMar>
      </w:tblPr>
      <w:tblGrid>
        <w:gridCol w:w="7211"/>
        <w:gridCol w:w="546"/>
        <w:gridCol w:w="233"/>
        <w:gridCol w:w="862"/>
        <w:gridCol w:w="591"/>
      </w:tblGrid>
      <w:tr>
        <w:trPr/>
        <w:tc>
          <w:tcPr>
            <w:tcW w:w="7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loan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4-Related Party Transactions)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Shareholders’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shares, par value of $0.0001 per share; 1,000,000 shares authorized; none</w:t>
              <w:br/>
              <w:t>   issued or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Class A ordinary shares, par value of $0.0001 per share; 200,000,000 shares</w:t>
              <w:br/>
              <w:t>   authorized; none 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Class B ordinary shares, par value of $0.0001 per share; 20,000,000 shares</w:t>
              <w:br/>
              <w:t>   authorized; 7,679,427 shares issued and outstanding </w:t>
            </w:r>
            <w:r>
              <w:rPr>
                <w:rFonts w:ascii="Times New Roman" w:hAnsi="Times New Roman"/>
                <w:color w:val="000000"/>
                <w:sz w:val="13"/>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20"/>
        </w:rPr>
        <w:t>This number includes up to 999,712 Class B ordinary shares subject to forfeiture if the over-allotment option is not exercised in full or in part by the underwriter.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item_8_income_statement"/>
      <w:bookmarkEnd w:id="19"/>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r>
        <w:rPr>
          <w:rFonts w:ascii="Times New Roman" w:hAnsi="Times New Roman"/>
          <w:b/>
          <w:color w:val="000000"/>
          <w:sz w:val="20"/>
        </w:rPr>
        <w:t>Statement of Operations and Comprehensive Loss</w:t>
      </w:r>
    </w:p>
    <w:p>
      <w:pPr>
        <w:pStyle w:val="TextBody"/>
        <w:bidi w:val="0"/>
        <w:jc w:val="center"/>
        <w:rPr/>
      </w:pPr>
      <w:r>
        <w:rPr/>
        <w:t> </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4861"/>
        <w:gridCol w:w="146"/>
        <w:gridCol w:w="695"/>
        <w:gridCol w:w="3070"/>
        <w:gridCol w:w="5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 October 29, 2025 (inception) through</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Weighted-average shares outstanding, basic and diluted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7,053,712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ordinary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number excludes up to 999,712 Class B ordinary shares subject to forfeiture if the over-allotment option is not exercised in full or in part by the underwriter.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item_8_sose"/>
      <w:bookmarkEnd w:id="20"/>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r>
        <w:rPr>
          <w:rFonts w:ascii="Times New Roman" w:hAnsi="Times New Roman"/>
          <w:b/>
          <w:color w:val="000000"/>
          <w:sz w:val="20"/>
        </w:rPr>
        <w:t>Statement of Shareholders’ Deficit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2"/>
        <w:gridCol w:w="146"/>
        <w:gridCol w:w="146"/>
        <w:gridCol w:w="826"/>
        <w:gridCol w:w="166"/>
        <w:gridCol w:w="146"/>
        <w:gridCol w:w="236"/>
        <w:gridCol w:w="455"/>
        <w:gridCol w:w="166"/>
        <w:gridCol w:w="146"/>
        <w:gridCol w:w="214"/>
        <w:gridCol w:w="657"/>
        <w:gridCol w:w="166"/>
        <w:gridCol w:w="146"/>
        <w:gridCol w:w="312"/>
        <w:gridCol w:w="1059"/>
        <w:gridCol w:w="166"/>
        <w:gridCol w:w="146"/>
        <w:gridCol w:w="254"/>
        <w:gridCol w:w="857"/>
        <w:gridCol w:w="213"/>
      </w:tblGrid>
      <w:tr>
        <w:trPr/>
        <w:tc>
          <w:tcPr>
            <w:tcW w:w="3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from October 29, 2025 (inception) through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b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as of October 29, 2025 (inception)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Issuance of Class B ordinary shares to </w:t>
              <w:br/>
              <w:t>   Founder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7,850,229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Surrender of Class B ordinary shares by </w:t>
              <w:br/>
              <w:t>   Founder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Class B ordinary shares to the </w:t>
              <w:br/>
              <w:t>   CFO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Balance as of December 31, 2025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This number includes up to 999,712 Class B ordinary shares subject to forfeiture if the over-allotment option is not exercised in full or in part by the underwriters.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21" w:name="item_8_stmt_cf"/>
      <w:bookmarkEnd w:id="21"/>
      <w:r>
        <w:rPr>
          <w:rFonts w:ascii="Times New Roman" w:hAnsi="Times New Roman"/>
          <w:b/>
          <w:color w:val="000000"/>
          <w:sz w:val="20"/>
        </w:rPr>
        <w:t>Statement of Cash Flows</w:t>
      </w:r>
    </w:p>
    <w:p>
      <w:pPr>
        <w:pStyle w:val="TextBody"/>
        <w:bidi w:val="0"/>
        <w:jc w:val="center"/>
        <w:rPr/>
      </w:pPr>
      <w:r>
        <w:rPr/>
        <w:t> </w:t>
      </w:r>
    </w:p>
    <w:p>
      <w:pPr>
        <w:pStyle w:val="TextBody"/>
        <w:bidi w:val="0"/>
        <w:jc w:val="left"/>
        <w:rPr/>
      </w:pPr>
      <w:r>
        <w:rPr/>
        <w:t> </w:t>
      </w:r>
    </w:p>
    <w:tbl>
      <w:tblPr>
        <w:tblW w:w="8493" w:type="dxa"/>
        <w:jc w:val="left"/>
        <w:tblInd w:w="0" w:type="dxa"/>
        <w:tblLayout w:type="fixed"/>
        <w:tblCellMar>
          <w:top w:w="28" w:type="dxa"/>
          <w:left w:w="28" w:type="dxa"/>
          <w:bottom w:w="28" w:type="dxa"/>
          <w:right w:w="28" w:type="dxa"/>
        </w:tblCellMar>
      </w:tblPr>
      <w:tblGrid>
        <w:gridCol w:w="6031"/>
        <w:gridCol w:w="146"/>
        <w:gridCol w:w="405"/>
        <w:gridCol w:w="1500"/>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 October 29,</w:t>
              <w:br/>
              <w:t>2025 (Date of</w:t>
              <w:br/>
              <w:t>Inception) through</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Class B ordinary shares to the Founder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related party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GigCapital9 Corp.</w:t>
      </w:r>
    </w:p>
    <w:p>
      <w:pPr>
        <w:pStyle w:val="TextBody"/>
        <w:bidi w:val="0"/>
        <w:jc w:val="center"/>
        <w:rPr>
          <w:rFonts w:ascii="Times New Roman" w:hAnsi="Times New Roman"/>
          <w:b/>
          <w:color w:val="000000"/>
          <w:sz w:val="20"/>
        </w:rPr>
      </w:pPr>
      <w:bookmarkStart w:id="22" w:name="item_8_notes_to_financials"/>
      <w:bookmarkEnd w:id="22"/>
      <w:r>
        <w:rPr>
          <w:rFonts w:ascii="Times New Roman" w:hAnsi="Times New Roman"/>
          <w:b/>
          <w:color w:val="000000"/>
          <w:sz w:val="20"/>
        </w:rPr>
        <w:t>Notes to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Description of Organization and Business Combination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GigCapital9 Corp. (the “Company”) was incorporated as a Cayman Islands exempted company on October 29, 2025.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upon closing of the initial public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not commenced any operations. All activity for the period from October 29, 2025 (date of inception) through December 31, 2025 relates to the Company’s formation and the proposed initial public offering (the “Proposed Offering”), described below. The Company will not generate any operating revenues until after completion of the Business Combination, at the earliest. The Company will generate non-operating income in the form of interest income on cash and cash equivalents from the proceeds derived from the Proposed Offering. The Company has selected December 31 as its fiscal year end.</w:t>
      </w:r>
    </w:p>
    <w:p>
      <w:pPr>
        <w:pStyle w:val="TextBody"/>
        <w:bidi w:val="0"/>
        <w:spacing w:before="2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Sponsor, Founder and Proposed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sponsor is GigAcquisitions9 Corp., a Cayman Island exempted company (the “Sponsor” or the “Founder”). The Company intends to finance a Business Combination with proceeds from a $220,000,000 public offering (Note 3), and a $3,652,406 private placement with the Sponsor, designated investors and certain institutional investors (Notes 3 and 4). Upon the closing of the Proposed Offering, $220,000,000 (or $253,000,000 if the over-allotment option is exercised in full by D. Boral Capital LLC (the “Underwriter”) (Note 3) will be held in a trust account (the “Trust Account”) (discussed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Proposed Offering outside the Trust Account may be used to pay for business, legal and accounting due diligence expenses on acquisition targets and continuing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memorandum and articles of association provide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Proposed Offering or (3) the redemption of any public shares properly tendered in connection with a shareholder vote to amend the amended and restated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management has broad discretion with respect to the specific application of the net proceeds of the Proposed Offering, although substantially all of the net proceeds of the Proposed Offering are intended to be generally applied toward consummating a Business Combination with (or acquisition of) a Target Business. As used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herein, “Target Business” must be with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rules of the Nasdaq Global Market tier of The Nasdaq Stock Market LLC (“Nasdaq”). If the Company seeks shareholder approval, it will complete its Business Combination only if a majority of the outstanding shares are voted in favor of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holds a shareholder vote or there is a tender offer for shares in connection with the Business Combination, a public shareholder will have the right to redeem their shares for an amount in cash equal to their pro rata share of the aggregate amount then on deposit in the Trust Account as of two business days prior to the consummation of the initial Business Combination, including interest but less taxes payable. As a result, such ordinary shares will be recorded at redemption amount and classified as temporary equity upon the completion of the Proposed Offering. The amount in the Trust Account is initially anticipated to be $10.00 per public share ($220,000,000 held in the Trust Account divided by 22,000,000 public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have 24 months from the closing date of the Proposed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will enter into agreements with the Company, pursuant to which they will agree: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the Company fails to complete its initial Business Combination within 24 months from the closing of the Proposed Offering, although they will be entitled to liquidating distributions from the Trust Account with respect to any public shares they hold if the Company fails to complete its initial Business Combination within the prescribed time frame; and (3) to 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its initial Business Combination or with respect to any other provision relating to shareholders’ rights or pre-business (per above under Trust Account) combination activity.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such distribution, it is possible that the per share value of the residual assets remaining available for distribution (including Trust Account assets) will be less than the initial public offering price per unit in the Proposed Offering.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$73,881 in cash and working capital deficit of $97,718. Prior to the completion of the Proposed Offering (Note 6), the Company lacked the liquidity it needed to sustain operations for a reasonable period of time, which is considered to be one year from the issuance date of the financial statement. The Company completed its Proposed Offering and the private placement at which time capital in excess of the funds deposited in the Trust Account and/or used to fund offering expenses was released to the Company for general working capital purposes. Accordingly, management has re-evaluated the Company’s liquidity and financial condition and determined that sufficient capital exists to sustain operations for at least one year from the date that the financial statements were issued, and therefore the substantial doubt has been alleviated.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of the Company have been prepared in conformity with accounting principles generally accepted in the United States of America (“GAAP”).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per ordinary share is computed by dividing net loss by the weighted-average number of ordinary shares outstanding during the period (after deducting 999,712 ordinary shares subject to forfeiture in connection with the Proposed Offering). As of December 31,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 presented.</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short-term investments with a maturity of three months or less when purchased to be cash equivalents. The Company did not have any cash equivalents as of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a cash account held in financial institutions, which at times, may exceed federally insured limits. The Company has not experienced losses on these accounts and management believes the Company is not exposed to significant risks on such accounts.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assets and liabilities approximates the carrying amounts represented in the balance sheet.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periods. Actual results could differ from those estimates.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Offering Costs Associated with the Proposed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offering costs consist of legal, accounting, and other costs incurred through the balance sheet date that are directly related to the Proposed Offering and that will be charged to shareholder’s deficit upon the completion of the Proposed Offering. Should the Proposed Offering prove to be unsuccessful, these deferred costs, as well as additional expenses to be incurred, will be charged to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single segment and decides how to allocate resources based on net income (loss) that also is reported on the statement of operations and comprehensive loss. The key measures of segment profit reviewed by the CODM are general and administrative expenses. General and administrative expenses are reviewed and monitored by the CODM to manage and forecast cash to ensure enough capital is available to complete the Proposed Offering and eventually a Business Combination within the business combination period. The CODM also reviews general and administrative expenses to manage, maintain and enforce all contractual agreements to ensure costs are aligned with all agreements and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follows the asset and liability method of accounting for income taxes under Accounting Standards Codification (“ASC”) 740, “</w:t>
      </w:r>
      <w:r>
        <w:rPr>
          <w:rFonts w:ascii="Times New Roman" w:hAnsi="Times New Roman"/>
          <w:i/>
          <w:color w:val="000000"/>
          <w:sz w:val="20"/>
        </w:rPr>
        <w:t>Income Taxes</w:t>
      </w:r>
      <w:r>
        <w:rPr>
          <w:rFonts w:ascii="Times New Roman" w:hAnsi="Times New Roman"/>
          <w:color w:val="000000"/>
          <w:sz w:val="20"/>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2025. The Company is currently not aware of any issues under review that could result in significant payments, accruals or material deviation from its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any recently issued, but not yet effective, accounting pronouncements, if currently adopted, would have a material effect on the Company’s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Proposed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Proposed Offering, the Company intends to offer for sale up to 22,000,000 units at a price of $10.00 per unit (the “Units”). Each Unit consists of one share of the Company’s Class A ordinary shares, $0.0001 par value and one right to receive one-fifth (1/5) of one Class A ordinary share upon consummation of the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grant the Underwriter a 45-day option to purchase up to 3,300,000 additional Units to cover any over-allotments, at the Proposed Offering price less the underwriting discounts.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pay an underwriting discount of $0.0455 per Unit (or $0.0405 per Unit if the Underwriter’s option to purchase additional Units is exercised in full) to the Underwriter at the closing of the Proposed Offering. The underwriting discount is payable in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institutional accredited investors (none of which are affiliated with any member of management, the Sponsor or any other investor (the “non-managing investors”)) have committed to purchase an aggregate of (a) 3,178,430 Class B ordinary shares (of which up to 414,574 Class B ordinary shares would be subject to forfeiture depending on the extent to which the Underwriter’s over-allotment option is exercised in connection with the Proposed Offering) (the “Private Investor Shares”) at a purchase price per Class B ordinary share of $0.023254, and (b) an aggregate of 260,000 Private Placement Units (or up to 281,454 Private Placement Units if the Underwriter’s over-allotment option is exercised in full) consisting of one Class A ordinary share and one right to receive one-fifth (1/5) of one Class A ordinary share upon consummation of the initial Business Combination at a price of $9.7374 per unit in a private placement that will occur simultaneously with the completion of the Proposed Offering (the “Private Placement Unit”) for an aggregate purchase price of $2,605,635 (or $2,814,541 if the Underwriter’s over-allotment option is exercised in full). The Private Investor Shares along with the Founder Shares and Insider Shares (as defined below) will collectively represent approximately 30% of the outstanding ordinary shares upon completion of the Proposed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29, 2025 (date of inception), one Class B ordinary share that was allotted to Harneys Fiduciary (Cayman) Limited (“Harneys Fiduciary”) upon the Company’s formation was transferred by Harneys Fiduciary to the Founder and 7,850,228 Class B ordinary shares (the 7,850,229 Class B ordinary shares collectively are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color w:val="000000"/>
        </w:rPr>
        <w:t>“</w:t>
      </w:r>
      <w:r>
        <w:rPr>
          <w:rFonts w:ascii="Times New Roman" w:hAnsi="Times New Roman"/>
          <w:color w:val="000000"/>
          <w:sz w:val="20"/>
        </w:rPr>
        <w:t xml:space="preserve">Founder Shares”) were issued to the Founder for an aggregate purchase price of $25,000. On November 20, 2025, the Founder surrendered 185,802 Class B ordinary shares to the Company (which were cancelled) for no consideration, with the resulting 7,664,427 Founder Shares paid at a purchase price of $0.00326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24, 2025, the Company granted 15,000 Class B ordinary shares to its Chief Financial Officer (the “Insider Shares”), solely in consideration of future services, which remain subject to forfeiture back to the Company in the event the Chief Financial Officer resigns or is removed for cause prior to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Founder intends, at the time of the consummation of the Proposed Offering, to sell 580,672 Founder Shares in the aggregate to six advisors to GigCapital Global (“Insiders”) at an aggregate price of $13,503, or $0.023254 per share, and 611,236 Founder Shares to Lynrock Lake Master Fund LP (“Lynrock”) at an aggregate price of $14,214. Following this sale of Founder Shares, the Founder will hold 6,472,519 Founder Shares. The Founder Shares are identical to the Class A ordinary shares included in the Units being sold in the Proposed Offering except that the Founder Shares are subject to certain transfer restrictions, as described in more detail below. The Founder, Insiders and Lynrock agreed to forfeit up to 999,712 Founder Shares to the extent that the over-allotment option is not exercised in full by the Underwriter. The forfeiture will be adjusted to the extent that the over-allotment option is not exercised in full by the Underwriter so that the Class B ordinary shares owned by the Founder, Insiders, Lynrock, Chief Financial Officer and non-managing investors will approximate 30% of the Company’s issued and outstanding Class A and Class B ordinary shares after the Proposed Offering, excluding the private placement shares that are an underlying security to the Private Placement Units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Founder, Insiders and Lynrock have agreed to purchase from the Company 107,500 Private Placement Units pursuant to a Unit Purchase Agreement. In addition, as discussed in Note 3, the non-managing investors will purchase 260,000 Private Placement Units (or up to 281,454 Private Placement Units if the Underwriter’s over-allotment option is exercised in full) at a price of $9.7374 per Private Placement Unit. Each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Founder, Insiders, Lynrock and the non-managing investors have each agreed not to transfer, assign or sell any of their respective Founder Shares, Private Investor Shares, Private Placement Units or underlying securities to the Private Placement Units that they may hold from the date of the Proposed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 in the case of the Private Placement Units (and its underlying securities), until 30 days after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does not complete a Business Combination, then a portion of the proceeds from the sale of the Private Investor Shares and Private Placement Units will be part of the liquidating distribution to the public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Founder, Insiders, Lynrock and the non-managing investors and their permitted transferees are entitled to registration rights pursuant to a registration rights agreement to be signed on the date of the prospectus for the Proposed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Related Party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 promissory note with the Sponsor with a principal amount of $100,000 (the “Promissory Note”), all of which remained outstanding as of December 31, 2025, to be used for the payment of expenses related to the Proposed Offering. The Promissory Note was non-interest bearing, unsecured and was due on the earlier of (i) December 31, 2025 or (ii) the date on which the Company consummates the Proposed Offering.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Shareholders’ Deficit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1,000,000 preferred shares with such designations, voting and other rights and preferences as may be determined from time to time by the board of directors. As of December 31, 2025, there were no preferred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200,000,000 Class A ordinary shares with a par value of $0.0001 per share. As of December 31, 2025, there were no Class A ordinary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 Class B ordinary shares with a par value of $0.0001 per share. As of December 31, 2025, 7,679,427 Class B ordinary shares issued and outstanding of which 999,712 are subject to forfeiture if the over-allotment is not exercised in full or part by the Underwriters and 15,000 shares are subject to forfeiture in the event the Chief Financial Officer resigns or is removed for cause prior to consummation of an initial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subsequent events that occurred after the balance sheet date through March 31, 2026, the date that these financial statements were available to be issued. Based upon this review, the Company did not identify any subsequent events that would have required adjustment to or disclosure in the financial statements, except as disclosed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January 1, 2026, GigCapital Global entered into an agreement with DSDG Consulting Group Ltd. (“DSDG”) whereby DSDG will serve as the official representative of GigCapital Global in Israel under the name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GigCapital IL. As the official representative of GigCapital Global, DSDG will assist the Company in identifying and evaluating potential de-SPAC targets within Israel. DSDG will receive an initial retainer of $20,000 for January 2026 and then a monthly retainer of $10,000, which amount is cancellable at GigCapital Global's sole discretion with 30 days' notice. The retainer will be allocated to the special purpose acquisition company within GigCapital Global based on services provided. The Company's director, Admiral (Ret.) David Ben-Bashat, has a direct interest in DSDG.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entered into an underwriting agreement with the Underwriter on January 26, 2026 to conduct the Proposed Offering of 22,000,000 Units in the amount of $220.0 million in gross proceeds, with a 45-day option provided to the Underwriter to purchase up to 3,300,000 additional Units solely to cover over-allotments, if any, in the amount of up to $33.0 million in additional gross proceeds.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2026, the Company consummated the Proposed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non-managing investors purchased an aggregate of (a) 3,178,430 Class B ordinary shares at a purchase price per Class B ordinary share of $0.023254, and (b) an aggregate of 281,454 Private Placement Units at a price of $9.7374 per unit for an aggregate purchase price of $2,814,541.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Simultaneously with the closing of the Proposed Offering, the Founder, Insiders and Lynrock purchased from the Company 107,500 Private Placement Units pursuant to a Unit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Proposed Offering, net proceeds in the amount of $253,000,000 from the sale of the Units in the Proposed Offering were placed in the Trust Account.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amounted to $1,677,007, consisting of $1,025,000 of underwriting fees and $652,007 of offering costs. The Company’s remaining cash after payment of the offering costs is held outside of the Trust Account for working capital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28, 2026, the Promissory Note was settled in exchange for Private Placement Units totaling $97,374 and the remaining balance of $2,626 was repaid.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and_disagreeme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4" w:name="item_9a_controls_and_procedures"/>
      <w:bookmarkEnd w:id="24"/>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carried out an evaluation of the effectiveness of the design and operation of our disclosure controls and procedures as of December 31, 2025.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120" w:after="283"/>
        <w:jc w:val="left"/>
        <w:rPr>
          <w:rFonts w:ascii="Times New Roman" w:hAnsi="Times New Roman"/>
          <w:sz w:val="20"/>
        </w:rPr>
      </w:pPr>
      <w:r>
        <w:rPr>
          <w:rFonts w:ascii="Times New Roman" w:hAnsi="Times New Roman"/>
          <w:i/>
          <w:color w:val="000000"/>
          <w:sz w:val="20"/>
        </w:rPr>
        <w:t>Management’s Report on Internal Controls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from October 29, 2025 (date of inception) through December 31, 2025, there has been no change in our internal control over financial reporting that has materially affected, or is reasonably likely to materially affect, our internal control over financial reporting.</w:t>
      </w:r>
    </w:p>
    <w:p>
      <w:pPr>
        <w:pStyle w:val="TextBody"/>
        <w:bidi w:val="0"/>
        <w:spacing w:before="360" w:after="283"/>
        <w:jc w:val="left"/>
        <w:rPr>
          <w:rFonts w:ascii="Times New Roman" w:hAnsi="Times New Roman"/>
          <w:b/>
          <w:color w:val="000000"/>
          <w:sz w:val="20"/>
        </w:rPr>
      </w:pPr>
      <w:bookmarkStart w:id="25" w:name="item_9b_other_information"/>
      <w:bookmarkEnd w:id="25"/>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6" w:name="item_9c_disclosure_regarding_foreign"/>
      <w:bookmarkEnd w:id="26"/>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28" w:name="item_10_directors_executive_officers"/>
      <w:bookmarkEnd w:id="28"/>
      <w:r>
        <w:rPr>
          <w:rFonts w:ascii="Times New Roman" w:hAnsi="Times New Roman"/>
          <w:b/>
          <w:color w:val="000000"/>
          <w:sz w:val="20"/>
        </w:rPr>
        <w:t>Item 10. Directors, Executive Officers and Corporate Governance.</w:t>
      </w:r>
    </w:p>
    <w:p>
      <w:pPr>
        <w:pStyle w:val="TextBody"/>
        <w:bidi w:val="0"/>
        <w:jc w:val="left"/>
        <w:rPr/>
      </w:pPr>
      <w:r>
        <w:rPr/>
        <w:t> </w:t>
      </w:r>
    </w:p>
    <w:tbl>
      <w:tblPr>
        <w:tblW w:w="8785" w:type="dxa"/>
        <w:jc w:val="left"/>
        <w:tblInd w:w="0" w:type="dxa"/>
        <w:tblLayout w:type="fixed"/>
        <w:tblCellMar>
          <w:top w:w="28" w:type="dxa"/>
          <w:left w:w="28" w:type="dxa"/>
          <w:bottom w:w="28" w:type="dxa"/>
          <w:right w:w="28" w:type="dxa"/>
        </w:tblCellMar>
      </w:tblPr>
      <w:tblGrid>
        <w:gridCol w:w="2806"/>
        <w:gridCol w:w="146"/>
        <w:gridCol w:w="391"/>
        <w:gridCol w:w="146"/>
        <w:gridCol w:w="529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280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9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Avi S. Katz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 and Chief Executive Officer</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M. Marshall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Raluca Dinu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Admiral (Ret.) David Ben-Bashat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Raanan I. Horowitz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Ambassador Adrian Zuckerman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Machuca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 General (Ret.) Avi Mizrachi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 Timm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Dr. Avi S. Katz</w:t>
      </w:r>
      <w:r>
        <w:rPr>
          <w:rFonts w:ascii="Times New Roman" w:hAnsi="Times New Roman"/>
          <w:color w:val="000000"/>
          <w:sz w:val="20"/>
        </w:rPr>
        <w:t xml:space="preserve"> serves as our Chief Executive Officer and Chairman of the Board. Dr. Katz has served as the Chairman of the Board of QT 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GIG7 entered into a business combination agreement with Hadron Energy, Inc. on September 27, 2025 and filed a registration statement on Form S-4 with the SEC on November 12, 2025. Drs. Katz and Dinu also co-founded GigInternational1, Inc., a Private-to-Public Equity (PPE) company formed for the purpose of acquiring a company in the TMT, A&amp;D, mobility and semiconductor industries with a particular emphasis on the EMEA market. Drs. Katz and Dinu co-founded GIG8 in June 2025, a Private-to-Public Equity (PPE) company formed for the purpose of acquiring a company in the aerospace and defense services industry and the TMT industry, including TMT companies focused on, cybersecurity and secured communications and quantum-based command and control systems, and artificial intelligence and machine-learning industries. GIG8 completed its initial public offering in October 2025, in which it sold 25,300,000 units at a per unit price of $10.00, with each unit consisting of one Class A ordinary share and one right to receive one-fifth of one Class A ordinary share of GIG8 upon the consummation of an initial business combination, generating $253 million. GIG8 listed on Nasdaq under the symbol “GIW” and is currently looking for a suitable acquisition target.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Engineering from the Technion (Israel Institute of Technology). Dr. Katz is married to Dr. Dinu, one of our directors. </w:t>
      </w:r>
    </w:p>
    <w:p>
      <w:pPr>
        <w:pStyle w:val="TextBody"/>
        <w:bidi w:val="0"/>
        <w:spacing w:before="240" w:after="283"/>
        <w:jc w:val="left"/>
        <w:rPr>
          <w:rFonts w:ascii="Times New Roman" w:hAnsi="Times New Roman"/>
          <w:sz w:val="20"/>
        </w:rPr>
      </w:pPr>
      <w:r>
        <w:rPr>
          <w:rFonts w:ascii="Times New Roman" w:hAnsi="Times New Roman"/>
          <w:b/>
          <w:color w:val="000000"/>
          <w:sz w:val="20"/>
        </w:rPr>
        <w:t>Christine M. Marshall</w:t>
      </w:r>
      <w:r>
        <w:rPr>
          <w:rFonts w:ascii="Times New Roman" w:hAnsi="Times New Roman"/>
          <w:color w:val="000000"/>
          <w:sz w:val="20"/>
        </w:rPr>
        <w:t xml:space="preserve"> joined our company as Chief Financial Officer on June 30, 2025. Ms. Marshall is an accomplished finance leader 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Ms. Marshall has also been the chief financial officer of GIG7 since May 2024 and GIG8 since June 30, 2025.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 </w:t>
      </w:r>
    </w:p>
    <w:p>
      <w:pPr>
        <w:pStyle w:val="TextBody"/>
        <w:bidi w:val="0"/>
        <w:spacing w:before="240" w:after="283"/>
        <w:jc w:val="left"/>
        <w:rPr>
          <w:rFonts w:ascii="Times New Roman" w:hAnsi="Times New Roman"/>
          <w:sz w:val="20"/>
        </w:rPr>
      </w:pPr>
      <w:r>
        <w:rPr>
          <w:rFonts w:ascii="Times New Roman" w:hAnsi="Times New Roman"/>
          <w:b/>
          <w:color w:val="000000"/>
          <w:sz w:val="20"/>
        </w:rPr>
        <w:t>Dr. Raluca Dinu</w:t>
      </w:r>
      <w:r>
        <w:rPr>
          <w:rFonts w:ascii="Times New Roman" w:hAnsi="Times New Roman"/>
          <w:color w:val="000000"/>
          <w:sz w:val="20"/>
        </w:rPr>
        <w:t xml:space="preserve"> is our director. Dr. Dinu is the Chief Executive Officer, President, Secretary, serving in those roles since March 2024 and as 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Drs. Katz and Dinu co-founded GIG8 in June 2025, a Private-to-Public Equity (PPE) company formed for the purpose of acquiring a company in the aerospace and defense services industry and the TMT industry, including TMT companies focused on, cybersecurity and secured communications and quantum-based command and control systems, and artificial intelligence and machine-learning industries. Dr. Dinu also holds a 50% membership interest in GigManagement,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 </w:t>
      </w:r>
    </w:p>
    <w:p>
      <w:pPr>
        <w:pStyle w:val="TextBody"/>
        <w:bidi w:val="0"/>
        <w:spacing w:before="240" w:after="283"/>
        <w:jc w:val="left"/>
        <w:rPr>
          <w:rFonts w:ascii="Times New Roman" w:hAnsi="Times New Roman"/>
          <w:sz w:val="20"/>
        </w:rPr>
      </w:pPr>
      <w:r>
        <w:rPr>
          <w:rFonts w:ascii="Times New Roman" w:hAnsi="Times New Roman"/>
          <w:b/>
          <w:color w:val="000000"/>
          <w:sz w:val="20"/>
        </w:rPr>
        <w:t>Admiral (Ret.) David Ben-Bashat</w:t>
      </w:r>
      <w:r>
        <w:rPr>
          <w:rFonts w:ascii="Times New Roman" w:hAnsi="Times New Roman"/>
          <w:color w:val="000000"/>
          <w:sz w:val="20"/>
        </w:rPr>
        <w:t xml:space="preserve"> is our independent director. V. Admiral (Ret.) Ben-Bashat was the Commander in Chief of the Israeli Navy, retiring in 2008 after serving more than 38 years. Throughout his service in the Israeli Navy, V. Admiral (Ret.) Ben-Bashat assumed the role as the Chief Commander of the missile boat flotilla and commander of the Naval Officers Academy, as well as held different commanding positions as a naval commander and as an officer at the Navy Headquarters.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 team specialize in analyzing security risks and identifying design security technology solutions for national and critical assets engaged with governments and international technology companies. V. Admiral (Ret.) Ben-Bashat is a director of GIG8 since October 2025.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Raanan I. Horowitz </w:t>
      </w:r>
      <w:r>
        <w:rPr>
          <w:rFonts w:ascii="Times New Roman" w:hAnsi="Times New Roman"/>
          <w:color w:val="000000"/>
          <w:sz w:val="20"/>
        </w:rPr>
        <w:t xml:space="preserve">is our independent director.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is a director of GIG8 since October 2025.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 </w:t>
      </w:r>
    </w:p>
    <w:p>
      <w:pPr>
        <w:pStyle w:val="TextBody"/>
        <w:bidi w:val="0"/>
        <w:spacing w:before="240" w:after="283"/>
        <w:jc w:val="left"/>
        <w:rPr>
          <w:rFonts w:ascii="Times New Roman" w:hAnsi="Times New Roman"/>
          <w:sz w:val="20"/>
        </w:rPr>
      </w:pPr>
      <w:r>
        <w:rPr>
          <w:rFonts w:ascii="Times New Roman" w:hAnsi="Times New Roman"/>
          <w:b/>
          <w:color w:val="000000"/>
          <w:sz w:val="20"/>
        </w:rPr>
        <w:t>Ambassador Adrian Zuckerman</w:t>
      </w:r>
      <w:r>
        <w:rPr>
          <w:rFonts w:ascii="Times New Roman" w:hAnsi="Times New Roman"/>
          <w:color w:val="000000"/>
          <w:sz w:val="20"/>
        </w:rPr>
        <w:t xml:space="preserve"> is our independent director.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 director of GIG8 since October 2025. Ambassador Zuckerman is also a member of the advisory board of the Krach Institute for Tech Diplomacy at Purdue University. He holds an undergraduate degree from the Massachusetts Institute of Technology and a law degree from the New York Law School. </w:t>
      </w:r>
    </w:p>
    <w:p>
      <w:pPr>
        <w:pStyle w:val="TextBody"/>
        <w:bidi w:val="0"/>
        <w:jc w:val="left"/>
        <w:rPr>
          <w:rFonts w:ascii="Times New Roman" w:hAnsi="Times New Roman"/>
          <w:sz w:val="20"/>
        </w:rPr>
      </w:pPr>
      <w:r>
        <w:rPr>
          <w:rFonts w:ascii="Times New Roman" w:hAnsi="Times New Roman"/>
          <w:b/>
          <w:color w:val="000000"/>
          <w:sz w:val="20"/>
        </w:rPr>
        <w:t>Luis Machuca</w:t>
      </w:r>
      <w:r>
        <w:rPr>
          <w:rFonts w:ascii="Times New Roman" w:hAnsi="Times New Roman"/>
          <w:color w:val="000000"/>
          <w:sz w:val="20"/>
        </w:rPr>
        <w:t xml:space="preserve"> is our independent director. He also serves as a director of GIG8 since October 2025 and a director of UpHealth, Inc. (OTC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 </w:t>
      </w:r>
    </w:p>
    <w:p>
      <w:pPr>
        <w:pStyle w:val="TextBody"/>
        <w:bidi w:val="0"/>
        <w:spacing w:before="240" w:after="283"/>
        <w:jc w:val="left"/>
        <w:rPr>
          <w:rFonts w:ascii="Times New Roman" w:hAnsi="Times New Roman"/>
          <w:sz w:val="20"/>
        </w:rPr>
      </w:pPr>
      <w:r>
        <w:rPr>
          <w:rFonts w:ascii="Times New Roman" w:hAnsi="Times New Roman"/>
          <w:b/>
          <w:color w:val="000000"/>
          <w:sz w:val="20"/>
        </w:rPr>
        <w:t>Maj. General (Ret.) Avi Mizrachi</w:t>
      </w:r>
      <w:r>
        <w:rPr>
          <w:rFonts w:ascii="Times New Roman" w:hAnsi="Times New Roman"/>
          <w:color w:val="000000"/>
          <w:sz w:val="20"/>
        </w:rPr>
        <w:t xml:space="preserve"> is our independent director. Mr. Mizrachi served as CEO of UVision from 2019 to 2024. During his tenure, he led the development and deployment of multiple advanced loitering-munition systems and grew the company’s revenues from approximately USD 414,000 to USD 1 billion, firmly establishing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UVision as a leading global player in the field. Prior to joining UVision, Mr. Mizrachi served as Executive Vice President for Business Development — Southeast Asia and Israel at Elbit Systems, a position he assumed in 2013. In this role, he was responsible for approximately one-third of Elbit Systems’ annual revenue (USD 3.4 billion) and played a key role in the successful acquisition of Israel Military Industries (IMI) Systems. He was a member of Elbit Systems’ senior management team and reported directly to the CEO. Mr. Mizrachi completed a 35-year distinguished career in the Israel Defense Forces (IDF), reaching the rank of Major General. From 2009 to 2012, he served as Commander of the IDF Central Command. Earlier in his career, he held several senior leadership roles, including Commander of the IDF Ground Forces and Head of the Technology and Logistics Branch. Mr. Mizrachi holds a Bachelor of Arts in Computer Science and Business Administration from Pace University, New York, and is a graduate of Harvard Business School’s Advanced Management Program.</w:t>
      </w:r>
    </w:p>
    <w:p>
      <w:pPr>
        <w:pStyle w:val="TextBody"/>
        <w:bidi w:val="0"/>
        <w:spacing w:before="240" w:after="283"/>
        <w:jc w:val="left"/>
        <w:rPr>
          <w:rFonts w:ascii="Times New Roman" w:hAnsi="Times New Roman"/>
          <w:sz w:val="20"/>
        </w:rPr>
      </w:pPr>
      <w:r>
        <w:rPr>
          <w:rFonts w:ascii="Times New Roman" w:hAnsi="Times New Roman"/>
          <w:b/>
          <w:color w:val="000000"/>
          <w:sz w:val="20"/>
        </w:rPr>
        <w:t>Bryan Timm</w:t>
      </w:r>
      <w:r>
        <w:rPr>
          <w:rFonts w:ascii="Times New Roman" w:hAnsi="Times New Roman"/>
          <w:color w:val="000000"/>
          <w:sz w:val="20"/>
        </w:rPr>
        <w:t xml:space="preserve"> is our independent director. Mr. Timm is also a director of GIG8 since October 2025. Mr. Timm currently serves as a Board Advisor for Pa</w:t>
      </w:r>
      <w:r>
        <w:rPr>
          <w:rFonts w:ascii="Times New Roman" w:hAnsi="Times New Roman"/>
          <w:color w:val="000000"/>
          <w:sz w:val="24"/>
        </w:rPr>
        <w:t>pé</w:t>
      </w:r>
      <w:r>
        <w:rPr>
          <w:rFonts w:ascii="Times New Roman" w:hAnsi="Times New Roman"/>
          <w:color w:val="000000"/>
          <w:sz w:val="20"/>
        </w:rPr>
        <w:t xml:space="preserve"> Group, a family company serving the West Coast with Kenworth, John Deere, and Hyster heavy equipment dealerships. He previously served on the Board of Directors of Umpqua Holdings Corporation (Nasdaq: UMPQ) (n/k/a Columbia Banking System)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Number, Terms of Office and Election of 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will be elected each year at our annual meeting of shareholders. We may not hold an annual meeting of shareholders until after we consummate our initial business combination (unless required by Nasdaq).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officers are elected by the Board of Directors and serve at the discretion of the Board of Directors, rather than for specific terms of office. Our Board of Directors is authorized by our amended and restated memorandum and articles of association to appoint persons to serve as officers as it deems appropriate. Our executive officers may consist of a Chairman, a Chief Executive Officer, a President, a Chief Financial Officer, Vice Presidents, a Secretary, Assistant Secretaries, a Treasurer and such other offices as may be determined by the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three standing committees: an audit committee; a compensation committee; and a nominating and corporate governance committee. Each of our audit committee, our compensation committee and our nominating and corporate governance committee are composed solely of independent directors. Each committee operates under a charter that is approved by our board and has the composition and responsibilities described below. The committee assignments set forth below were in effect as of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an audit committee of the Board of Directors. Mr. Horowitz and Mr. Zuckerman serve as members of our audit committee. Mr. Timm serves as the Chairman of the audit committee. Under Nasdaq listing standards and applicable SEC rules, we are required to have three members of the audit committee all of whom must be independent. Mr. Timm, Mr. Horowitz and Mr. Zuckerman are independent.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member of the audit committee is financially literate and our Board of Directors has determined that Mr. Timm qualifies as an “audit committee financial expert” as defined in applicable SEC rules.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audit committee charter, which details the purpose and principal functions of the audit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the Board of Directors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 and (5) the qualifications and independence of the Company’s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with each of the internal auditors and independent registered public accounting firm the overall scope and plans for audits, including authority and organizational reporting lines and adequacy of staffing and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internal auditors and the independent registered public accounting firm the Company’s financial and critical accounting practices, and policies relating to risk assessment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receiving and reviewing reports of the independent registered public accounting firm discussing 1) all critical accounting policies and practices to be used in the independent registered public accounting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reviewing and discussing with management and the independent registered public accounting firm the annual and quarterly financial statements and section entitled “</w:t>
      </w:r>
      <w:r>
        <w:rPr>
          <w:rFonts w:ascii="Times New Roman" w:hAnsi="Times New Roman"/>
          <w:i/>
          <w:color w:val="000000"/>
          <w:sz w:val="20"/>
        </w:rPr>
        <w:t>Management’s</w:t>
      </w:r>
      <w:r>
        <w:rPr>
          <w:color w:val="000000"/>
        </w:rPr>
        <w:t xml:space="preserve"> </w:t>
      </w:r>
      <w:r>
        <w:rPr>
          <w:rFonts w:ascii="Times New Roman" w:hAnsi="Times New Roman"/>
          <w:i/>
          <w:color w:val="000000"/>
          <w:sz w:val="20"/>
        </w:rPr>
        <w:t>Discussion</w:t>
      </w:r>
      <w:r>
        <w:rPr>
          <w:color w:val="000000"/>
        </w:rPr>
        <w:t xml:space="preserve"> </w:t>
      </w:r>
      <w:r>
        <w:rPr>
          <w:rFonts w:ascii="Times New Roman" w:hAnsi="Times New Roman"/>
          <w:i/>
          <w:color w:val="000000"/>
          <w:sz w:val="20"/>
        </w:rPr>
        <w:t>and</w:t>
      </w:r>
      <w:r>
        <w:rPr>
          <w:color w:val="000000"/>
        </w:rPr>
        <w:t xml:space="preserve"> </w:t>
      </w:r>
      <w:r>
        <w:rPr>
          <w:rFonts w:ascii="Times New Roman" w:hAnsi="Times New Roman"/>
          <w:i/>
          <w:color w:val="000000"/>
          <w:sz w:val="20"/>
        </w:rPr>
        <w:t>Analysis of Financial</w:t>
      </w:r>
      <w:r>
        <w:rPr>
          <w:color w:val="000000"/>
        </w:rPr>
        <w:t xml:space="preserve"> </w:t>
      </w:r>
      <w:r>
        <w:rPr>
          <w:rFonts w:ascii="Times New Roman" w:hAnsi="Times New Roman"/>
          <w:i/>
          <w:color w:val="000000"/>
          <w:sz w:val="20"/>
        </w:rPr>
        <w:t>Conditions and Results of</w:t>
      </w:r>
      <w:r>
        <w:rPr>
          <w:color w:val="000000"/>
        </w:rPr>
        <w:t xml:space="preserve"> </w:t>
      </w:r>
      <w:r>
        <w:rPr>
          <w:rFonts w:ascii="Times New Roman" w:hAnsi="Times New Roman"/>
          <w:i/>
          <w:color w:val="000000"/>
          <w:sz w:val="20"/>
        </w:rPr>
        <w:t>Operations</w:t>
      </w:r>
      <w:r>
        <w:rPr>
          <w:color w:val="000000"/>
        </w:rPr>
        <w:t xml:space="preserve">” </w:t>
      </w:r>
      <w:r>
        <w:rPr>
          <w:rFonts w:ascii="Times New Roman" w:hAnsi="Times New Roman"/>
          <w:color w:val="000000"/>
          <w:sz w:val="20"/>
        </w:rPr>
        <w:t>of the Company prior to the filing of the Company’s Annual Report on Form 10-K and Quarterly Reports on Form 10-Q;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or establishing, standards for the type of information and the type of presentation of such information to be included in, earnings press releases and earnings guidance provided to analysts and rating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discussing with management and the independent registered public accounting firm any changes in Company’s critical accounting principles and the effects of alternative GAAP methods, off-balance sheet structures and regulatory and accounting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material pending legal proceedings involving the Company and other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periodically with the Chief Executive Officer, Chief Financial Officer, the senior internal auditing executive and the independent registered public accounting firm in separate executive sessions to discuss results of examinations;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all transactions between the Company and related parties or affiliates of the officers of the Company requiring disclosure under Item 404 of Regulation S-K prior to the Company entering into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policies for the hiring of employees and former employees of the independent registered public accounting firm.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 compensation committee of the Board of Directors. The members of our Compensation Committee are Mr. Horowitz and Mr. Timm, and Mr. Machuca serves as Chairman of the compensation committee. We have adopted a compensation committee charter, which details the purpose and responsibility of the compensation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performance of the Chief Executive Officer and executive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the Board of Directors in developing and evaluating potential candidates for executive positions (including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goals and objectives relevant to the Chief Executive Officer and other executive officer compensation, evaluate the Chief Executive Officer’s and other executive officers’ performance in light of these corporate goals and objectives, and set Chief Executive Officer and other executive officer compensation levels consistent with its evaluation and the Company philosophy;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the salaries, bonus and other compensation for all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compensation packages for new corporate officers and termination packages for corporate officers as requested by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the Board of Directors and senior officers plans for officer development and corporate succession plans for the Chief Executive Officer and other senior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concerning executive compensation policies and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to the Board of Directors the adoption of or changes to the compensation of the Company’s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awards made under any executive officer bonus plan, and provide an appropriate report to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making recommendations concerning long-term incentive compensation plans, including the use of stock options and other equity-based plans, and, except as otherwise delegated by the Board of Directors, acting on as the “Plan Administrator” for equity-based and employee benefit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all special perquisites, special cash payments and other special compensation and benefit arrangements for the Company’s executive officers and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periodic reports from management on matters relating to the Company’s personnel appointments and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management in complying with the Company’s proxy statement and annual report disclosure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issuing an annual report of the Compensation Committee on Executive Compensation for the Company’s annual proxy statement in compliance with applicable SEC rules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annually evaluating the Committee’s performance and the committee’s charter and recommending to the Board of Directors any proposed changes to the charter or the committee;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undertaking all further actions and discharge all further responsibilities imposed upon the Committee from time to time by the Board of Directors, the federal securities laws or the rules and regulations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 nominating and corporate governance committee of the Board of Directors. The members of our nominating and corporate governance are Mr. Machuca and Admiral (Ret.) Ben-Bashat, and Mr. Horowitz serves as Chairman of the nominating and corporate governance committee. We have adopted a nominating and corporate governance committee charter, which details the purpose and responsibilities of the nominating and corporate governance committee,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the Board of Directors the criteria for appointment as a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considering, recruiting and recommending candidates to fill new positions on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candidates recommended by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the appropriate and necessary inquiries into the backgrounds and qualifications of possible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director nominees for approval by the Board of Directors and election by the shareholders at the next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Committee Report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compensation committee of the board of directors has reviewed and discussed the “</w:t>
      </w:r>
      <w:r>
        <w:rPr>
          <w:rFonts w:ascii="Times New Roman" w:hAnsi="Times New Roman"/>
          <w:i/>
          <w:color w:val="000000"/>
          <w:sz w:val="20"/>
        </w:rPr>
        <w:t>Compensation of Our Executive Officers and Directors”</w:t>
      </w:r>
      <w:r>
        <w:rPr>
          <w:rFonts w:ascii="Times New Roman" w:hAnsi="Times New Roman"/>
          <w:color w:val="000000"/>
          <w:sz w:val="20"/>
        </w:rPr>
        <w:t xml:space="preserve"> section below and, based on such review and discussion, has recommended to our board of directors that such section be included in this Form 10-K.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Nasdaq requires that a majority of our board must be composed of “independent directors,” which is defined generally as a person other than an executive officer or employee of our Company or its subsidiaries or any other individual having a relationship, which, in the opinion of our Company’s Board of Directors would interfere with the director’s exercise of independent judgment in carrying out the responsibilities of a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closing of the Offering, Admiral (Ret.) Ben-Bashat, Mr. Horowitz, Ambassador Zuckerman, Mr. Machuca, Maj. General (Ret.) Mizrachi and Mr. Timm are our independent directors. Our independent directors may have regularly scheduled meetings at which only independent directors are present in certain circumstances. Any initial business combination must be approved by a majority of our independent directors. Any affiliated transactions will be on terms no less favorable to us than could be obtained from independent parties. Any affiliated transactions must be approved by a majority of our independent and disinterested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adopted a Code of Business Conduct and Ethics applicable to our management team and employees in accordance with applicable federal securities laws. We have filed a copy of our form of Code of Business Conduct and Ethics and our board committee charters as exhibits to the initial registration statement. You are able to review these documents by accessing our public filings at the SEC’s web site at </w:t>
      </w:r>
      <w:r>
        <w:rPr>
          <w:rFonts w:ascii="Times New Roman" w:hAnsi="Times New Roman"/>
          <w:i/>
          <w:color w:val="000000"/>
          <w:sz w:val="20"/>
        </w:rPr>
        <w:t>www.sec.gov</w:t>
      </w:r>
      <w:r>
        <w:rPr>
          <w:rFonts w:ascii="Times New Roman" w:hAnsi="Times New Roman"/>
          <w:color w:val="000000"/>
          <w:sz w:val="20"/>
        </w:rPr>
        <w:t>. In addition, a copy of the Code of Business Conduct and Ethics will be provided without charge upon request from us, or may accessed on our Company website at https://www.gigcapitalglobal.com/investors. We intend to disclose any amendments to or waivers of certain provisions of our Code of Business Conduct and Ethics in a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the consummation of the Offering, we adopted an insider trading policy which requires insiders to (1) refrain from purchasing securities during certain blackout periods and when they are in possession of any material non-public information and (2) clear all trades with our legal counsel prior to execution. We cannot currently determine whether any of our insiders will make such purchases pursuant to a Rule 10b5-1 plan, as that would be dependent upon several factors, including but not limited to, the timing and size of any such purchase. Depending on the circumstances, any of our insiders may decide to make purchases of our public shares pursuant to a Rule 10b5-1 plan or may determine that acting pursuant to such a plan is not required under the Exchange Act; however, if the purchasers determine at the time of any such purchases that the purchases are subject to such rules, the purchasers will comply with such rules.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Conflicts of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believe, however, that the fiduciary, contractual or other obligations or duties of our officers or directors will materially affect our ability to complete our initial business combination. Our amended and restated memorandum and articles of association provide that we renounce our interest in any corporate opportunity offered to any director or officer unless (i) such opportunity is expressly offered to such person solely in his or her capacity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Further, there is significant overlap among the directors and officers of UpHealth, Inc., QT Imaging Holdings, Inc., GIG7, GIG8 and our Company. Dr. Katz, our Chief Executive Officer and Chairman, serves as the Chairman of QT Imaging Holdings, Inc. and UpHealth, Inc. and as the Chief Executive Officer and Chairman of GIG7 and GIG8 Ms. Marshall, our Chief Financial Officer, serves as the Chief Financial Officer of GIG7 and GIG8 Dr. Dinu, our director, is also a member of the board of directors of UpHealth, Inc., GIG7 and GIG8 and the Chief Executive Officer and member of the board of directors of QT Imaging Holdings, Inc. Any of such companies may present additional conflicts of interest in pursuing an acquisition target. Investors should be aware of the following potential conflicts of interest: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officers and directors is required to commit their full time to our affairs and, accordingly, they may have conflicts of interest in allocating their time among various business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their other business activities, our Sponsor, officers and directors may become aware of investment and business opportunities which may be appropriate for presentation to our Company as well as the other entities with which they are affiliated. However, our officers and directors have agreed to present to us all suitable target business opportunities, subject to any fiduciary or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we consummate our initial business combination, our executive officers, directors and Sponsor will not receive reimbursement for any out-of-pocket expenses incurred by them to the extent that such expenses exceed the amount of available proceeds not deposited in the trust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founder shares, private placement shares and any Class A ordinary shares issuable upon conversion thereof, private placement rights (and underlying securities) will be released from their respective lock-up restrictions only if a business combination is successfully completed, and the private placement rights will expire worthless if a business combination is not consummated.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foregoing reasons, our Board of Directors may have a conflict of interest in determining whether a particular target business is appropriate to effect a business combination with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executive officers and directors of a corporation incorporated under the Cayman Islands are required to present business opportunities to a corporation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corporation could financially undertake the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opportunity is within the corporation’s line of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would not be fair to the corporation and its shareholders for the opportunity not to be brought to the attention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 a result of multiple business affiliations, our management team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We cannot assure you that any of the above mentioned conflicts will be resolved in our favor.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minimize potential conflicts of interest which may arise from multiple corporate affiliations, each of our officers and directors has contractually agreed, pursuant to a written agreement with us, until the earliest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execution of a definitive agreement for a business combination, our liquidation or such time as he or she ceases to be an officer or director, to present to our Company for our consideration, prior to presentation to any other entity, any suitable business opportunity which may reasonably be required to be presented to us, subject to any fiduciary or contractual obligations he or she might have in the event their respective business combinations are not consummated. Accordingly, our amended and restated memorandum and articles of association provide that the doctrine of corporate opportunity will not apply with respect to any of our executive officers or directors in circumstances where the application of the doctrine would conflict with any fiduciary duties or contractual obligations they may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is a table summarizing the entities to which our executive officers and directors currently have fiduciary duties or contractual obligations. </w:t>
      </w:r>
    </w:p>
    <w:tbl>
      <w:tblPr>
        <w:tblW w:w="10205" w:type="dxa"/>
        <w:jc w:val="left"/>
        <w:tblInd w:w="0" w:type="dxa"/>
        <w:tblLayout w:type="fixed"/>
        <w:tblCellMar>
          <w:top w:w="28" w:type="dxa"/>
          <w:left w:w="28" w:type="dxa"/>
          <w:bottom w:w="28" w:type="dxa"/>
          <w:right w:w="28" w:type="dxa"/>
        </w:tblCellMar>
      </w:tblPr>
      <w:tblGrid>
        <w:gridCol w:w="2245"/>
        <w:gridCol w:w="2236"/>
        <w:gridCol w:w="2306"/>
        <w:gridCol w:w="3418"/>
      </w:tblGrid>
      <w:tr>
        <w:trPr/>
        <w:tc>
          <w:tcPr>
            <w:tcW w:w="2245"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2306" w:type="dxa"/>
            <w:tcBorders/>
            <w:shd w:fill="FFFFFF" w:val="clear"/>
            <w:vAlign w:val="center"/>
          </w:tcPr>
          <w:p>
            <w:pPr>
              <w:pStyle w:val="TableContents"/>
              <w:bidi w:val="0"/>
              <w:spacing w:before="0" w:after="283"/>
              <w:jc w:val="left"/>
              <w:rPr>
                <w:sz w:val="4"/>
                <w:szCs w:val="4"/>
              </w:rPr>
            </w:pPr>
            <w:r>
              <w:rPr>
                <w:sz w:val="4"/>
                <w:szCs w:val="4"/>
              </w:rPr>
            </w:r>
          </w:p>
        </w:tc>
        <w:tc>
          <w:tcPr>
            <w:tcW w:w="3418" w:type="dxa"/>
            <w:tcBorders/>
            <w:shd w:fill="FFFFFF" w:val="clear"/>
            <w:vAlign w:val="center"/>
          </w:tcPr>
          <w:p>
            <w:pPr>
              <w:pStyle w:val="TableContents"/>
              <w:bidi w:val="0"/>
              <w:spacing w:before="0" w:after="283"/>
              <w:jc w:val="left"/>
              <w:rPr>
                <w:sz w:val="4"/>
                <w:szCs w:val="4"/>
              </w:rPr>
            </w:pPr>
            <w:r>
              <w:rPr>
                <w:sz w:val="4"/>
                <w:szCs w:val="4"/>
              </w:rPr>
            </w:r>
          </w:p>
        </w:tc>
      </w:tr>
      <w:tr>
        <w:trPr/>
        <w:tc>
          <w:tcPr>
            <w:tcW w:w="2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Individual</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w:t>
            </w:r>
          </w:p>
        </w:tc>
        <w:tc>
          <w:tcPr>
            <w:tcW w:w="2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Entity’s Business</w:t>
            </w:r>
          </w:p>
        </w:tc>
        <w:tc>
          <w:tcPr>
            <w:tcW w:w="3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Affiliation</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Dr. Avi S. Katz</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Gig4L, LLC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Consulting and Investment</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managing member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GigManagement, LLC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Management Company</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Co-founder and managing member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UpHealth, Inc.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Healthcare and Telemedicine</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Chairman of board of directors</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QT Imaging Holdings, Inc.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Medical Device</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Chairman of board of directors</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Executive Officer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GigAcquisitions7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GigCapital8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Executive Officer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GigAcquisitions8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GigAcquisitions9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Christine M. Marshall</w:t>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30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Financial Officer</w:t>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GigCapital8 Corp.</w:t>
            </w:r>
          </w:p>
        </w:tc>
        <w:tc>
          <w:tcPr>
            <w:tcW w:w="230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Financial Officer</w:t>
            </w:r>
          </w:p>
        </w:tc>
      </w:tr>
      <w:tr>
        <w:trPr/>
        <w:tc>
          <w:tcPr>
            <w:tcW w:w="2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Dr. Raluca Dinu</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GigManagement, LLC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Management Company</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Co-founder and managing member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Gig4L, LLC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Consulting and Investment</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managing member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UpHealth, Inc.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Healthcare and Telemedicine</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QT Imaging Holdings, Inc.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Medical Device</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Executive Officer, President, Secretary and Director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GigAcquisitions7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GigCapital8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GigAcquisitions8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GigAcquisitions9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PPE (SPAC) sponsorship</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Founder and manager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Ambassador Adrian Zuckerman</w:t>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DLA Piper LLP (US)</w:t>
            </w:r>
          </w:p>
        </w:tc>
        <w:tc>
          <w:tcPr>
            <w:tcW w:w="230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Law Firm</w:t>
            </w:r>
          </w:p>
        </w:tc>
        <w:tc>
          <w:tcPr>
            <w:tcW w:w="3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Of Counsel</w:t>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30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 xml:space="preserve">GigCapital8 Corp. </w:t>
            </w:r>
          </w:p>
        </w:tc>
        <w:tc>
          <w:tcPr>
            <w:tcW w:w="230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Raanan Horowitz</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Institute for Defense Analysis</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Technical and Scientific Analysis</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Member of board of trustees</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Parry Labs LLC</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Engineering Services</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GigCapital7 Corp.</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 xml:space="preserve">GigCapital8 Corp. </w:t>
            </w:r>
          </w:p>
        </w:tc>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Admiral (Ret.) David Ben-Bashat</w:t>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GaitMetrics</w:t>
            </w:r>
          </w:p>
        </w:tc>
        <w:tc>
          <w:tcPr>
            <w:tcW w:w="230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Security Company</w:t>
            </w:r>
          </w:p>
        </w:tc>
        <w:tc>
          <w:tcPr>
            <w:tcW w:w="3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GigCapital8 Corp.</w:t>
            </w:r>
          </w:p>
        </w:tc>
        <w:tc>
          <w:tcPr>
            <w:tcW w:w="2306"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3418"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7"/>
        <w:gridCol w:w="2411"/>
        <w:gridCol w:w="2590"/>
        <w:gridCol w:w="2307"/>
      </w:tblGrid>
      <w:tr>
        <w:trPr/>
        <w:tc>
          <w:tcPr>
            <w:tcW w:w="2897" w:type="dxa"/>
            <w:tcBorders/>
            <w:shd w:fill="FFFFFF" w:val="clear"/>
            <w:vAlign w:val="center"/>
          </w:tcPr>
          <w:p>
            <w:pPr>
              <w:pStyle w:val="TableContents"/>
              <w:bidi w:val="0"/>
              <w:spacing w:before="0" w:after="283"/>
              <w:jc w:val="left"/>
              <w:rPr>
                <w:sz w:val="4"/>
                <w:szCs w:val="4"/>
              </w:rPr>
            </w:pPr>
            <w:r>
              <w:rPr>
                <w:sz w:val="4"/>
                <w:szCs w:val="4"/>
              </w:rPr>
            </w:r>
          </w:p>
        </w:tc>
        <w:tc>
          <w:tcPr>
            <w:tcW w:w="2411" w:type="dxa"/>
            <w:tcBorders/>
            <w:shd w:fill="FFFFFF" w:val="clear"/>
            <w:vAlign w:val="center"/>
          </w:tcPr>
          <w:p>
            <w:pPr>
              <w:pStyle w:val="TableContents"/>
              <w:bidi w:val="0"/>
              <w:spacing w:before="0" w:after="283"/>
              <w:jc w:val="left"/>
              <w:rPr>
                <w:sz w:val="4"/>
                <w:szCs w:val="4"/>
              </w:rPr>
            </w:pPr>
            <w:r>
              <w:rPr>
                <w:sz w:val="4"/>
                <w:szCs w:val="4"/>
              </w:rPr>
            </w:r>
          </w:p>
        </w:tc>
        <w:tc>
          <w:tcPr>
            <w:tcW w:w="2590" w:type="dxa"/>
            <w:tcBorders/>
            <w:shd w:fill="FFFFFF" w:val="clear"/>
            <w:vAlign w:val="center"/>
          </w:tcPr>
          <w:p>
            <w:pPr>
              <w:pStyle w:val="TableContents"/>
              <w:bidi w:val="0"/>
              <w:spacing w:before="0" w:after="283"/>
              <w:jc w:val="left"/>
              <w:rPr>
                <w:sz w:val="4"/>
                <w:szCs w:val="4"/>
              </w:rPr>
            </w:pPr>
            <w:r>
              <w:rPr>
                <w:sz w:val="4"/>
                <w:szCs w:val="4"/>
              </w:rPr>
            </w:r>
          </w:p>
        </w:tc>
        <w:tc>
          <w:tcPr>
            <w:tcW w:w="2307" w:type="dxa"/>
            <w:tcBorders/>
            <w:shd w:fill="FFFFFF" w:val="clear"/>
            <w:vAlign w:val="center"/>
          </w:tcPr>
          <w:p>
            <w:pPr>
              <w:pStyle w:val="TableContents"/>
              <w:bidi w:val="0"/>
              <w:spacing w:before="0" w:after="283"/>
              <w:jc w:val="left"/>
              <w:rPr>
                <w:sz w:val="4"/>
                <w:szCs w:val="4"/>
              </w:rPr>
            </w:pPr>
            <w:r>
              <w:rPr>
                <w:sz w:val="4"/>
                <w:szCs w:val="4"/>
              </w:rPr>
            </w:r>
          </w:p>
        </w:tc>
      </w:tr>
      <w:tr>
        <w:trPr/>
        <w:tc>
          <w:tcPr>
            <w:tcW w:w="28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Individual</w:t>
            </w:r>
          </w:p>
        </w:tc>
        <w:tc>
          <w:tcPr>
            <w:tcW w:w="2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w:t>
            </w:r>
          </w:p>
        </w:tc>
        <w:tc>
          <w:tcPr>
            <w:tcW w:w="25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Entity’s Business</w:t>
            </w:r>
          </w:p>
        </w:tc>
        <w:tc>
          <w:tcPr>
            <w:tcW w:w="23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Affiliation</w:t>
            </w:r>
          </w:p>
        </w:tc>
      </w:tr>
      <w:tr>
        <w:trPr/>
        <w:tc>
          <w:tcPr>
            <w:tcW w:w="289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Luis Machuca</w:t>
            </w:r>
          </w:p>
        </w:tc>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UpHealth, Inc.</w:t>
            </w:r>
          </w:p>
        </w:tc>
        <w:tc>
          <w:tcPr>
            <w:tcW w:w="2590"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Healthcare and Telemedicine</w:t>
            </w:r>
          </w:p>
        </w:tc>
        <w:tc>
          <w:tcPr>
            <w:tcW w:w="23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89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Columbia Banking System</w:t>
            </w:r>
          </w:p>
        </w:tc>
        <w:tc>
          <w:tcPr>
            <w:tcW w:w="2590"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Financial Institution</w:t>
            </w:r>
          </w:p>
        </w:tc>
        <w:tc>
          <w:tcPr>
            <w:tcW w:w="23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89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pPr>
            <w:r>
              <w:rPr/>
              <w:t> </w:t>
            </w:r>
          </w:p>
        </w:tc>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 xml:space="preserve">GigCapital8 Corp. </w:t>
            </w:r>
          </w:p>
        </w:tc>
        <w:tc>
          <w:tcPr>
            <w:tcW w:w="2590"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3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897"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Maj. General (Ret.) Avi Mizrachi</w:t>
            </w:r>
          </w:p>
        </w:tc>
        <w:tc>
          <w:tcPr>
            <w:tcW w:w="2411"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Elbit Systems</w:t>
            </w:r>
          </w:p>
        </w:tc>
        <w:tc>
          <w:tcPr>
            <w:tcW w:w="2590"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Defense Technology</w:t>
            </w:r>
          </w:p>
        </w:tc>
        <w:tc>
          <w:tcPr>
            <w:tcW w:w="2307" w:type="dxa"/>
            <w:tcBorders/>
            <w:tcMar>
              <w:top w:w="0" w:type="dxa"/>
              <w:left w:w="0" w:type="dxa"/>
              <w:bottom w:w="0" w:type="dxa"/>
              <w:right w:w="0" w:type="dxa"/>
            </w:tcMar>
            <w:vAlign w:val="center"/>
          </w:tcPr>
          <w:p>
            <w:pPr>
              <w:pStyle w:val="TableContents"/>
              <w:bidi w:val="0"/>
              <w:spacing w:before="120" w:after="283"/>
              <w:ind w:left="0" w:right="0" w:firstLine="130"/>
              <w:jc w:val="left"/>
              <w:rPr>
                <w:rFonts w:ascii="Times New Roman" w:hAnsi="Times New Roman"/>
                <w:color w:val="000000"/>
                <w:sz w:val="20"/>
              </w:rPr>
            </w:pPr>
            <w:r>
              <w:rPr>
                <w:rFonts w:ascii="Times New Roman" w:hAnsi="Times New Roman"/>
                <w:color w:val="000000"/>
                <w:sz w:val="20"/>
              </w:rPr>
              <w:t>Executive Vice President</w:t>
            </w:r>
          </w:p>
        </w:tc>
      </w:tr>
      <w:tr>
        <w:trPr/>
        <w:tc>
          <w:tcPr>
            <w:tcW w:w="2897" w:type="dxa"/>
            <w:tcBorders/>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c>
          <w:tcPr>
            <w:tcW w:w="2411"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UVision</w:t>
            </w:r>
          </w:p>
        </w:tc>
        <w:tc>
          <w:tcPr>
            <w:tcW w:w="2590"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Defense Technology</w:t>
            </w:r>
          </w:p>
        </w:tc>
        <w:tc>
          <w:tcPr>
            <w:tcW w:w="2307" w:type="dxa"/>
            <w:tcBorders/>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Chief Executive Officer</w:t>
            </w:r>
          </w:p>
        </w:tc>
      </w:tr>
      <w:tr>
        <w:trPr/>
        <w:tc>
          <w:tcPr>
            <w:tcW w:w="28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Bryan Timm</w:t>
            </w:r>
          </w:p>
        </w:tc>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GigCapital8 Corp.</w:t>
            </w:r>
          </w:p>
        </w:tc>
        <w:tc>
          <w:tcPr>
            <w:tcW w:w="2590"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SPAC</w:t>
            </w:r>
          </w:p>
        </w:tc>
        <w:tc>
          <w:tcPr>
            <w:tcW w:w="2307" w:type="dxa"/>
            <w:tcBorders/>
            <w:shd w:fill="CFF0FC" w:val="clear"/>
            <w:tcMar>
              <w:top w:w="0" w:type="dxa"/>
              <w:left w:w="0" w:type="dxa"/>
              <w:bottom w:w="0" w:type="dxa"/>
              <w:right w:w="0" w:type="dxa"/>
            </w:tcMar>
            <w:vAlign w:val="center"/>
          </w:tcPr>
          <w:p>
            <w:pPr>
              <w:pStyle w:val="TableContents"/>
              <w:bidi w:val="0"/>
              <w:spacing w:before="0" w:after="283"/>
              <w:ind w:left="0" w:right="0" w:firstLine="130"/>
              <w:jc w:val="left"/>
              <w:rPr>
                <w:rFonts w:ascii="Times New Roman" w:hAnsi="Times New Roman"/>
                <w:color w:val="000000"/>
                <w:sz w:val="20"/>
              </w:rPr>
            </w:pPr>
            <w:r>
              <w:rPr>
                <w:rFonts w:ascii="Times New Roman" w:hAnsi="Times New Roman"/>
                <w:color w:val="000000"/>
                <w:sz w:val="20"/>
              </w:rPr>
              <w:t>Director</w:t>
            </w:r>
          </w:p>
        </w:tc>
      </w:tr>
      <w:tr>
        <w:trPr/>
        <w:tc>
          <w:tcPr>
            <w:tcW w:w="28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submit our initial business combination to our public shareholders for a vote, our initial shareholders have agreed to vote their founder shares and private placement shares in favor of our initial business combination, but not any public shares that non-managing investors may buy in the Offering or after the Offering on the open market. In addition, they have agreed to waive their respective rights to participate in any liquidation distribution with respect to their founder shares, insider shares or private shares. If they purchase public shares as part of the Offering or on the open market, however, they would be entitled to participate in any liquidation distribution in respect of such shares but have agreed not to convert or sell such shares to us in connection with the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ongoing and future transactions between us and any of our Sponsor, executive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Section 16(a) Beneficial Ownership Reporting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16(a) of the Exchange Act requires our management team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period ended December 31, 2025 there were no delinquent filers.</w:t>
      </w:r>
    </w:p>
    <w:p>
      <w:pPr>
        <w:pStyle w:val="TextBody"/>
        <w:bidi w:val="0"/>
        <w:spacing w:before="36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Compensation of our Executive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are a special purpose acquisition company, formed for the purpose of effecting a business combination, our primary objective with respect to executive and director compensation is to retain the executives and directors to help identify and close a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Commencing on the date that the Company’s securities were first listed on the Nasdaq through the earlier of consummation of the Company’s initial business combination or our liquidation, the Company has agreed to pay GigManagement, LLC a total of $30,000 per month for office space and general and administrative services. This arrangement was agreed to by an affiliate of the Company’s Executive Chairman and the Company’s Chief Executive Officer for the Company’s benefit and is not intended to provide such affiliate of the Company’s Executive Chairman and the Company’s Chief Executive Officer compensation in lieu of a salary. The Company believes that such fees are at least as favorable as it could have obtained from an unaffiliated third party for such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agreed to pay Ms. Marshall, its Treasurer and Chief Financial Officer up to $20,000 per month for her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what was provided for in the Current Report on Form 8-K, on February 5, 2026, the Board of Directors approved the payment by the Company of advisory fees to directors in connection with certain activities on the Company’s behalf, such as identifying and investigating possible business targets and business combinations as well as pertaining to Board of Directors committee service and administrative and analytical services. These advisory fees are due to be paid quarterly, and include payments to Dr. Avi Katz, the Chief Executive Officer. The quarterly amounts approved to start on February 5, 2026 are as follows:</w:t>
      </w:r>
    </w:p>
    <w:p>
      <w:pPr>
        <w:pStyle w:val="TextBody"/>
        <w:bidi w:val="0"/>
        <w:jc w:val="left"/>
        <w:rPr/>
      </w:pPr>
      <w:r>
        <w:rPr/>
        <w:t> </w:t>
      </w:r>
    </w:p>
    <w:tbl>
      <w:tblPr>
        <w:tblW w:w="4917" w:type="dxa"/>
        <w:jc w:val="left"/>
        <w:tblInd w:w="0" w:type="dxa"/>
        <w:tblLayout w:type="fixed"/>
        <w:tblCellMar>
          <w:top w:w="28" w:type="dxa"/>
          <w:left w:w="28" w:type="dxa"/>
          <w:bottom w:w="28" w:type="dxa"/>
          <w:right w:w="28" w:type="dxa"/>
        </w:tblCellMar>
      </w:tblPr>
      <w:tblGrid>
        <w:gridCol w:w="2806"/>
        <w:gridCol w:w="516"/>
        <w:gridCol w:w="1404"/>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Quarterly Compensation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Avi S. Katz</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Raluca Dinu</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Admiral (Ret.) David Ben-Bashat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Raanan I. Horowitz</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Ambassador Adrian Zuckerman</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Machuca</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 General (Ret.) Avi Mizrachi</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 Timm</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are the tabular disclosures of our executive officer and director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 Compensation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9"/>
        <w:gridCol w:w="1317"/>
        <w:gridCol w:w="181"/>
        <w:gridCol w:w="511"/>
        <w:gridCol w:w="146"/>
        <w:gridCol w:w="181"/>
        <w:gridCol w:w="346"/>
        <w:gridCol w:w="146"/>
        <w:gridCol w:w="203"/>
        <w:gridCol w:w="390"/>
        <w:gridCol w:w="146"/>
        <w:gridCol w:w="207"/>
        <w:gridCol w:w="396"/>
        <w:gridCol w:w="146"/>
        <w:gridCol w:w="372"/>
        <w:gridCol w:w="714"/>
        <w:gridCol w:w="146"/>
        <w:gridCol w:w="398"/>
        <w:gridCol w:w="763"/>
        <w:gridCol w:w="146"/>
        <w:gridCol w:w="327"/>
        <w:gridCol w:w="628"/>
        <w:gridCol w:w="146"/>
        <w:gridCol w:w="181"/>
        <w:gridCol w:w="511"/>
        <w:gridCol w:w="198"/>
      </w:tblGrid>
      <w:tr>
        <w:trPr/>
        <w:tc>
          <w:tcPr>
            <w:tcW w:w="135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 and principal position</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Nonequity incentive plan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Nonqualified deferred compensation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All other compensation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Dr. Avi S. Katz, Executive</w:t>
              <w:br/>
              <w:t>   Chairman of the Board</w:t>
              <w:br/>
              <w:t>   of Directors and Chief Executive Officer (Principal</w:t>
              <w:br/>
              <w:t>   Executive Officer)</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October 29, 2025 (Inception) through December 31, 2025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Christine M. Marshall, Chief Financial Officer</w:t>
              <w:br/>
              <w:t>   (Principal Financial and</w:t>
              <w:br/>
              <w:t>   Accounting Officer)</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October 29, 2025 (Inception) through December 31, 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Advisory fees were paid to directors for board committee service and administrative and analytical services, including certain activities on the Company’s behalf, such as identifying and investigating possible business targets and business combinations.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set forth above, no compensation will be paid to the Company’s Sponsor, executive officers and directors, or any of their respective affiliates, prior to or in connection with the consummation of our initial business combination with the target business. Additionally, these individuals are reimbursed for any out-of-pocket expenses incurred in connection with activities on our behalf such as identifying potential target businesses and performing due diligence on suitable business combinations. The Company’s independent directors review on a quarterly basis all payments that were made to the Sponsor, executive officers, directors or their affiliates. The Company is not party to any agreements with its officers and directors that provide for benefits upon termination of employment.</w:t>
      </w:r>
    </w:p>
    <w:p>
      <w:pPr>
        <w:pStyle w:val="TextBody"/>
        <w:bidi w:val="0"/>
        <w:spacing w:before="360" w:after="283"/>
        <w:jc w:val="left"/>
        <w:rPr>
          <w:rFonts w:ascii="Times New Roman" w:hAnsi="Times New Roman"/>
          <w:b/>
          <w:color w:val="000000"/>
          <w:sz w:val="20"/>
        </w:rPr>
      </w:pPr>
      <w:bookmarkStart w:id="30" w:name="item_12_security_ownership"/>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compensation plans under which equity securities are authorized for issuance.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the beneficial ownership of our shares as of the date of this annual report, and as adjusted to reflect the sale of our shares included in the units,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known by us to be the beneficial owner of more than 5% of the outstanding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executive officers and directors that beneficially owns ordinary shares;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our executive officers and directors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indicated, we believe that all persons named in the table have sole voting and investment power with respect to all shares beneficially owned by them.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36"/>
        <w:gridCol w:w="186"/>
        <w:gridCol w:w="1186"/>
        <w:gridCol w:w="146"/>
        <w:gridCol w:w="185"/>
        <w:gridCol w:w="1182"/>
        <w:gridCol w:w="146"/>
        <w:gridCol w:w="423"/>
        <w:gridCol w:w="1354"/>
        <w:gridCol w:w="271"/>
        <w:gridCol w:w="326"/>
        <w:gridCol w:w="1044"/>
        <w:gridCol w:w="320"/>
      </w:tblGrid>
      <w:tr>
        <w:trPr/>
        <w:tc>
          <w:tcPr>
            <w:tcW w:w="3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w:t>
              <w:br/>
              <w:t>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Percentage of Outstanding</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Percentage</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Name and Address of Beneficial Owner </w:t>
            </w:r>
            <w:r>
              <w:rPr>
                <w:rFonts w:ascii="Times New Roman" w:hAnsi="Times New Roman"/>
                <w:b/>
                <w:color w:val="000000"/>
                <w:sz w:val="11"/>
              </w:rPr>
              <w:t>(1)</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Class A Ordinary Shares</w:t>
            </w:r>
            <w:r>
              <w:rPr>
                <w:rFonts w:ascii="Times New Roman" w:hAnsi="Times New Roman"/>
                <w:color w:val="000000"/>
                <w:sz w:val="16"/>
              </w:rPr>
              <w:t> </w:t>
            </w:r>
            <w:r>
              <w:rPr>
                <w:rFonts w:ascii="Times New Roman" w:hAnsi="Times New Roman"/>
                <w:b/>
                <w:color w:val="000000"/>
                <w:sz w:val="11"/>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of Outstanding Shares</w:t>
            </w:r>
            <w:r>
              <w:rPr>
                <w:rFonts w:ascii="Times New Roman" w:hAnsi="Times New Roman"/>
                <w:color w:val="000000"/>
                <w:sz w:val="16"/>
              </w:rPr>
              <w:t> </w:t>
            </w:r>
            <w:r>
              <w:rPr>
                <w:rFonts w:ascii="Times New Roman" w:hAnsi="Times New Roman"/>
                <w:b/>
                <w:color w:val="000000"/>
                <w:sz w:val="11"/>
              </w:rPr>
              <w:t>(3)</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Avi S. Katz </w:t>
            </w:r>
            <w:r>
              <w:rPr>
                <w:rFonts w:ascii="Times New Roman" w:hAnsi="Times New Roman"/>
                <w:color w:val="000000"/>
                <w:sz w:val="13"/>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M. Marshall</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Raluca Dinu </w:t>
            </w:r>
            <w:r>
              <w:rPr>
                <w:rFonts w:ascii="Times New Roman" w:hAnsi="Times New Roman"/>
                <w:color w:val="000000"/>
                <w:sz w:val="13"/>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Admiral (Ret.) David Ben-Bashat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Raanan I. Horowitz</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Ambassador Adrian Zuckerman</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Machuca</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 General (Ret.) Avi Mizrachi</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 Timm</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Directors and Executive Officers of the Company as a Group (9 Individuals)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20"/>
              </w:rPr>
              <w:t>Five Percent or Greater Holders:</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GigAcquisitions9 Corp.</w:t>
            </w:r>
            <w:r>
              <w:rPr>
                <w:rFonts w:ascii="Times New Roman" w:hAnsi="Times New Roman"/>
                <w:color w:val="000000"/>
                <w:sz w:val="13"/>
              </w:rPr>
              <w:t>(4)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Avi S. Katz </w:t>
            </w:r>
            <w:r>
              <w:rPr>
                <w:rFonts w:ascii="Times New Roman" w:hAnsi="Times New Roman"/>
                <w:color w:val="000000"/>
                <w:sz w:val="13"/>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Dr. Raluca Dinu</w:t>
            </w:r>
            <w:r>
              <w:rPr>
                <w:rFonts w:ascii="Times New Roman" w:hAnsi="Times New Roman"/>
                <w:color w:val="000000"/>
                <w:sz w:val="13"/>
              </w:rPr>
              <w:t>(4)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Tenor Opportunity Master Fund, Ltd.</w:t>
            </w:r>
            <w:r>
              <w:rPr>
                <w:rFonts w:ascii="Times New Roman" w:hAnsi="Times New Roman"/>
                <w:color w:val="000000"/>
                <w:sz w:val="13"/>
              </w:rPr>
              <w:t>(5)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Harraden Circle Investors GP, LP</w:t>
            </w:r>
            <w:r>
              <w:rPr>
                <w:rFonts w:ascii="Times New Roman" w:hAnsi="Times New Roman"/>
                <w:color w:val="000000"/>
                <w:sz w:val="13"/>
              </w:rPr>
              <w:t>(6)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Less than one percent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the business address of each of the individuals is 1731 Embarcadero Rd., Suite 200, Palo Alto, CA 94303.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25,688,954 Class A ordinary shares outstanding as of March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36,546,811 ordinary shares outstanding as of March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held by our Sponsor. The shares held by our Sponsor are beneficially owned by Dr. Katz, our Chairman of the Board of Directors, and Dr. Raluca Dinu, our director, who both have the voting and dispositive power over the shares held by our Sponsor. The Sponsor’s business address is 1731 Embarcadero Rd., Suite 200, Palo Alto, CA 94303.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 Schedule 13G/A filed with the SEC on February 3, 2026, the Class A ordinary shares reported herein are held by Tenor Opportunity Master Fund, Ltd. (the “Master Fund”). Tenor Capital Management Company, L.P. (“Tenor Capital”) serves as the investment manager to the Master Fund. Robin Shah serves as the managing member of Tenor Management GP, LLC, the general partner of Tenor Capital. By virtue of these relationships, the Master Fund, Tenor Capital and Robin Shah may be deemed to have shared voting and dispositive power with respect to the shares owned directly by the Master Fund. The Master Fund,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Tenor Capital and Robin Shah have not admitted that they are beneficial owners of the shares for purposes of Section 13 of the Exchange Act or for any other purpose. Each of the Master Fund, Tenor Capital and Robin Shah has disclaimed beneficial ownership of the shares except to the extent of their respective pecuniary interest therein. The address of Tenor Capital is 810 Seventh Avenue, Suite 1905, New York, NY 10019.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 Schedule 13G filed with the SEC on February 3, 2026, the Class A ordinary shares reported herein are directly beneficially owned by Harraden Circle Investors, LP (“Harraden Fund”), Harraden Circle Special Opportunities, LP (“Harraden Special Op Fund”), Harraden Circle Strategic Investments, LP (“Harraden Strategic Fund") and Harraden Circle Concentrated, LP (“Harraden Concentrated Fund”). Harraden Circle Investors GP, LP (“Harraden GP”) is the general partner to Harraden Fund, Harraden Special Op Fund, Harraden Strategic Fund, and Harraden Concentrated Fund, and Harraden Circle Investors GP, LLC (“Harraden LLC”) is the general partner of Harraden GP. Harraden Circle Investments, LLC(“Harraden Adviser”) serves as investment manager to Harraden Fund, Harraden Special Op Fund, Harraden Strategic Fund, Harraden Concentrated Fund, and other high net worth individuals. Frederick V. Fortmiller, Jr. is the managing member of each of Harraden LLC and Harraden Adviser. In such capacities, each of Harraden GP, Harraden LLC, Harraden Adviser and Mr. Fortmiller may be deemed to indirectly beneficially own the shares reported herein directly beneficially owned by Harraden Fund, Harraden Special Op Fund, Harraden Strategic Fund, and Harraden Concentrated Fund. The address of Harraden Circle Investors GP, LP is 885 Third Avenue, Suite 2600B, New York, NY 10022.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initial shareholders and any of their permitted transferees beneficially own approximately 40% of our issued and outstanding shares (assuming none of our initial shareholders purchases any public units in the open market), with our Sponsor beneficially owning approximately 17.7% of such issued and outstanding shares. Because of this ownership block, our initial shareholders, may be able to effectively influence the outcome of all matters requiring approval by our shareholders, including the election of directors, amendments to our amended and restated memorandum and articles of association and approval of significant corporate transactions. </w:t>
      </w:r>
    </w:p>
    <w:p>
      <w:pPr>
        <w:pStyle w:val="TextBody"/>
        <w:bidi w:val="0"/>
        <w:spacing w:before="360" w:after="283"/>
        <w:jc w:val="left"/>
        <w:rPr>
          <w:rFonts w:ascii="Times New Roman" w:hAnsi="Times New Roman"/>
          <w:b/>
          <w:color w:val="000000"/>
          <w:sz w:val="20"/>
        </w:rPr>
      </w:pPr>
      <w:bookmarkStart w:id="31" w:name="item_13_certain_relationships_and_rel"/>
      <w:bookmarkEnd w:id="31"/>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our formation on October 29, 2025, one Class B ordinary share that was allotted to Harneys Fiduciary upon our formation was transferred by Harneys Fiduciary to our Sponsor and 7,850,228 Class B ordinary shares were issued to our Sponsor for an aggregate purchase price of $25,000. On November 20, 2025, our Sponsor surrendered 185,802 Class B ordinary shares to us (which were cancelled) for no consideration, with the resulting 7,664,427 founder shares. The purchase price per founder share was determined by dividing the amount of cash contributed to our Company by the number of founder shares issued. Prior to the investment of $25,000 by our Sponsor (before giving effect to the sales of shares to four of our directors), our Company had no assets, tangible or intangible.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24, 2025, we granted 15,000 insider shares to our Chief Financial Officer, solely in consideration of future services. The 15,000 insider shares granted to the Chief Financial Officer are subject to forfeiture back to the Sponsor in the event the Chief Financial Officer resigns or is removed for cause prior to consummation of an initial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consummation of the Offering our Sponsor sold 580,672 founder shares in the aggregate to GigCapital Global advisors at an aggregate price of $13,503, and 611,236 founder shares to Lynrock at an aggregate price of $14,214, thus recouping in full the amount that our Sponsor paid to purchase all of the founder shares that it purchased, including the 6,472,519 founder shares that it retained following the sales of founder shares to Lynrock and the GigCapital Global advisors, with the result that our Sponsor has a $0 per share basis in the founder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founder shares, and the forfeiture mechanism underlying the founder shares, has been determined in order to ensure that the founder shares, together with the private investor shares owned by the non-managing investors will collectively represent approximately 30% of the issued and outstanding shares (assuming none of the initial shareholders purchases public units or public shares in the Offering) upon completion of the Offering and the exercise of the underwriters’ over-allotment option. In connection with the Offering, our Sponsor and three of our directors hold 6,808,698 founder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17, 2025, we issued a promissory note to our Sponsor with a principal amount of $100,000, all of which remained outstanding as of December 31, 2025. On January 28, 2026, the promissory note was settled in exchange for private placement units totaling $97,374 and the remaining balance of $2,626 was repaid.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with respect to permitted transferees, our initial shareholders have agreed not to transfer, assign or sell any of their respective founder shares, private placement shares and any Class A ordinary shares issuable upon conversion thereof until the earlier to occur of: (A) 6 months after the date of the consummation of our initial business combination or (B) subsequent to our initial business combination, (x) the date on which the last sale price of our ordinary shares equals or exceeds $11.50 per share (as adjusted for stock splits, stock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Permitted transferees would be subject to the same restrictions and other agreements of our initial shareholders with respect to any such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meet our working capital needs following the consummation of the Offering, our Sponsor, executive officers, directors or their affiliates may, but are not obligated to, loan us funds, from time to time or at any time, in whatever amount they deem reasonable in their sole discretion. Each loan would be evidenced by a promissory note. Up to $1,500,000 of such loans may be convertible into additional private placement units of the post-business combination entity at a price of $10.00 per unit at the option of the lender. The units would be identical to the private placement units. The terms of such loans by our Sponsor, executive officers, directors, or their affiliates, if any, have not been determined and no written agreements exist with respect to such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our founder shares, insider shares, private investor shares and private placement shares issued and outstanding on the date of this Annual Report, and the shares to be issued upon conversion of the private placement rights upon consummation of our initial business combination, as well as, shares our Sponsor, officers, directors or their affiliates may be issued in payment of working capital loans made to us (and all underlying securities), will be entitled to registration rights pursuant to an agreement signed prior to or on the effective date of the IPO.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 Katz, our Chief Executive Officer and Chairman, formed our Sponsor which 100% is owned equally by Drs. Katz and Dinu, who are husband and wife; and have the sole financial and voting interest in our Sponsor that entitles it to participate in any economic return that the Sponsor receives for its investment in the Company in accordance with terms negotiated with the other holders of financial and voting interests in our Sponsor. Accordingly, Drs. Katz and Dinu will benefit from the transaction to the extent of their interest in our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the Offering, to pay GigManagement, LLC a monthly fee of $30,000 per month for office space and general and administrative services until the consummation of an initial business combination. In conjunction with our services agreement with GigManagement, LLC and in connection with GigManagement, LLC’s affiliation with GigFounders, LLC, we have a licensing arrangement with GigFounders, LLC whereby we are permitted to use its “Private-to-Public Equity (PPE).”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agreed to pay our Chief Financial Officer, Christine M. Marshall, up to $20,000 a month for her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the foregoing and as described in this paragraph,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Board of Directors may also approve the payment of advisory fees for such activities, including board committee service, and extraordinary administrative and analytical services. There is no limit on the amount of out-of-pocket expenses reimbursable by us. Our independent directors will review on a quarterly basis all payments that were made to our Sponsor, executive officers or our or their affiliates.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It is unlikely the amount of such compensation will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w:t>
      </w:r>
    </w:p>
    <w:p>
      <w:pPr>
        <w:pStyle w:val="TextBody"/>
        <w:bidi w:val="0"/>
        <w:jc w:val="left"/>
        <w:rPr>
          <w:rFonts w:ascii="Times New Roman" w:hAnsi="Times New Roman"/>
          <w:color w:val="000000"/>
          <w:sz w:val="20"/>
        </w:rPr>
      </w:pPr>
      <w:r>
        <w:rPr>
          <w:rFonts w:ascii="Times New Roman" w:hAnsi="Times New Roman"/>
          <w:color w:val="000000"/>
          <w:sz w:val="20"/>
        </w:rPr>
        <w:t xml:space="preserve">Dr. Katz, our Chief Executive Officer and Chairman of the Board of Directors, and Dr. Dinu, one of our directors, are husband and wife. </w:t>
      </w:r>
    </w:p>
    <w:p>
      <w:pPr>
        <w:pStyle w:val="TextBody"/>
        <w:bidi w:val="0"/>
        <w:spacing w:before="360" w:after="283"/>
        <w:jc w:val="left"/>
        <w:rPr>
          <w:rFonts w:ascii="Times New Roman" w:hAnsi="Times New Roman"/>
          <w:sz w:val="20"/>
        </w:rPr>
      </w:pPr>
      <w:r>
        <w:rPr>
          <w:rFonts w:ascii="Times New Roman" w:hAnsi="Times New Roman"/>
          <w:b/>
          <w:color w:val="000000"/>
          <w:sz w:val="20"/>
        </w:rPr>
        <w:t>Related Party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Code of Business Conduct and Ethics requires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pursuant to its written charter, will be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 party under the same or similar circumstances and the extent of the related party’s interest in the transaction. No director may participate in the approval of any transaction in which he is a related party, and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procedures are intended to determine whether any such related party transaction impairs the independence of a director or presents a conflict of interest on the part of a director, employee or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shareholders from a financial point of view. </w:t>
      </w:r>
    </w:p>
    <w:p>
      <w:pPr>
        <w:pStyle w:val="TextBody"/>
        <w:bidi w:val="0"/>
        <w:spacing w:before="360" w:after="283"/>
        <w:jc w:val="left"/>
        <w:rPr>
          <w:rFonts w:ascii="Times New Roman" w:hAnsi="Times New Roman"/>
          <w:b/>
          <w:color w:val="000000"/>
          <w:sz w:val="20"/>
        </w:rPr>
      </w:pPr>
      <w:bookmarkStart w:id="32" w:name="item_14_principal_accounting_fees"/>
      <w:bookmarkEnd w:id="32"/>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for professional services provided by our independent registered public accounting firm since inception include:</w:t>
      </w:r>
    </w:p>
    <w:p>
      <w:pPr>
        <w:pStyle w:val="TextBody"/>
        <w:bidi w:val="0"/>
        <w:jc w:val="left"/>
        <w:rPr/>
      </w:pPr>
      <w:r>
        <w:rPr/>
        <w:t> </w:t>
      </w:r>
    </w:p>
    <w:tbl>
      <w:tblPr>
        <w:tblW w:w="3612" w:type="dxa"/>
        <w:jc w:val="left"/>
        <w:tblInd w:w="0" w:type="dxa"/>
        <w:tblLayout w:type="fixed"/>
        <w:tblCellMar>
          <w:top w:w="28" w:type="dxa"/>
          <w:left w:w="28" w:type="dxa"/>
          <w:bottom w:w="28" w:type="dxa"/>
          <w:right w:w="28" w:type="dxa"/>
        </w:tblCellMar>
      </w:tblPr>
      <w:tblGrid>
        <w:gridCol w:w="1891"/>
        <w:gridCol w:w="363"/>
        <w:gridCol w:w="1167"/>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w:t>
              <w:br/>
              <w:t>October 29, 2025</w:t>
              <w:br/>
              <w:t>(Inception) through</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Tax Fees </w:t>
            </w:r>
            <w:r>
              <w:rPr>
                <w:rFonts w:ascii="Times New Roman" w:hAnsi="Times New Roman"/>
                <w:color w:val="000000"/>
                <w:sz w:val="13"/>
              </w:rPr>
              <w:t>(3)</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(4)</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Audit Fees. Audit fees consist of fees billed and to be billed for professional services rendered for the audit of our financial statements, reviews of our condensed financial statements and services that are normally provided by our independent registered public accounting firm in connection with statutory and regulatory filings.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Audit-Related Fees. 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 concerning financial accounting and reporting standards, including permitted due diligence services related to a potential business combination.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Tax Fees. Tax fees consist of fees billed for professional services relating to tax compliance, tax planning and tax advice.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All Other Fees. All other fees consist of fees billed for all other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Policy on Board Pre-Approval of Audit and Permissible Non-Audit Services of the Independent Auditors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is responsible for appointing, setting compensation and overseeing the work of the independent auditors. In recognition of this responsibility, the audit committee shall review and, in its sole discretion, pre-approve all audit and permitted non-audit services to be provided by the independent auditors as provided under the audit committee charter.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34" w:name="item_15_exhibits_financial_statement"/>
      <w:bookmarkEnd w:id="34"/>
      <w:r>
        <w:rPr>
          <w:rFonts w:ascii="Times New Roman" w:hAnsi="Times New Roman"/>
          <w:b/>
          <w:color w:val="000000"/>
          <w:sz w:val="20"/>
        </w:rPr>
        <w:t>Item 15. Exhibits,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 See “Item 8. Financial Statements and Supplementary Data” 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 The exhibits listed in the accompanying index to exhibits are filed or incorporated by reference as part of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5" w:type="dxa"/>
            <w:tcBorders>
              <w:bottom w:val="single" w:sz="6" w:space="0" w:color="000000"/>
            </w:tcBorders>
            <w:shd w:fill="FFFFFF" w:val="clear"/>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Underwriting Agreement, dated January 26, 2026, by and between the Company and D. Boral Capital LLC, as representative of the underwriters named therein</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Memorandum and Articles of Association</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Unit Certificate</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Class A Ordinary Share Certificate</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Specimen Right Certificate</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Rights Agreement between Continental Stock Transfer &amp; Trust Company and the Company</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Insider Letter Agreement, dated January 26, 2026, by and between the Company and GigAcquisitions9 Corp., each of its officers and directors, Lynrock Lake Master Fund L.P. and certain other security holders named therein</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Registration Rights Agreement, dated January 26, 2026, by and among the Company, the Sponsor, and certain other security holders named therein</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Investment Management Trust Agreement, dated January 26, 2026, by and between the Company and Continental Stock Transfer &amp; Trust Company</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Administrative Services Agreement, dated January 26, 2026, by and among the Company and GigManagement, LLC</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Indemnification Agreement</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Code of Business Conduct and Ethics</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19.htm">
              <w:r>
                <w:rPr>
                  <w:rStyle w:val="InternetLink"/>
                  <w:rFonts w:ascii="Times New Roman" w:hAnsi="Times New Roman"/>
                  <w:color w:val="0000FF"/>
                  <w:sz w:val="20"/>
                  <w:u w:val="single"/>
                </w:rPr>
                <w:t>Insider Trading Policy</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1_1.htm">
              <w:r>
                <w:rPr>
                  <w:rStyle w:val="InternetLink"/>
                  <w:rFonts w:ascii="Times New Roman" w:hAnsi="Times New Roman"/>
                  <w:color w:val="0000FF"/>
                  <w:sz w:val="20"/>
                  <w:u w:val="single"/>
                </w:rPr>
                <w:t>Certification of Principal Executive Officer Pursuant to Securities Exchange Act Rules 13a-14(a) and 15(d)-14(a),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1_2.htm">
              <w:r>
                <w:rPr>
                  <w:rStyle w:val="InternetLink"/>
                  <w:rFonts w:ascii="Times New Roman" w:hAnsi="Times New Roman"/>
                  <w:color w:val="0000FF"/>
                  <w:sz w:val="20"/>
                  <w:u w:val="single"/>
                </w:rPr>
                <w:t>Certification of Principal Financial Officer Pursuant to Securities Exchange Act Rules 13a-14(a) and 15(d)-14(a),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x-ex97_1.htm">
              <w:r>
                <w:rPr>
                  <w:rStyle w:val="InternetLink"/>
                  <w:rFonts w:ascii="Times New Roman" w:hAnsi="Times New Roman"/>
                  <w:color w:val="0000FF"/>
                  <w:sz w:val="20"/>
                  <w:u w:val="single"/>
                </w:rPr>
                <w:t>Clawback Policy</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Audit Committee Charter</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Compensation Committee Charter</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Nominating and Corporate Governance Committee Charter</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146"/>
        <w:gridCol w:w="9320"/>
      </w:tblGrid>
      <w:tr>
        <w:trPr/>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0" w:type="dxa"/>
            <w:tcBorders/>
            <w:vAlign w:val="center"/>
          </w:tcPr>
          <w:p>
            <w:pPr>
              <w:pStyle w:val="TableContents"/>
              <w:bidi w:val="0"/>
              <w:spacing w:before="0" w:after="283"/>
              <w:jc w:val="left"/>
              <w:rPr>
                <w:sz w:val="4"/>
                <w:szCs w:val="4"/>
              </w:rPr>
            </w:pPr>
            <w:r>
              <w:rPr>
                <w:sz w:val="4"/>
                <w:szCs w:val="4"/>
              </w:rPr>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for the Company’s Annual Report on Form 10-K for the year ended December 31, 2025, has been formatted in Inline XBRL and contained in Exhibit 101</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
        <w:gridCol w:w="9846"/>
      </w:tblGrid>
      <w:tr>
        <w:trPr/>
        <w:tc>
          <w:tcPr>
            <w:tcW w:w="359" w:type="dxa"/>
            <w:tcBorders/>
            <w:vAlign w:val="center"/>
          </w:tcPr>
          <w:p>
            <w:pPr>
              <w:pStyle w:val="TableContents"/>
              <w:bidi w:val="0"/>
              <w:spacing w:before="0" w:after="283"/>
              <w:jc w:val="left"/>
              <w:rPr>
                <w:sz w:val="4"/>
                <w:szCs w:val="4"/>
              </w:rPr>
            </w:pPr>
            <w:r>
              <w:rPr>
                <w:sz w:val="4"/>
                <w:szCs w:val="4"/>
              </w:rPr>
            </w:r>
          </w:p>
        </w:tc>
        <w:tc>
          <w:tcPr>
            <w:tcW w:w="9846" w:type="dxa"/>
            <w:tcBorders/>
            <w:vAlign w:val="center"/>
          </w:tcPr>
          <w:p>
            <w:pPr>
              <w:pStyle w:val="TableContents"/>
              <w:bidi w:val="0"/>
              <w:spacing w:before="0" w:after="283"/>
              <w:jc w:val="left"/>
              <w:rPr>
                <w:sz w:val="4"/>
                <w:szCs w:val="4"/>
              </w:rPr>
            </w:pPr>
            <w:r>
              <w:rPr>
                <w:sz w:val="4"/>
                <w:szCs w:val="4"/>
              </w:rPr>
            </w:r>
          </w:p>
        </w:tc>
      </w:tr>
      <w:tr>
        <w:trPr/>
        <w:tc>
          <w:tcPr>
            <w:tcW w:w="3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with that certain Current Report on Form 8-K filed with the Securities and Exchange Commission on January 30, 2026, and incorporated herein by reference.</w:t>
            </w:r>
          </w:p>
        </w:tc>
      </w:tr>
      <w:tr>
        <w:trPr/>
        <w:tc>
          <w:tcPr>
            <w:tcW w:w="35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with that certain Registration Statement on Form S-1 filed with the Securities and Exchange Commission on January 21, 2026, and incorporated herein by reference.</w:t>
            </w:r>
          </w:p>
        </w:tc>
      </w:tr>
      <w:tr>
        <w:trPr/>
        <w:tc>
          <w:tcPr>
            <w:tcW w:w="35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359" w:type="dxa"/>
            <w:tcBorders/>
            <w:tcMar>
              <w:top w:w="0" w:type="dxa"/>
              <w:left w:w="0" w:type="dxa"/>
              <w:bottom w:w="0" w:type="dxa"/>
              <w:right w:w="0" w:type="dxa"/>
            </w:tcMar>
            <w:vAlign w:val="center"/>
          </w:tcPr>
          <w:p>
            <w:pPr>
              <w:pStyle w:val="TableContents"/>
              <w:bidi w:val="0"/>
              <w:spacing w:before="0" w:after="283"/>
              <w:jc w:val="left"/>
              <w:rPr/>
            </w:pPr>
            <w:r>
              <w:rPr/>
              <w:t> </w:t>
            </w:r>
          </w:p>
        </w:tc>
        <w:tc>
          <w:tcPr>
            <w:tcW w:w="98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20"/>
              </w:rPr>
            </w:pPr>
            <w:r>
              <w:rPr>
                <w:rFonts w:ascii="Times New Roman" w:hAnsi="Times New Roman"/>
                <w:color w:val="0D0D0D"/>
                <w:sz w:val="20"/>
              </w:rPr>
              <w:t></w:t>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bl>
    <w:p>
      <w:pPr>
        <w:pStyle w:val="TextBody"/>
        <w:bidi w:val="0"/>
        <w:jc w:val="both"/>
        <w:rPr/>
      </w:pPr>
      <w:r>
        <w:rPr/>
        <w:t> </w:t>
      </w:r>
    </w:p>
    <w:p>
      <w:pPr>
        <w:pStyle w:val="TextBody"/>
        <w:bidi w:val="0"/>
        <w:jc w:val="both"/>
        <w:rPr>
          <w:rFonts w:ascii="Times New Roman" w:hAnsi="Times New Roman"/>
          <w:sz w:val="20"/>
        </w:rPr>
      </w:pPr>
      <w:bookmarkStart w:id="35" w:name="item_16_form_10_k_summary"/>
      <w:bookmarkEnd w:id="35"/>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662" w:type="dxa"/>
        <w:jc w:val="left"/>
        <w:tblInd w:w="0" w:type="dxa"/>
        <w:tblLayout w:type="fixed"/>
        <w:tblCellMar>
          <w:top w:w="28" w:type="dxa"/>
          <w:left w:w="28" w:type="dxa"/>
          <w:bottom w:w="28" w:type="dxa"/>
          <w:right w:w="28" w:type="dxa"/>
        </w:tblCellMar>
      </w:tblPr>
      <w:tblGrid>
        <w:gridCol w:w="1891"/>
        <w:gridCol w:w="109"/>
        <w:gridCol w:w="406"/>
        <w:gridCol w:w="325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GigCapital9 Corp.</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center"/>
        <w:rPr>
          <w:rFonts w:ascii="Times New Roman" w:hAnsi="Times New Roman"/>
          <w:b/>
          <w:color w:val="000000"/>
          <w:sz w:val="20"/>
        </w:rPr>
      </w:pPr>
      <w:bookmarkStart w:id="36" w:name="power_of_attorney"/>
      <w:bookmarkEnd w:id="36"/>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Dr. Avi S. Katz and Christine M. Marshall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500" w:type="dxa"/>
        <w:jc w:val="left"/>
        <w:tblInd w:w="0" w:type="dxa"/>
        <w:tblLayout w:type="fixed"/>
        <w:tblCellMar>
          <w:top w:w="28" w:type="dxa"/>
          <w:left w:w="28" w:type="dxa"/>
          <w:bottom w:w="28" w:type="dxa"/>
          <w:right w:w="28" w:type="dxa"/>
        </w:tblCellMar>
      </w:tblPr>
      <w:tblGrid>
        <w:gridCol w:w="3046"/>
        <w:gridCol w:w="146"/>
        <w:gridCol w:w="3721"/>
        <w:gridCol w:w="146"/>
        <w:gridCol w:w="144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br/>
              <w:t>(Principal Executive Officer)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Avi S. Katz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br/>
              <w:t>(Principal Financial and Accounting Officer)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Christine M. Marshall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Raluca Dinu</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Raluca Dinu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Admiral (Ret.) David Ben-Bashat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Admiral (Ret.) David Ben-Bashat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Raanan I. Horowitz</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Raanan I. Horowitz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Ambassador Adrian Zuckerman</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Ambassador Adrian Zuckerman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Luis Machuca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Luis Machuca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/s/Maj. General (Ret.) Avi Mizrachi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Maj. General (Ret.) Avi Mizrachi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Bryan Timm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Bryan Timm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bookmarkStart w:id="37" w:name="gix-ex19.htm"/>
      <w:bookmarkStart w:id="38" w:name="ksgixex19"/>
      <w:bookmarkEnd w:id="37"/>
      <w:bookmarkEnd w:id="38"/>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GIGCAPITAL9 CORP.</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Stock Trading Policy and Insider Trading Prohibition</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GigCapital9 Corp. (the “Company”) recognizes the importance of all employees, officers, directors and consultants following high ethical, moral and legal standards in the conduct of the Company’s business. This includes strict compliance with the laws regulating the misuse of inside information. We want to emphasize that even the appearance of improper conduct pertaining to insider trading should be avoided. This policy applies to all directors, officers, employees and consultants (in active service) to the Company (referred to in this policy as “Insiders”).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policy applies to all transactions in the Company’s securities, including common stock, options for common stock and any other securities the Company may issue from time to time, such as preferred stock, warrants and convertible debentures, as well as to derivative securities relating to the Company’s stock, whether or not issued by the Company, such as exchange-traded options.</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Stock Trading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Officers, Directors and Employees</w:t>
      </w:r>
      <w:r>
        <w:rPr>
          <w:rFonts w:ascii="Times New Roman" w:hAnsi="Times New Roman"/>
          <w:color w:val="000000"/>
          <w:sz w:val="24"/>
        </w:rPr>
        <w:t xml:space="preserve">. Unless permitted in writing, the buying or selling of Company securities is </w:t>
      </w:r>
      <w:r>
        <w:rPr>
          <w:rFonts w:ascii="Times New Roman" w:hAnsi="Times New Roman"/>
          <w:i/>
          <w:color w:val="000000"/>
          <w:sz w:val="24"/>
          <w:u w:val="single"/>
        </w:rPr>
        <w:t>specifically prohibited</w:t>
      </w:r>
      <w:r>
        <w:rPr>
          <w:rFonts w:ascii="Times New Roman" w:hAnsi="Times New Roman"/>
          <w:color w:val="000000"/>
          <w:sz w:val="20"/>
        </w:rPr>
        <w:t xml:space="preserve"> </w:t>
      </w:r>
      <w:r>
        <w:rPr>
          <w:rFonts w:ascii="Times New Roman" w:hAnsi="Times New Roman"/>
          <w:color w:val="000000"/>
          <w:sz w:val="24"/>
        </w:rPr>
        <w:t>when in possession of material nonpublic information through the 3</w:t>
      </w:r>
      <w:r>
        <w:rPr>
          <w:rFonts w:ascii="Times New Roman" w:hAnsi="Times New Roman"/>
          <w:color w:val="000000"/>
          <w:sz w:val="16"/>
        </w:rPr>
        <w:t>rd</w:t>
      </w:r>
      <w:r>
        <w:rPr>
          <w:rFonts w:ascii="Times New Roman" w:hAnsi="Times New Roman"/>
          <w:color w:val="000000"/>
          <w:sz w:val="24"/>
        </w:rPr>
        <w:t>business day following the Company’s public announcement of such information, with trading only permitted beginning the 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business day after the Company’s public announcement. For example, if material information is publicly announced on Friday, May 2nd; in this scenario, trading Company stock would be prohibited through Wednesday, May 7</w:t>
      </w:r>
      <w:r>
        <w:rPr>
          <w:rFonts w:ascii="Times New Roman" w:hAnsi="Times New Roman"/>
          <w:color w:val="000000"/>
          <w:sz w:val="16"/>
        </w:rPr>
        <w:t>th</w:t>
      </w:r>
      <w:r>
        <w:rPr>
          <w:rFonts w:ascii="Times New Roman" w:hAnsi="Times New Roman"/>
          <w:color w:val="000000"/>
          <w:sz w:val="24"/>
        </w:rPr>
        <w:t xml:space="preserve">. Once trading is permitted, </w:t>
      </w:r>
      <w:r>
        <w:rPr>
          <w:rFonts w:ascii="Times New Roman" w:hAnsi="Times New Roman"/>
          <w:b/>
          <w:i/>
          <w:color w:val="000000"/>
          <w:sz w:val="24"/>
          <w:u w:val="single"/>
        </w:rPr>
        <w:t>every trade requires specific</w:t>
      </w:r>
      <w:r>
        <w:rPr>
          <w:rFonts w:ascii="Times New Roman" w:hAnsi="Times New Roman"/>
          <w:color w:val="000000"/>
          <w:sz w:val="20"/>
          <w:u w:val="single"/>
        </w:rPr>
        <w:t xml:space="preserve"> </w:t>
      </w:r>
      <w:r>
        <w:rPr>
          <w:rFonts w:ascii="Times New Roman" w:hAnsi="Times New Roman"/>
          <w:b/>
          <w:i/>
          <w:color w:val="000000"/>
          <w:sz w:val="24"/>
          <w:u w:val="single"/>
        </w:rPr>
        <w:t xml:space="preserve">approval </w:t>
      </w:r>
      <w:r>
        <w:rPr>
          <w:rFonts w:ascii="Times New Roman" w:hAnsi="Times New Roman"/>
          <w:color w:val="000000"/>
          <w:sz w:val="24"/>
        </w:rPr>
        <w:t>of the Chief Executive Officer after consultation with legal counsel. This “permission only” policy is in effect to protect covered individuals from potential consequences of inadvertently trading Company shares while material nonpublic information may be known to them or otherwise widely known inside the Company. However, neither trading during the open Plan Window Period nor this preclearance is a “safe harbor”, and persons possessing material nonpublic information concerning the Company may not trade regardless of whether the trade has been precleared or the Plan Window Period is open.</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trading during an open Plan Window Period will not be unreasonably restricted. However, from time to time, the Company may “close the trading window,” and require the suspension of trading for some or all of its employees, officers and directors. The decision to suspend trading may be based on unusual market conditions or developments known to the Company and not yet disclosed to the public or other factors. In such event, anyone affected by the decision is advised not to engage in any transaction involving the purchase or sale of the Company’s securities during such period, and should not disclose to others the fact of such suspension of trading.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Consultants to the Company, while subject to the general principles of the GigCapital9 Corp. Stock Trading Policy and Insider Trading Prohibition, are not subject to the trading window restrictions, provided, however, that no less than two days prior to engaging in any transaction in Company stock, such consultant shall notify the Company’s Chief Executive Officer (or their designee) of such trading activity, and such Company Officer shall advise such member or other consultant of the existence or not of any insider information in the possession of the member or other consultant.</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Insider Trading Prohibition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Trading Company securities with the knowledge of material information is illegal and specifically prohibited. If an Insider has material nonpublic information relating to the Company, that person or any related person may not buy or sell securities of the Company or engage in any other action to take advantage of, or pass on to others, that information. This policy also prohibits trading in the securities of other companies, such as potential acquisition candidates or our customers or suppliers, about which you have material nonpublic information as a result of your relationship with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is important that you understand the breadth of activities that constitute illegal insider trading and the consequences, which can be severe. Both the U.S. Securities and Exchange Commission and the various national securities exchanges investigate and are very effective at detecting insider trading. The SEC, together with the U.S. Attorneys, pursue insider trading violations vigorously. Cases have been successfully prosecuted against trading by team members through foreign accounts, trading by family members and friends, and trading involving only a small number of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Transactions that may be necessary or justifiable for independent reasons (such as the need to raise money for emergency expenditures) are </w:t>
      </w:r>
      <w:r>
        <w:rPr>
          <w:rFonts w:ascii="Times New Roman" w:hAnsi="Times New Roman"/>
          <w:color w:val="000000"/>
          <w:sz w:val="24"/>
          <w:u w:val="single"/>
        </w:rPr>
        <w:t xml:space="preserve">not </w:t>
      </w:r>
      <w:r>
        <w:rPr>
          <w:rFonts w:ascii="Times New Roman" w:hAnsi="Times New Roman"/>
          <w:color w:val="000000"/>
          <w:sz w:val="24"/>
        </w:rPr>
        <w:t>exceptions to this policy. Even the appearance of an improper transaction must be avoided to preserve our reputation for adhering to the highest standards of conduct.</w:t>
      </w:r>
    </w:p>
    <w:p>
      <w:pPr>
        <w:pStyle w:val="TextBody"/>
        <w:bidi w:val="0"/>
        <w:jc w:val="center"/>
        <w:rPr>
          <w:rFonts w:ascii="Times New Roman" w:hAnsi="Times New Roman"/>
          <w:caps/>
          <w:color w:val="000000"/>
          <w:sz w:val="20"/>
        </w:rPr>
      </w:pPr>
      <w:r>
        <w:rPr>
          <w:rFonts w:ascii="Times New Roman" w:hAnsi="Times New Roman"/>
          <w:caps/>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Material nonpublic information</w:t>
      </w:r>
      <w:r>
        <w:rPr>
          <w:rFonts w:ascii="Times New Roman" w:hAnsi="Times New Roman"/>
          <w:color w:val="000000"/>
          <w:sz w:val="20"/>
        </w:rPr>
        <w:t xml:space="preserve"> </w:t>
      </w:r>
      <w:r>
        <w:rPr>
          <w:rFonts w:ascii="Times New Roman" w:hAnsi="Times New Roman"/>
          <w:color w:val="000000"/>
          <w:sz w:val="24"/>
        </w:rPr>
        <w:t>has two important components – materiality and public availability.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Material Information</w:t>
      </w:r>
      <w:r>
        <w:rPr>
          <w:rFonts w:ascii="Times New Roman" w:hAnsi="Times New Roman"/>
          <w:color w:val="000000"/>
          <w:sz w:val="20"/>
        </w:rPr>
        <w:t xml:space="preserve"> </w:t>
      </w:r>
      <w:r>
        <w:rPr>
          <w:rFonts w:ascii="Times New Roman" w:hAnsi="Times New Roman"/>
          <w:color w:val="000000"/>
          <w:sz w:val="24"/>
        </w:rPr>
        <w:t>is any information that a reasonable investor would consider important in a decision to buy, hold or sell securities. Either positive or negative information may be material. In short, any information that could reasonably affect the price of the securities would be material information.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Common examples of information that will frequently be regarded as material are: projections of future earnings or losses; news of a pending or proposed merger, acquisition or tender offer; news of significant sales of assets or the disposition of a subsidiary; changes in dividend policies or the declaration of a stock split or the offering of additional securities; changes in management; significant new products or discoveries; impending bankruptcy or financial liquidity problems; and the gain or loss of a substantial contract or supplier.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Twenty-Twenty Hindsight</w:t>
      </w:r>
      <w:r>
        <w:rPr>
          <w:rFonts w:ascii="Times New Roman" w:hAnsi="Times New Roman"/>
          <w:color w:val="000000"/>
          <w:sz w:val="20"/>
        </w:rPr>
        <w:t xml:space="preserve"> </w:t>
      </w:r>
      <w:r>
        <w:rPr>
          <w:rFonts w:ascii="Times New Roman" w:hAnsi="Times New Roman"/>
          <w:color w:val="000000"/>
          <w:sz w:val="24"/>
        </w:rPr>
        <w:t>- remember, if your securities transactions become the subject of scrutiny, they will be viewed after-the-fact with the benefit of hindsight. As a result, before engaging in any transaction, you should carefully consider how management, regulators and others might view your transaction in hindsight. Questions regarding the materiality of particular information should be resolved in favor of materiality, and trading should be avoided.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When Information is Public</w:t>
      </w:r>
      <w:r>
        <w:rPr>
          <w:rFonts w:ascii="Times New Roman" w:hAnsi="Times New Roman"/>
          <w:color w:val="000000"/>
          <w:sz w:val="24"/>
        </w:rPr>
        <w:t>. Information is nonpublic if it has not been previously disclosed by the Company and is otherwise not available to the general public. It is also improper for an Insider to enter a trade immediately after the Company has made a public announcement of material information, including all earnings releases. Because the Company’s shareholders and the investing public should be afforded the time to receive the information and act upon it, as a general rule, you should not engage in any transactions until the third business day after the information has been released to the public (at least 48 hours after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No Disclosure in Internet “Chat Rooms”</w:t>
      </w:r>
      <w:r>
        <w:rPr>
          <w:rFonts w:ascii="Times New Roman" w:hAnsi="Times New Roman"/>
          <w:color w:val="000000"/>
          <w:sz w:val="24"/>
        </w:rPr>
        <w:t>. The Company will regard it as a violation of this policy for any Insider to disclose, or participate in the disclosure of, any information related to the Company’s business, prospects, financial condition or employees by means of an Internet “chat room” or other similar space on the Internet in which either the Company’s business or the value of its securities is discussed or posted.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Tipping Company Information to Others</w:t>
      </w:r>
      <w:r>
        <w:rPr>
          <w:rFonts w:ascii="Times New Roman" w:hAnsi="Times New Roman"/>
          <w:color w:val="000000"/>
          <w:sz w:val="24"/>
        </w:rPr>
        <w:t>, whether the information is proprietary or could have an impact on the price of the Company’s securities, is forbidden. Individuals that pass information to others may cause them to be subject to insider trading penalties, whether or not you know about or derive any benefit from another’s actions. Disclosing material nonpublic information concerning any other public company to anyone is also prohibited.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Transactions By Family Members</w:t>
      </w:r>
      <w:r>
        <w:rPr>
          <w:rFonts w:ascii="Times New Roman" w:hAnsi="Times New Roman"/>
          <w:color w:val="000000"/>
          <w:sz w:val="20"/>
        </w:rPr>
        <w:t xml:space="preserve"> </w:t>
      </w:r>
      <w:r>
        <w:rPr>
          <w:rFonts w:ascii="Times New Roman" w:hAnsi="Times New Roman"/>
          <w:color w:val="000000"/>
          <w:sz w:val="24"/>
        </w:rPr>
        <w:t>and others living in your household are subject to the same restrictions that apply to employees, and you are expected to be responsible for the compliance of their immediate family and personal household.</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Other Transactions</w:t>
      </w:r>
      <w:r>
        <w:rPr>
          <w:rFonts w:ascii="Times New Roman" w:hAnsi="Times New Roman"/>
          <w:color w:val="000000"/>
          <w:sz w:val="24"/>
        </w:rPr>
        <w:t>: Employees who are not officers are not prohibited under the federal securities laws from trading in the Company’s securities on a short-term basis. However, the Company considers it improper and inappropriate for Insiders to engage in short-term or speculative transactions in the Company’s securities. Therefore, as a matter of Company policy, the following transactions involving Company securities should not be undertaken unless cleared with the CEO or CFO. Any request for approval must be submitted at least two weeks prior to the proposed transaction and must set forth the justification for the proposed transaction. Furthermore, officers and directors should refer to the Company’s memoranda describing the specific reporting obligations and trading restrictions applicable to them and the procedures established by the Company to assist them in this regard.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Short-Term Trading</w:t>
      </w:r>
      <w:r>
        <w:rPr>
          <w:rFonts w:ascii="Times New Roman" w:hAnsi="Times New Roman"/>
          <w:color w:val="000000"/>
          <w:sz w:val="24"/>
        </w:rPr>
        <w:t>. Short-term trading of the Company’s securities may be distracting and may unduly focus the investor on the Company’s short-term stock market performance instead of the Company’s long-term business objectives. For these reasons, Insiders who purchase Company securities in the open market may not sell any Company securities of the same class during the six months following the purchase, whether or not such person is subject to Section 16 restrictions.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u w:val="single"/>
        </w:rPr>
        <w:t>Short Sales</w:t>
      </w:r>
      <w:r>
        <w:rPr>
          <w:rFonts w:ascii="Times New Roman" w:hAnsi="Times New Roman"/>
          <w:color w:val="000000"/>
          <w:sz w:val="24"/>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Insiders, whether or not covered by Section 16, are prohibited from engaging in short sales of the Company’s securities as described in Section 16(c) of the Exchange 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u w:val="single"/>
        </w:rPr>
        <w:t>Publicly-Traded Options</w:t>
      </w:r>
      <w:r>
        <w:rPr>
          <w:rFonts w:ascii="Times New Roman" w:hAnsi="Times New Roman"/>
          <w:color w:val="000000"/>
          <w:sz w:val="24"/>
        </w:rPr>
        <w:t>. A transaction in options is, in effect, a bet on the short-term movement of the Company’s stock and therefore creates the appearance that the Insider is trading based on inside information. Transactions in options also may focus the investor’s attention on short-term performance at the expense of the Company’s long-term objectives. Accordingly, transactions in puts, calls or other derivative securities, on an exchange or in any other organized market, are prohibited.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u w:val="single"/>
        </w:rPr>
        <w:t>Hedging Transactions</w:t>
      </w:r>
      <w:r>
        <w:rPr>
          <w:rFonts w:ascii="Times New Roman" w:hAnsi="Times New Roman"/>
          <w:color w:val="000000"/>
          <w:sz w:val="24"/>
        </w:rPr>
        <w:t>. Certain forms of hedging or monetization transactions, such as zero-cost collars and forward sale contracts, allow a person to lock in much of the stock holdings’ value, often in exchange for all or part of the potential for upside appreciation in the stock. These transactions allow a person to continue to own the Company’s securities, but without the full risks and rewards of ownership. When that occurs, the individual may no longer have the same objectives as the Company’s other shareholders. Therefore, Insiders are prohibited from engaging in such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u w:val="single"/>
        </w:rPr>
        <w:t>Margin Accounts and Pledges</w:t>
      </w:r>
      <w:r>
        <w:rPr>
          <w:rFonts w:ascii="Times New Roman" w:hAnsi="Times New Roman"/>
          <w:color w:val="000000"/>
          <w:sz w:val="24"/>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w:t>
      </w:r>
      <w:r>
        <w:rPr>
          <w:rFonts w:ascii="Times New Roman" w:hAnsi="Times New Roman"/>
          <w:color w:val="000000"/>
          <w:sz w:val="20"/>
        </w:rPr>
        <w:t xml:space="preserve"> </w:t>
      </w:r>
    </w:p>
    <w:p>
      <w:pPr>
        <w:pStyle w:val="TextBody"/>
        <w:bidi w:val="0"/>
        <w:jc w:val="center"/>
        <w:rPr>
          <w:rFonts w:ascii="Times New Roman" w:hAnsi="Times New Roman"/>
          <w:caps/>
          <w:color w:val="000000"/>
          <w:sz w:val="20"/>
        </w:rPr>
      </w:pPr>
      <w:r>
        <w:rPr>
          <w:rFonts w:ascii="Times New Roman" w:hAnsi="Times New Roman"/>
          <w:caps/>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trade in Company securities, Insiders are prohibited from holding Company securities in a margin account or pledging Company securities as collateral for a loan.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policy continues to apply to your transactions in Company securities even after you have terminated employment or other services to the Company. If you are aware of material nonpublic information when your employment or service relationship terminates, you may not trade in Company securities until after that information has become public or is no longer material.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Trades under Qualified Plans Complying with Rule 10b5 1</w:t>
      </w:r>
      <w:r>
        <w:rPr>
          <w:rFonts w:ascii="Times New Roman" w:hAnsi="Times New Roman"/>
          <w:color w:val="000000"/>
          <w:sz w:val="24"/>
        </w:rPr>
        <w:t>. The trading prohibitions and preclearance procedure described in this policy do not apply to transactions made by an employee, officer or director of the Company under a “Qualified Plan” to trade securities under Rule 10b5-1 of the Securities Exchange 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Employees, officers and directors of the Company are permitted to buy or sell the Company’s securities under a “Qualified Plan” that complies with federal and state securities laws, and the specific requirements of this policy. A “Qualified Plan” must meet each of the following requirements: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Binding contract</w:t>
      </w:r>
      <w:r>
        <w:rPr>
          <w:rFonts w:ascii="Times New Roman" w:hAnsi="Times New Roman"/>
          <w:color w:val="000000"/>
          <w:sz w:val="24"/>
        </w:rPr>
        <w:t>. The proposed plan must be a binding written agreement between the participant and a national brokerage firm or other financial professional reasonably acceptable to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u w:val="single"/>
        </w:rPr>
        <w:t>Prior review process: all participants</w:t>
      </w:r>
      <w:r>
        <w:rPr>
          <w:rFonts w:ascii="Times New Roman" w:hAnsi="Times New Roman"/>
          <w:color w:val="000000"/>
          <w:sz w:val="24"/>
        </w:rPr>
        <w:t>. Before any securities transaction under a Qualified Plan, the participant must submit the proposed plan to the Company’s Chief Executive Officer for review, and receive a written acknowledgement signed by the Chief Executive Officer. Acknowledgement by the Company shall not be understood to signify consent, approval or a legal opinion as to the proposed plan’s effectiveness.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u w:val="single"/>
        </w:rPr>
        <w:t>Prior review process: officers and directors</w:t>
      </w:r>
      <w:r>
        <w:rPr>
          <w:rFonts w:ascii="Times New Roman" w:hAnsi="Times New Roman"/>
          <w:color w:val="000000"/>
          <w:sz w:val="24"/>
        </w:rPr>
        <w:t>. If the participant is an officer or director of the Company, the Chief Executive Officer will, prior to delivering a written acknowledgement to the participant or financial institution, obtain the advice and consent of at least one member of the Compensation Committee of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u w:val="single"/>
        </w:rPr>
        <w:t>Rule 10b5-1 compliance</w:t>
      </w:r>
      <w:r>
        <w:rPr>
          <w:rFonts w:ascii="Times New Roman" w:hAnsi="Times New Roman"/>
          <w:color w:val="000000"/>
          <w:sz w:val="24"/>
        </w:rPr>
        <w:t>. The proposed plan must clearly state that both the participant and the financial institution intend that all transactions will comply with Rule 10b5-1 under the Securities and Exchange Act of 1934, as amended, including that it is entered into in good faith, and not as part of a scheme to evade the prohibitions of Rule 10b5-1. The participant is solely responsible for determining compliance of the Qualified Plan with Rule 10b5-1 and other applicable laws and regulations.</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u w:val="single"/>
        </w:rPr>
        <w:t>No material nonpublic information</w:t>
      </w:r>
      <w:r>
        <w:rPr>
          <w:rFonts w:ascii="Times New Roman" w:hAnsi="Times New Roman"/>
          <w:color w:val="000000"/>
          <w:sz w:val="24"/>
        </w:rPr>
        <w:t>. The participant must not be in possession of material nonpublic information at the time of entering into the Qualified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u w:val="single"/>
        </w:rPr>
        <w:t>Adoption of plan: Plan Window Period</w:t>
      </w:r>
      <w:r>
        <w:rPr>
          <w:rFonts w:ascii="Times New Roman" w:hAnsi="Times New Roman"/>
          <w:color w:val="000000"/>
          <w:sz w:val="24"/>
        </w:rPr>
        <w:t>. The proposed plan must be adopted during a Plan Window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u w:val="single"/>
        </w:rPr>
        <w:t>Timing of first transaction</w:t>
      </w:r>
      <w:r>
        <w:rPr>
          <w:rFonts w:ascii="Times New Roman" w:hAnsi="Times New Roman"/>
          <w:color w:val="000000"/>
          <w:sz w:val="24"/>
        </w:rPr>
        <w:t>. The first transaction under a Qualified Plan may not take place until at least the opening of the next Plan Window Period after the Qualified Plan has been formally adopted. Formal adoption requires the signatures of both parties.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u w:val="single"/>
        </w:rPr>
        <w:t>Plan termination date</w:t>
      </w:r>
      <w:r>
        <w:rPr>
          <w:rFonts w:ascii="Times New Roman" w:hAnsi="Times New Roman"/>
          <w:color w:val="000000"/>
          <w:sz w:val="24"/>
        </w:rPr>
        <w:t>. The Qualified Plan must contain a termination date and the trading program under the Qualified Plan must be for at least 6 months and no longer than 12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4"/>
          <w:u w:val="single"/>
        </w:rPr>
        <w:t>Prohibited activities</w:t>
      </w:r>
      <w:r>
        <w:rPr>
          <w:rFonts w:ascii="Times New Roman" w:hAnsi="Times New Roman"/>
          <w:color w:val="000000"/>
          <w:sz w:val="24"/>
        </w:rPr>
        <w:t>. The participant is not permitted to alter or deviate from the Qualified Plan, and “hedging” transactions involving the Company’s securities are prohibited.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4"/>
          <w:u w:val="single"/>
        </w:rPr>
        <w:t>Confirmation of transactions</w:t>
      </w:r>
      <w:r>
        <w:rPr>
          <w:rFonts w:ascii="Times New Roman" w:hAnsi="Times New Roman"/>
          <w:color w:val="000000"/>
          <w:sz w:val="24"/>
        </w:rPr>
        <w:t>. The financial institution must agree to provide written confirmation to the Company by both U.S. mail and same-day e-mail (1) promptly following each transaction made under the Qualified Plan, (2) promptly upon any termination of the Qualified Plan and (3) in advance of any proposed modification or suspension of the Qualified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u w:val="single"/>
        </w:rPr>
        <w:t>Termination by Company</w:t>
      </w:r>
      <w:r>
        <w:rPr>
          <w:rFonts w:ascii="Times New Roman" w:hAnsi="Times New Roman"/>
          <w:color w:val="000000"/>
          <w:sz w:val="24"/>
        </w:rPr>
        <w:t>. The Qualified Plan must provide that the Company can terminate the Qualified Plan, in its sole discretion, by notice to the financial institution and the participant, or determine that any proposed modification or suspension of the Qualified Plan has terminated the Qualified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4"/>
          <w:u w:val="single"/>
        </w:rPr>
        <w:t>Termination by participant</w:t>
      </w:r>
      <w:r>
        <w:rPr>
          <w:rFonts w:ascii="Times New Roman" w:hAnsi="Times New Roman"/>
          <w:color w:val="000000"/>
          <w:sz w:val="24"/>
        </w:rPr>
        <w:t>. The participant may cancel or terminate the Qualified Plan, but only if the Qualified Plan was entered into in good faith and not as part of a plan or scheme to evade Rule 10b5-1. The participant may propose entering into a new Qualified Plan after at least three months’ time has passed from termination of the old Qualified Plan. Any new proposed plan must meet all of the requirements of Rule 10b5-1 and the other requirements set forth in this policy.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4"/>
          <w:u w:val="single"/>
        </w:rPr>
        <w:t>Non-standard plans: expense reimbursement</w:t>
      </w:r>
      <w:r>
        <w:rPr>
          <w:rFonts w:ascii="Times New Roman" w:hAnsi="Times New Roman"/>
          <w:color w:val="000000"/>
          <w:sz w:val="24"/>
        </w:rPr>
        <w:t>. If the participant’s preferred financial institution is not nationally recognized, or if a proposed plan contains insufficient or complex provisions, the Company may condition its</w:t>
      </w:r>
      <w:r>
        <w:rPr>
          <w:rFonts w:ascii="Times New Roman" w:hAnsi="Times New Roman"/>
          <w:color w:val="000000"/>
          <w:sz w:val="20"/>
        </w:rPr>
        <w:t xml:space="preserve"> </w:t>
      </w:r>
    </w:p>
    <w:p>
      <w:pPr>
        <w:pStyle w:val="TextBody"/>
        <w:bidi w:val="0"/>
        <w:jc w:val="center"/>
        <w:rPr>
          <w:rFonts w:ascii="Times New Roman" w:hAnsi="Times New Roman"/>
          <w:caps/>
          <w:color w:val="000000"/>
          <w:sz w:val="20"/>
        </w:rPr>
      </w:pPr>
      <w:r>
        <w:rPr>
          <w:rFonts w:ascii="Times New Roman" w:hAnsi="Times New Roman"/>
          <w:caps/>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review on participant’s agreement to pay the Company’s expenses for legal advice related to the review process.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Company Assistance</w:t>
      </w:r>
      <w:r>
        <w:rPr>
          <w:rFonts w:ascii="Times New Roman" w:hAnsi="Times New Roman"/>
          <w:color w:val="000000"/>
          <w:sz w:val="24"/>
        </w:rPr>
        <w:t>: If you have any doubt as to your responsibilities under this policy or if you have questions concerning contemplated transactions in the securities of the Company, you are encouraged to contact Dr. Avi Katz, Chief Executive Officer. The ultimate responsibility for adhering to these policies and avoiding improper transactions, however, rests solely with each individual.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requires the strictest compliance with this policy by all Insiders at every level. Failure to observe this policy may result in serious legal difficulties for you, as well as for the Company. A failure to follow the letter and spirit of the policy would be considered a matter of extreme seriousness and a basis for termination of an individual’s employment arrangement with the Company.</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The Consequences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consequences of insider trading violations can be substantial: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individuals who trade on inside information (or tip information to others):</w:t>
      </w:r>
    </w:p>
    <w:p>
      <w:pPr>
        <w:pStyle w:val="TextBody"/>
        <w:bidi w:val="0"/>
        <w:jc w:val="left"/>
        <w:rPr>
          <w:rFonts w:ascii="Times New Roman" w:hAnsi="Times New Roman"/>
          <w:color w:val="000000"/>
          <w:sz w:val="24"/>
        </w:rPr>
      </w:pPr>
      <w:r>
        <w:rPr>
          <w:rFonts w:ascii="Times New Roman" w:hAnsi="Times New Roman"/>
          <w:color w:val="000000"/>
          <w:sz w:val="24"/>
        </w:rPr>
        <w:t>- A civil penalty of up to three times the profit gained or loss avoided;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A criminal fine (no matter how small the profit) of up to $5 million;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A jail term of up to twenty years.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of the above consequences, even an SEC investigation that does not result in prosecution, can tarnish an individual’s reputation and irreparably damage a career as well as harm the Company. Moreover, Company imposed sanctions, including dismissal for cause, could result from failing to comply with the Company’s policy or procedures.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acknowledge below your receiving a copy of this policy and your agreement to comply with its terms.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_____________________________________</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Employee: 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(Print Name)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 _________________________________</w:t>
      </w:r>
    </w:p>
    <w:p>
      <w:pPr>
        <w:pStyle w:val="TextBody"/>
        <w:bidi w:val="0"/>
        <w:jc w:val="center"/>
        <w:rPr>
          <w:rFonts w:ascii="Times New Roman" w:hAnsi="Times New Roman"/>
          <w:caps/>
          <w:color w:val="000000"/>
          <w:sz w:val="20"/>
        </w:rPr>
      </w:pPr>
      <w:r>
        <w:rPr>
          <w:rFonts w:ascii="Times New Roman" w:hAnsi="Times New Roman"/>
          <w:caps/>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gix-ex31_1.htm"/>
      <w:bookmarkStart w:id="40" w:name="ksgixex31_1"/>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Avi S. Katz,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GigCapital9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91"/>
        <w:gridCol w:w="109"/>
        <w:gridCol w:w="406"/>
        <w:gridCol w:w="21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gix-ex31_2.htm"/>
      <w:bookmarkStart w:id="42" w:name="ksgixex31_2"/>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M. Marshall,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GigCapital9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intentionally omitted in accordance with Exchange Act Rule 13a-14];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82" w:type="dxa"/>
        <w:jc w:val="left"/>
        <w:tblInd w:w="0" w:type="dxa"/>
        <w:tblLayout w:type="fixed"/>
        <w:tblCellMar>
          <w:top w:w="28" w:type="dxa"/>
          <w:left w:w="28" w:type="dxa"/>
          <w:bottom w:w="28" w:type="dxa"/>
          <w:right w:w="28" w:type="dxa"/>
        </w:tblCellMar>
      </w:tblPr>
      <w:tblGrid>
        <w:gridCol w:w="1891"/>
        <w:gridCol w:w="109"/>
        <w:gridCol w:w="406"/>
        <w:gridCol w:w="217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gix-ex32_1.htm"/>
      <w:bookmarkStart w:id="44" w:name="ksgixex32_1"/>
      <w:bookmarkEnd w:id="43"/>
      <w:bookmarkEnd w:id="4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GigCapital9 Corp.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683" w:type="dxa"/>
        <w:jc w:val="left"/>
        <w:tblInd w:w="0" w:type="dxa"/>
        <w:tblLayout w:type="fixed"/>
        <w:tblCellMar>
          <w:top w:w="28" w:type="dxa"/>
          <w:left w:w="28" w:type="dxa"/>
          <w:bottom w:w="28" w:type="dxa"/>
          <w:right w:w="28" w:type="dxa"/>
        </w:tblCellMar>
      </w:tblPr>
      <w:tblGrid>
        <w:gridCol w:w="1891"/>
        <w:gridCol w:w="109"/>
        <w:gridCol w:w="406"/>
        <w:gridCol w:w="146"/>
        <w:gridCol w:w="21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gix-ex32_2.htm"/>
      <w:bookmarkStart w:id="46" w:name="ksgixex32_2"/>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GigCapital9 Corp.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28" w:type="dxa"/>
        <w:jc w:val="left"/>
        <w:tblInd w:w="0" w:type="dxa"/>
        <w:tblLayout w:type="fixed"/>
        <w:tblCellMar>
          <w:top w:w="28" w:type="dxa"/>
          <w:left w:w="28" w:type="dxa"/>
          <w:bottom w:w="28" w:type="dxa"/>
          <w:right w:w="28" w:type="dxa"/>
        </w:tblCellMar>
      </w:tblPr>
      <w:tblGrid>
        <w:gridCol w:w="1891"/>
        <w:gridCol w:w="109"/>
        <w:gridCol w:w="406"/>
        <w:gridCol w:w="146"/>
        <w:gridCol w:w="217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gix-ex97_1.htm"/>
      <w:bookmarkStart w:id="48" w:name="ksgixex97_1"/>
      <w:bookmarkEnd w:id="47"/>
      <w:bookmarkEnd w:id="48"/>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97.1</w:t>
      </w:r>
    </w:p>
    <w:p>
      <w:pPr>
        <w:pStyle w:val="TextBody"/>
        <w:bidi w:val="0"/>
        <w:jc w:val="center"/>
        <w:rPr>
          <w:rFonts w:ascii="Times New Roman" w:hAnsi="Times New Roman"/>
          <w:b/>
          <w:color w:val="000000"/>
          <w:sz w:val="22"/>
        </w:rPr>
      </w:pPr>
      <w:r>
        <w:rPr>
          <w:rFonts w:ascii="Times New Roman" w:hAnsi="Times New Roman"/>
          <w:b/>
          <w:color w:val="000000"/>
          <w:sz w:val="22"/>
        </w:rPr>
        <w:t>GIGCAPITAL9 CORP.</w:t>
      </w:r>
    </w:p>
    <w:p>
      <w:pPr>
        <w:pStyle w:val="TextBody"/>
        <w:bidi w:val="0"/>
        <w:jc w:val="center"/>
        <w:rPr>
          <w:rFonts w:ascii="Times New Roman" w:hAnsi="Times New Roman"/>
          <w:b/>
          <w:caps/>
          <w:color w:val="000000"/>
          <w:sz w:val="20"/>
        </w:rPr>
      </w:pPr>
      <w:r>
        <w:rPr>
          <w:rFonts w:ascii="Times New Roman" w:hAnsi="Times New Roman"/>
          <w:b/>
          <w:caps/>
          <w:color w:val="000000"/>
          <w:sz w:val="20"/>
        </w:rPr>
        <w:t>Policy for RECOVERY OF ERRONEOUSLY AWARDED Incentive Compensation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(Adopted as of February 5,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 INTRODUCTION</w:t>
      </w:r>
    </w:p>
    <w:p>
      <w:pPr>
        <w:pStyle w:val="TextBody"/>
        <w:bidi w:val="0"/>
        <w:spacing w:before="0" w:after="240"/>
        <w:jc w:val="both"/>
        <w:rPr>
          <w:rFonts w:ascii="Times New Roman" w:hAnsi="Times New Roman"/>
          <w:sz w:val="20"/>
        </w:rPr>
      </w:pPr>
      <w:r>
        <w:rPr>
          <w:rFonts w:ascii="Times New Roman" w:hAnsi="Times New Roman"/>
          <w:color w:val="000000"/>
          <w:sz w:val="20"/>
        </w:rPr>
        <w:t>The Board of Directors (the “</w:t>
      </w:r>
      <w:r>
        <w:rPr>
          <w:rFonts w:ascii="Times New Roman" w:hAnsi="Times New Roman"/>
          <w:b/>
          <w:i/>
          <w:color w:val="000000"/>
          <w:sz w:val="20"/>
        </w:rPr>
        <w:t>Board</w:t>
      </w:r>
      <w:r>
        <w:rPr>
          <w:rFonts w:ascii="Times New Roman" w:hAnsi="Times New Roman"/>
          <w:color w:val="000000"/>
          <w:sz w:val="20"/>
        </w:rPr>
        <w:t>”) of GigCapital9 Corp. (the “</w:t>
      </w:r>
      <w:r>
        <w:rPr>
          <w:rFonts w:ascii="Times New Roman" w:hAnsi="Times New Roman"/>
          <w:b/>
          <w:i/>
          <w:color w:val="000000"/>
          <w:sz w:val="20"/>
        </w:rPr>
        <w:t>Company</w:t>
      </w:r>
      <w:r>
        <w:rPr>
          <w:rFonts w:ascii="Times New Roman" w:hAnsi="Times New Roman"/>
          <w:color w:val="000000"/>
          <w:sz w:val="20"/>
        </w:rPr>
        <w:t>”) is adopting this policy (this “</w:t>
      </w:r>
      <w:r>
        <w:rPr>
          <w:rFonts w:ascii="Times New Roman" w:hAnsi="Times New Roman"/>
          <w:b/>
          <w:i/>
          <w:color w:val="000000"/>
          <w:sz w:val="20"/>
        </w:rPr>
        <w:t>Policy</w:t>
      </w:r>
      <w:r>
        <w:rPr>
          <w:rFonts w:ascii="Times New Roman" w:hAnsi="Times New Roman"/>
          <w:color w:val="000000"/>
          <w:sz w:val="20"/>
        </w:rPr>
        <w:t>”) to provide for the Company’s recovery of certain Incentive Compensation (as defined below) erroneously awarded to Affected Officers (as defined below) under certain circumstances. This Policy is effective as of January 26, 2026 (the “</w:t>
      </w:r>
      <w:r>
        <w:rPr>
          <w:rFonts w:ascii="Times New Roman" w:hAnsi="Times New Roman"/>
          <w:b/>
          <w:i/>
          <w:color w:val="000000"/>
          <w:sz w:val="20"/>
        </w:rPr>
        <w:t>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is administered by the Board. The Board shall have full and final authority to make any and all determinations required or permitted under this Policy. Any determination by the Board with respect to this Policy shall be final, conclusive and binding on all parties. The Board may amend or terminate this Policy at any time. </w:t>
      </w:r>
    </w:p>
    <w:p>
      <w:pPr>
        <w:pStyle w:val="TextBody"/>
        <w:bidi w:val="0"/>
        <w:spacing w:before="0" w:after="240"/>
        <w:jc w:val="both"/>
        <w:rPr>
          <w:rFonts w:ascii="Times New Roman" w:hAnsi="Times New Roman"/>
          <w:sz w:val="20"/>
        </w:rPr>
      </w:pPr>
      <w:r>
        <w:rPr>
          <w:rFonts w:ascii="Times New Roman" w:hAnsi="Times New Roman"/>
          <w:color w:val="000000"/>
          <w:sz w:val="20"/>
        </w:rPr>
        <w:t>This Policy is intended to comply with Section 10D of the Securities and Exchange Act of 1934, as amended (the “</w:t>
      </w:r>
      <w:r>
        <w:rPr>
          <w:rFonts w:ascii="Times New Roman" w:hAnsi="Times New Roman"/>
          <w:b/>
          <w:i/>
          <w:color w:val="000000"/>
          <w:sz w:val="20"/>
        </w:rPr>
        <w:t>Exchange Act</w:t>
      </w:r>
      <w:r>
        <w:rPr>
          <w:rFonts w:ascii="Times New Roman" w:hAnsi="Times New Roman"/>
          <w:color w:val="000000"/>
          <w:sz w:val="20"/>
        </w:rPr>
        <w:t>”), Rule 10D-1 thereunder and the applicable rules of any national securities exchange on which the Company’s securities are then listed (the “</w:t>
      </w:r>
      <w:r>
        <w:rPr>
          <w:rFonts w:ascii="Times New Roman" w:hAnsi="Times New Roman"/>
          <w:b/>
          <w:i/>
          <w:color w:val="000000"/>
          <w:sz w:val="20"/>
        </w:rPr>
        <w:t>Exchange</w:t>
      </w:r>
      <w:r>
        <w:rPr>
          <w:rFonts w:ascii="Times New Roman" w:hAnsi="Times New Roman"/>
          <w:color w:val="000000"/>
          <w:sz w:val="20"/>
        </w:rPr>
        <w:t xml:space="preserve">”) and will be interpreted and administered consistent with that intent.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Each Affected Officer subject to this Policy must execute the Acknowledgment and Agreement attached hereto as </w:t>
      </w:r>
      <w:r>
        <w:rPr>
          <w:rFonts w:ascii="Times New Roman" w:hAnsi="Times New Roman"/>
          <w:color w:val="000000"/>
          <w:sz w:val="20"/>
          <w:u w:val="single"/>
        </w:rPr>
        <w:t>Exhibit A</w:t>
      </w:r>
      <w:r>
        <w:rPr>
          <w:rFonts w:ascii="Times New Roman" w:hAnsi="Times New Roman"/>
          <w:color w:val="000000"/>
          <w:sz w:val="20"/>
        </w:rPr>
        <w:t xml:space="preserve"> before such Affected Officer will be entitled to receive any cash- or equity-based incentive compensation that is approved, granted or awarded on or after the Effective Date.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shall apply to all Incentive Compensation received by an Affected Officer on or after January 26, 2026 to the extent permitted or required by applicable law or the rules of the Exchange.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 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purposes of this Policy, the following terms shall have the meanings set forth below: </w:t>
      </w:r>
    </w:p>
    <w:p>
      <w:pPr>
        <w:pStyle w:val="TextBody"/>
        <w:bidi w:val="0"/>
        <w:spacing w:before="0" w:after="240"/>
        <w:jc w:val="both"/>
        <w:rPr/>
      </w:pPr>
      <w:r>
        <w:rPr>
          <w:color w:val="000000"/>
        </w:rPr>
        <w:t>“</w:t>
      </w:r>
      <w:r>
        <w:rPr>
          <w:rFonts w:ascii="Times New Roman" w:hAnsi="Times New Roman"/>
          <w:b/>
          <w:i/>
          <w:color w:val="000000"/>
          <w:sz w:val="20"/>
        </w:rPr>
        <w:t>Affected Officer</w:t>
      </w:r>
      <w:r>
        <w:rPr>
          <w:rFonts w:ascii="Times New Roman" w:hAnsi="Times New Roman"/>
          <w:color w:val="000000"/>
          <w:sz w:val="20"/>
        </w:rPr>
        <w:t>” means any current or former “officer” as defined in Exchange Act Rule 16a-1.</w:t>
      </w:r>
    </w:p>
    <w:p>
      <w:pPr>
        <w:pStyle w:val="TextBody"/>
        <w:bidi w:val="0"/>
        <w:spacing w:before="0" w:after="240"/>
        <w:jc w:val="both"/>
        <w:rPr/>
      </w:pPr>
      <w:r>
        <w:rPr>
          <w:color w:val="000000"/>
        </w:rPr>
        <w:t>“</w:t>
      </w:r>
      <w:r>
        <w:rPr>
          <w:rFonts w:ascii="Times New Roman" w:hAnsi="Times New Roman"/>
          <w:b/>
          <w:i/>
          <w:color w:val="000000"/>
          <w:sz w:val="20"/>
        </w:rPr>
        <w:t>Erroneously Awarded Compensation</w:t>
      </w:r>
      <w:r>
        <w:rPr>
          <w:rFonts w:ascii="Times New Roman" w:hAnsi="Times New Roman"/>
          <w:color w:val="000000"/>
          <w:sz w:val="20"/>
        </w:rPr>
        <w:t>” means the amount of Incentive Compensation received within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 (the “</w:t>
      </w:r>
      <w:r>
        <w:rPr>
          <w:rFonts w:ascii="Times New Roman" w:hAnsi="Times New Roman"/>
          <w:b/>
          <w:i/>
          <w:color w:val="000000"/>
          <w:sz w:val="20"/>
        </w:rPr>
        <w:t>look-back period</w:t>
      </w:r>
      <w:r>
        <w:rPr>
          <w:rFonts w:ascii="Times New Roman" w:hAnsi="Times New Roman"/>
          <w:color w:val="000000"/>
          <w:sz w:val="20"/>
        </w:rPr>
        <w:t>”)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Board in its sole discretion. The Board may determine the form and amount of Erroneously Awarded Compensation in its sole discretion.</w:t>
      </w:r>
    </w:p>
    <w:p>
      <w:pPr>
        <w:pStyle w:val="TextBody"/>
        <w:bidi w:val="0"/>
        <w:spacing w:before="0" w:after="240"/>
        <w:jc w:val="both"/>
        <w:rPr/>
      </w:pPr>
      <w:r>
        <w:rPr>
          <w:color w:val="000000"/>
        </w:rPr>
        <w:t>“</w:t>
      </w:r>
      <w:r>
        <w:rPr>
          <w:rFonts w:ascii="Times New Roman" w:hAnsi="Times New Roman"/>
          <w:b/>
          <w:i/>
          <w:color w:val="000000"/>
          <w:sz w:val="20"/>
        </w:rPr>
        <w:t>Financial Reporting Measure</w:t>
      </w:r>
      <w:r>
        <w:rPr>
          <w:rFonts w:ascii="Times New Roman" w:hAnsi="Times New Roman"/>
          <w:color w:val="000000"/>
          <w:sz w:val="20"/>
        </w:rPr>
        <w:t xml:space="preserve">”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also Financial Reporting Measures.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b/>
          <w:i/>
          <w:color w:val="000000"/>
          <w:sz w:val="20"/>
        </w:rPr>
        <w:t>Incentive Compensation</w:t>
      </w:r>
      <w:r>
        <w:rPr>
          <w:rFonts w:ascii="Times New Roman" w:hAnsi="Times New Roman"/>
          <w:color w:val="000000"/>
          <w:sz w:val="20"/>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earned or vested based in part on a Financial Reporting Measure.</w:t>
      </w:r>
    </w:p>
    <w:p>
      <w:pPr>
        <w:pStyle w:val="TextBody"/>
        <w:bidi w:val="0"/>
        <w:spacing w:before="0" w:after="240"/>
        <w:jc w:val="both"/>
        <w:rPr/>
      </w:pPr>
      <w:r>
        <w:rPr>
          <w:color w:val="000000"/>
        </w:rPr>
        <w:t>“</w:t>
      </w:r>
      <w:r>
        <w:rPr>
          <w:rFonts w:ascii="Times New Roman" w:hAnsi="Times New Roman"/>
          <w:b/>
          <w:i/>
          <w:color w:val="000000"/>
          <w:sz w:val="20"/>
        </w:rPr>
        <w:t>Restatement</w:t>
      </w:r>
      <w:r>
        <w:rPr>
          <w:rFonts w:ascii="Times New Roman" w:hAnsi="Times New Roman"/>
          <w:color w:val="000000"/>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240"/>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RECOVERY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for a fiscal period ending on or after January 26, 2026, the Company is required to prepare a Restatement, the Company shall seek to recover reasonably promptly all Erroneously Awarded Compensation that results from attainment of a Financial Reporting Measure based on or derived from financial information for any fiscal period ending on or after January 26, 2026 and that is received by an Affected Officer after such Affected Officer begins service as an Affected Officer, provided that such Affected Officer served as an Affected Officer during the performance period for that Incentive Compensation and while the Company has a class of securities listed on the Exchange, and for such period as such Affected Officer has served as an Affected Officer during the look-back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Policy: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Erroneously Awarded Compensation is deemed to be received in the Company’s fiscal period during which the Financial Reporting Measure specified in the Incentive Compensation is attained, even if the payment or grant of the Incentive Compensation occurs after the end of that period;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date the Company is required to prepare a Restatement is the earlier of (x) the date the Board or any officer of the Company authorized to take such action concludes, or reasonably should have concluded, that the Company is required to prepare the Restatement, or (y) the date a court, regulator, or other legally authorized body directs the Company to prepare the Restatement.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required by applicable law or the rules of the Exchange, any profits realized from the sale of securities of the Company are subject to recoupment under this Policy.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pStyle w:val="TextBody"/>
        <w:bidi w:val="0"/>
        <w:spacing w:before="0" w:after="24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SOURCES OF RECOUPMENT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permitted by applicable law, the Board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LIMITED</w:t>
      </w:r>
      <w:r>
        <w:rPr>
          <w:rFonts w:ascii="Times New Roman" w:hAnsi="Times New Roman"/>
          <w:color w:val="000000"/>
          <w:sz w:val="20"/>
        </w:rPr>
        <w:t xml:space="preserve"> </w:t>
      </w:r>
      <w:r>
        <w:rPr>
          <w:rFonts w:ascii="Times New Roman" w:hAnsi="Times New Roman"/>
          <w:b/>
          <w:color w:val="000000"/>
          <w:sz w:val="20"/>
        </w:rPr>
        <w:t>EXCEPTIONS TO RECOVERY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the Board, in its discretion, may choose to forgo recovery of Erroneously Awarded Compensation under the following circumstances, provided that a majority of the independent members of the Board has made a determination that recovery would be impracticable because: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Recovery would violate home country law where the law was adopted prior to November 28, 2022, and the Company provides an opinion of home country counsel to that effect to the Exchange that is acceptable to the Exchange;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Recovery would likely cause an otherwise tax-qualified retirement plan to fail to meet the requirements of the Internal Revenue Code of 1986, as amended.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7. NO INDEMNIFICATION OR INSURANCE</w:t>
      </w:r>
    </w:p>
    <w:p>
      <w:pPr>
        <w:pStyle w:val="TextBody"/>
        <w:bidi w:val="0"/>
        <w:spacing w:before="0" w:after="240"/>
        <w:jc w:val="both"/>
        <w:rPr>
          <w:rFonts w:ascii="Times New Roman" w:hAnsi="Times New Roman"/>
          <w:color w:val="0E0E0E"/>
          <w:sz w:val="20"/>
        </w:rPr>
      </w:pPr>
      <w:r>
        <w:rPr>
          <w:rFonts w:ascii="Times New Roman" w:hAnsi="Times New Roman"/>
          <w:color w:val="0E0E0E"/>
          <w:sz w:val="20"/>
        </w:rPr>
        <w:t xml:space="preserve">The Company will not indemnify, insure or otherwise reimburse any Affected Officer against the recovery of Erroneously Awarded Compensation.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8. NO IMPAIRMENT OF OTHER REMEDIES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rFonts w:ascii="Times New Roman" w:hAnsi="Times New Roman"/>
          <w:b/>
          <w:caps/>
          <w:color w:val="000000"/>
          <w:sz w:val="20"/>
        </w:rPr>
      </w:pPr>
      <w:r>
        <w:rPr>
          <w:rFonts w:ascii="Times New Roman" w:hAnsi="Times New Roman"/>
          <w:b/>
          <w:caps/>
          <w:color w:val="000000"/>
          <w:sz w:val="20"/>
        </w:rPr>
        <w:t>GIGCAPITAL9 Corp.</w:t>
      </w:r>
    </w:p>
    <w:p>
      <w:pPr>
        <w:pStyle w:val="TextBody"/>
        <w:bidi w:val="0"/>
        <w:jc w:val="center"/>
        <w:rPr>
          <w:rFonts w:ascii="Times New Roman" w:hAnsi="Times New Roman"/>
          <w:b/>
          <w:caps/>
          <w:color w:val="000000"/>
          <w:sz w:val="20"/>
        </w:rPr>
      </w:pPr>
      <w:r>
        <w:rPr>
          <w:rFonts w:ascii="Times New Roman" w:hAnsi="Times New Roman"/>
          <w:b/>
          <w:caps/>
          <w:color w:val="000000"/>
          <w:sz w:val="20"/>
        </w:rPr>
        <w:t>Policy for RECOVERY OF ERRONEOUSLY AWARDED Incentive Compensation</w:t>
      </w:r>
    </w:p>
    <w:p>
      <w:pPr>
        <w:pStyle w:val="TextBody"/>
        <w:bidi w:val="0"/>
        <w:jc w:val="center"/>
        <w:rPr>
          <w:rFonts w:ascii="Times New Roman" w:hAnsi="Times New Roman"/>
          <w:b/>
          <w:caps/>
          <w:color w:val="000000"/>
          <w:sz w:val="20"/>
        </w:rPr>
      </w:pPr>
      <w:r>
        <w:rPr>
          <w:rFonts w:ascii="Times New Roman" w:hAnsi="Times New Roman"/>
          <w:b/>
          <w:caps/>
          <w:color w:val="000000"/>
          <w:sz w:val="20"/>
        </w:rPr>
        <w:t>ATTESTATION AND ACKNOWLEDGEMENT</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my signature below, I acknowledge and agree that: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0"/>
        </w:rPr>
        <w:t>I have received and read the attached Policy for Recovery of Erroneously Awarded Incentive Compensation (as it may be amended, restated, supplemented or otherwise modified from time to time, the “</w:t>
      </w:r>
      <w:r>
        <w:rPr>
          <w:rFonts w:ascii="Times New Roman" w:hAnsi="Times New Roman"/>
          <w:b/>
          <w:i/>
          <w:color w:val="000000"/>
          <w:sz w:val="20"/>
        </w:rPr>
        <w:t>Policy</w:t>
      </w:r>
      <w:r>
        <w:rPr>
          <w:color w:val="000000"/>
        </w:rPr>
        <w:t>”</w:t>
      </w:r>
      <w:r>
        <w:rPr>
          <w:rFonts w:ascii="Times New Roman" w:hAnsi="Times New Roman"/>
          <w:color w:val="000000"/>
          <w:sz w:val="20"/>
        </w:rPr>
        <w:t>) of GigCapital9 Corp. (the “</w:t>
      </w:r>
      <w:r>
        <w:rPr>
          <w:rFonts w:ascii="Times New Roman" w:hAnsi="Times New Roman"/>
          <w:b/>
          <w:i/>
          <w:color w:val="000000"/>
          <w:sz w:val="20"/>
        </w:rPr>
        <w:t>Company</w:t>
      </w:r>
      <w:r>
        <w:rPr>
          <w:color w:val="000000"/>
        </w:rPr>
        <w:t>”</w:t>
      </w:r>
      <w:r>
        <w:rPr>
          <w:rFonts w:ascii="Times New Roman" w:hAnsi="Times New Roman"/>
          <w:color w:val="000000"/>
          <w:sz w:val="20"/>
        </w:rPr>
        <w:t xml:space="preserve">). Any capitalized terms used and not defined in this Attestation and Acknowledgement shall have the meaning set forth in the Policy.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am fully bound by, and subject to, all of the terms and conditions of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it is determined by the Board of Directors of the Company that any amounts granted, awarded, earned or paid to me must be forfeited or reimbursed to the Company, 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Agreed and Acknowledged</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[Name of Affected Officer]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98712/000119312526031857/d788016dex11.htm" TargetMode="External"/><Relationship Id="rId3" Type="http://schemas.openxmlformats.org/officeDocument/2006/relationships/hyperlink" Target="https://www.sec.gov/Archives/edgar/data/2098712/000119312526031857/d788016dex31.htm25235847/d87287dex31.htm" TargetMode="External"/><Relationship Id="rId4" Type="http://schemas.openxmlformats.org/officeDocument/2006/relationships/hyperlink" Target="https://www.sec.gov/Archives/edgar/data/2098712/000119312526017158/d34728dex41.htm" TargetMode="External"/><Relationship Id="rId5" Type="http://schemas.openxmlformats.org/officeDocument/2006/relationships/hyperlink" Target="https://www.sec.gov/Archives/edgar/data/2098712/000119312526017158/d34728dex42.htm" TargetMode="External"/><Relationship Id="rId6" Type="http://schemas.openxmlformats.org/officeDocument/2006/relationships/hyperlink" Target="https://www.sec.gov/Archives/edgar/data/2098712/000119312526017158/d34728dex43.htm" TargetMode="External"/><Relationship Id="rId7" Type="http://schemas.openxmlformats.org/officeDocument/2006/relationships/hyperlink" Target="https://www.sec.gov/Archives/edgar/data/2098712/000119312526031857/d788016dex41.htm" TargetMode="External"/><Relationship Id="rId8" Type="http://schemas.openxmlformats.org/officeDocument/2006/relationships/hyperlink" Target="https://www.sec.gov/Archives/edgar/data/2098712/000119312526031857/d788016dex101.htm" TargetMode="External"/><Relationship Id="rId9" Type="http://schemas.openxmlformats.org/officeDocument/2006/relationships/hyperlink" Target="https://www.sec.gov/Archives/edgar/data/2098712/000119312526031857/d788016dex102.htm" TargetMode="External"/><Relationship Id="rId10" Type="http://schemas.openxmlformats.org/officeDocument/2006/relationships/hyperlink" Target="https://www.sec.gov/Archives/edgar/data/2098712/000119312526031857/d788016dex103.htm" TargetMode="External"/><Relationship Id="rId11" Type="http://schemas.openxmlformats.org/officeDocument/2006/relationships/hyperlink" Target="https://www.sec.gov/Archives/edgar/data/2098712/000119312526031857/d788016dex104.htm" TargetMode="External"/><Relationship Id="rId12" Type="http://schemas.openxmlformats.org/officeDocument/2006/relationships/hyperlink" Target="https://www.sec.gov/Archives/edgar/data/2098712/000119312526031857/d788016dex105.htm" TargetMode="External"/><Relationship Id="rId13" Type="http://schemas.openxmlformats.org/officeDocument/2006/relationships/hyperlink" Target="https://www.sec.gov/Archives/edgar/data/2098712/000119312525303950/d34728dex14.htm" TargetMode="External"/><Relationship Id="rId14" Type="http://schemas.openxmlformats.org/officeDocument/2006/relationships/hyperlink" Target="https://www.sec.gov/Archives/edgar/data/2098712/000119312525303950/d34728dex991.htm" TargetMode="External"/><Relationship Id="rId15" Type="http://schemas.openxmlformats.org/officeDocument/2006/relationships/hyperlink" Target="https://www.sec.gov/Archives/edgar/data/2098712/000119312525303950/d34728dex992.htm" TargetMode="External"/><Relationship Id="rId16" Type="http://schemas.openxmlformats.org/officeDocument/2006/relationships/hyperlink" Target="https://www.sec.gov/Archives/edgar/data/2098712/000119312525303950/d34728dex993.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82203</Words>
  <Characters>444161</Characters>
  <CharactersWithSpaces>525837</CharactersWithSpaces>
  <Paragraphs>3122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