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GigCapital7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Cayman Islands</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001-42262</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98-1790710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112" w:lineRule="exact"/>
        <w:rPr>
          <w:sz w:val="24"/>
          <w:szCs w:val="24"/>
          <w:color w:val="auto"/>
        </w:rPr>
      </w:pPr>
    </w:p>
    <w:p>
      <w:pPr>
        <w:sectPr>
          <w:pgSz w:w="11900" w:h="16838" w:orient="portrait"/>
          <w:cols w:equalWidth="0" w:num="3">
            <w:col w:w="3580" w:space="720"/>
            <w:col w:w="1620" w:space="720"/>
            <w:col w:w="23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1731 Embarcadero Rd., Suite 200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Palo Alto, CA 94303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4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3"/>
          <w:szCs w:val="13"/>
          <w:i w:val="1"/>
          <w:iCs w:val="1"/>
          <w:color w:val="auto"/>
        </w:rPr>
        <w:t>see</w:t>
      </w:r>
      <w:r>
        <w:rPr>
          <w:rFonts w:ascii="Times New Roman" w:cs="Times New Roman" w:eastAsia="Times New Roman" w:hAnsi="Times New Roman"/>
          <w:sz w:val="13"/>
          <w:szCs w:val="13"/>
          <w:color w:val="auto"/>
        </w:rPr>
        <w:t xml:space="preserv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 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Units, each consisting of one Class A ordinary</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GIGGU</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share and one redeemable warrant</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Class A ordinary shares, par value $0.0001 per</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GIG</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share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Redeemable warrants, each full warrant exercisable</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GIGGW</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for one Class A ordinary share at an exercise price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of $11.50 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80"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2"/>
          <w:szCs w:val="12"/>
          <w:color w:val="auto"/>
        </w:rPr>
        <w:t>As GigCapital7 Corp., a Cayman Islands exempted company (“</w:t>
      </w:r>
      <w:r>
        <w:rPr>
          <w:rFonts w:ascii="Times New Roman" w:cs="Times New Roman" w:eastAsia="Times New Roman" w:hAnsi="Times New Roman"/>
          <w:sz w:val="12"/>
          <w:szCs w:val="12"/>
          <w:u w:val="single" w:color="auto"/>
          <w:color w:val="auto"/>
        </w:rPr>
        <w:t>GigCapital7</w:t>
      </w:r>
      <w:r>
        <w:rPr>
          <w:rFonts w:ascii="Times New Roman" w:cs="Times New Roman" w:eastAsia="Times New Roman" w:hAnsi="Times New Roman"/>
          <w:sz w:val="12"/>
          <w:szCs w:val="12"/>
          <w:color w:val="auto"/>
        </w:rPr>
        <w:t>”), previously disclosed in its Current Report on Form 8-K filed with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on September 29, 2025, GigCapital7 entered into a Business Combination Agreement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dated as of September 27, 2025, by and among GigCapital7, MMR Merger Sub, Inc., a Delaware corporation and a direct wholly owned subsidiary of GigCapital7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Hadron Energy,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pursuant to which, among other things and subject to the terms and conditions contained therein, Merger Sub will merge with and into the Company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the Company continuing as the surviving company (the Company, in its capacity as the surviving corporation of the Merger, is sometimes referred to as the “</w:t>
      </w:r>
      <w:r>
        <w:rPr>
          <w:rFonts w:ascii="Times New Roman" w:cs="Times New Roman" w:eastAsia="Times New Roman" w:hAnsi="Times New Roman"/>
          <w:sz w:val="12"/>
          <w:szCs w:val="12"/>
          <w:u w:val="single" w:color="auto"/>
          <w:color w:val="auto"/>
        </w:rPr>
        <w:t>Surviving Company</w:t>
      </w:r>
      <w:r>
        <w:rPr>
          <w:rFonts w:ascii="Times New Roman" w:cs="Times New Roman" w:eastAsia="Times New Roman" w:hAnsi="Times New Roman"/>
          <w:sz w:val="12"/>
          <w:szCs w:val="12"/>
          <w:color w:val="auto"/>
        </w:rPr>
        <w:t>”). The Business Combination Agreement was subsequently amended by the First Amendment to Business Combination Agreement, dated as of December 12, 2025, by and among GigCapital7, Merger Sub, and the Company (the “</w:t>
      </w:r>
      <w:r>
        <w:rPr>
          <w:rFonts w:ascii="Times New Roman" w:cs="Times New Roman" w:eastAsia="Times New Roman" w:hAnsi="Times New Roman"/>
          <w:sz w:val="12"/>
          <w:szCs w:val="12"/>
          <w:u w:val="single" w:color="auto"/>
          <w:color w:val="auto"/>
        </w:rPr>
        <w:t>First Amendment</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Business Combination Agreement provides that the Aggregate Merger Consideration (as such term is defined in the Business Combination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to be issued for the securities of the Company shall be equal to (a)(i) the “Public Company (Pre-Capital Raise) Valuation”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$1,200,200,000, divided by (b) $10.59, less (b) 13,333,333 shares of Domesticated Purchaser Common Stock (as such term is defined in the Business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Combination), or a total of 100,000,000 shares of Domesticated Purchaser Common Stock, which at a nominal value of $10.00 per share would have 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valuation for the Company of $1 billion. On April 16, 2026, GigCapital7, Merger Sub, and the Company entered into a Second Amendment to Business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Combination Agreement (the “</w:t>
      </w:r>
      <w:r>
        <w:rPr>
          <w:rFonts w:ascii="Times New Roman" w:cs="Times New Roman" w:eastAsia="Times New Roman" w:hAnsi="Times New Roman"/>
          <w:sz w:val="12"/>
          <w:szCs w:val="12"/>
          <w:u w:val="single" w:color="auto"/>
          <w:color w:val="auto"/>
        </w:rPr>
        <w:t>Second Amendment</w:t>
      </w:r>
      <w:r>
        <w:rPr>
          <w:rFonts w:ascii="Times New Roman" w:cs="Times New Roman" w:eastAsia="Times New Roman" w:hAnsi="Times New Roman"/>
          <w:sz w:val="12"/>
          <w:szCs w:val="12"/>
          <w:color w:val="auto"/>
        </w:rPr>
        <w:t>”), which amends the Business Combination Agreement to (a) adjust the valuation of the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(b) extend the Outside Date. The Second Amendment amends the definition of “Public Company (Pre-Capital Raise) Valuation” set forth in Article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X of the Business Combination Agreement to mean $776,599,997, which has the effect of reducing the Aggregate Merger Consideration to be issued for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securities of the Company to 60,000,000 shares of Domesticated Purchaser Common Stock, which at a nominal value of $10.00 per share would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have a valuation for the Company of $600 million. The Second Amendment also amends Section 8.01(c) of the Business Combination Agreement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replace the date “April 30, 2026” with the date “May 31, 2026.” As a result, all references to the “Outside Date” in the Business Combination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now refer to May 31, 2026. Other than as modified by the Second Amendment, all terms, conditions, and provisions of the Business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Combination Agreement, as previously amended, remain in full force and effect.</w:t>
      </w:r>
    </w:p>
    <w:p>
      <w:pPr>
        <w:spacing w:after="0" w:line="141"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foregoing description of the Second Amendment does not purport to be complete and is qualified in its entirety by reference to the full text of the Second Amendment, a copy of which is filed as </w:t>
      </w:r>
      <w:r>
        <w:rPr>
          <w:rFonts w:ascii="Times New Roman" w:cs="Times New Roman" w:eastAsia="Times New Roman" w:hAnsi="Times New Roman"/>
          <w:sz w:val="13"/>
          <w:szCs w:val="13"/>
          <w:u w:val="single" w:color="auto"/>
          <w:color w:val="auto"/>
        </w:rPr>
        <w:t>Exhibit 2.1</w:t>
      </w:r>
      <w:r>
        <w:rPr>
          <w:rFonts w:ascii="Times New Roman" w:cs="Times New Roman" w:eastAsia="Times New Roman" w:hAnsi="Times New Roman"/>
          <w:sz w:val="13"/>
          <w:szCs w:val="13"/>
          <w:color w:val="auto"/>
        </w:rPr>
        <w:t xml:space="preserve"> to this Current Report and is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2.03</w:t>
      </w:r>
      <w:r>
        <w:rPr>
          <w:sz w:val="20"/>
          <w:szCs w:val="20"/>
          <w:color w:val="auto"/>
        </w:rPr>
        <w:tab/>
      </w:r>
      <w:r>
        <w:rPr>
          <w:rFonts w:ascii="Times New Roman" w:cs="Times New Roman" w:eastAsia="Times New Roman" w:hAnsi="Times New Roman"/>
          <w:sz w:val="13"/>
          <w:szCs w:val="13"/>
          <w:b w:val="1"/>
          <w:bCs w:val="1"/>
          <w:color w:val="auto"/>
        </w:rPr>
        <w:t>Creation of a Direct Financial Obligation or an Obligation under an Off-Balance Sheet Arrangement of a Registrant.</w:t>
      </w:r>
    </w:p>
    <w:p>
      <w:pPr>
        <w:spacing w:after="0" w:line="8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On April 16, 2026, GigCapital7 issued an amended and restated unsecured convertible promissory note (the “</w:t>
      </w:r>
      <w:r>
        <w:rPr>
          <w:rFonts w:ascii="Times New Roman" w:cs="Times New Roman" w:eastAsia="Times New Roman" w:hAnsi="Times New Roman"/>
          <w:sz w:val="13"/>
          <w:szCs w:val="13"/>
          <w:u w:val="single" w:color="auto"/>
          <w:color w:val="auto"/>
        </w:rPr>
        <w:t>Amended and Restated Working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Capital Note</w:t>
      </w:r>
      <w:r>
        <w:rPr>
          <w:rFonts w:ascii="Times New Roman" w:cs="Times New Roman" w:eastAsia="Times New Roman" w:hAnsi="Times New Roman"/>
          <w:sz w:val="13"/>
          <w:szCs w:val="13"/>
          <w:color w:val="auto"/>
        </w:rPr>
        <w:t>”) in the principal amount of $293,000.00 to GigAcquisitions7 Corp., a Cayman Islands exempted company (the “</w:t>
      </w:r>
      <w:r>
        <w:rPr>
          <w:rFonts w:ascii="Times New Roman" w:cs="Times New Roman" w:eastAsia="Times New Roman" w:hAnsi="Times New Roman"/>
          <w:sz w:val="13"/>
          <w:szCs w:val="13"/>
          <w:u w:val="single" w:color="auto"/>
          <w:color w:val="auto"/>
        </w:rPr>
        <w:t>Sponsor</w:t>
      </w:r>
      <w:r>
        <w:rPr>
          <w:rFonts w:ascii="Times New Roman" w:cs="Times New Roman" w:eastAsia="Times New Roman" w:hAnsi="Times New Roman"/>
          <w:sz w:val="13"/>
          <w:szCs w:val="13"/>
          <w:color w:val="auto"/>
        </w:rPr>
        <w:t>”). The Amended and Restated Working Capital Note amends, restates, supersedes and replaces that certain unsecured convertible promissory note dated January 30, 2026, in the principal amount of $148,000 previously issued by GigCapital7 to the Sponsor (the “</w:t>
      </w:r>
      <w:r>
        <w:rPr>
          <w:rFonts w:ascii="Times New Roman" w:cs="Times New Roman" w:eastAsia="Times New Roman" w:hAnsi="Times New Roman"/>
          <w:sz w:val="13"/>
          <w:szCs w:val="13"/>
          <w:u w:val="single" w:color="auto"/>
          <w:color w:val="auto"/>
        </w:rPr>
        <w:t>Prior Note</w:t>
      </w:r>
      <w:r>
        <w:rPr>
          <w:rFonts w:ascii="Times New Roman" w:cs="Times New Roman" w:eastAsia="Times New Roman" w:hAnsi="Times New Roman"/>
          <w:sz w:val="13"/>
          <w:szCs w:val="13"/>
          <w:color w:val="auto"/>
        </w:rPr>
        <w:t>”). The Company issued the Amended and Restated Working Capital Note in consideration for a loan from the Sponsor to fund GigCapital7’s working capital requirements. The Amended and Restated Working Capital Note is convertible at the Sponsor’s election upon the consummation of the initial business combination. Upon such election, the convertible note will convert, at a price of $10.00 per unit, into units identical to the private placement units issued in connection with the Company’s initial public offering.</w:t>
      </w:r>
    </w:p>
    <w:p>
      <w:pPr>
        <w:spacing w:after="0" w:line="13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Amended and Restated Working Capital Note bears no interest and is repayable in full upon the consummation of a business combination by GigCapital7, except that the Amended and Restated Working Capital Note may be converted, at the sole election of our Sponsor, into units of GigCapital7 at the consummation of GigCapital7’s initial business combination.</w:t>
      </w:r>
    </w:p>
    <w:p>
      <w:pPr>
        <w:spacing w:after="0" w:line="130"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A copy of the Amended and Restated Working Capital Note is attached as Exhibit 10.1 to this Current Report on Form 8-K and is incorporated herein by reference. The disclosure as set forth in this Item 2.03 is intended to be a summary only and is qualified in its entirely by reference to such Note.</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jc w:val="both"/>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On April 20, 2026, GigCapital7 and the Company issued a joint press release announcing, among other things, the reduction in valuation of the Company (the “</w:t>
      </w:r>
      <w:r>
        <w:rPr>
          <w:rFonts w:ascii="Times New Roman" w:cs="Times New Roman" w:eastAsia="Times New Roman" w:hAnsi="Times New Roman"/>
          <w:sz w:val="13"/>
          <w:szCs w:val="13"/>
          <w:u w:val="single" w:color="auto"/>
          <w:color w:val="auto"/>
        </w:rPr>
        <w:t>Press Release</w:t>
      </w:r>
      <w:r>
        <w:rPr>
          <w:rFonts w:ascii="Times New Roman" w:cs="Times New Roman" w:eastAsia="Times New Roman" w:hAnsi="Times New Roman"/>
          <w:sz w:val="13"/>
          <w:szCs w:val="13"/>
          <w:color w:val="auto"/>
        </w:rPr>
        <w:t>”). A copy of the Press Release is attached to this Current Report as Exhibit.</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7.01 (including Exhibit 99.1) is being furnished pursuant to Item 7.01 and will not be deemed to be filed for purposes of Section 18 of the Securities Act of 1934, as amended (the “Exchange Act”), or otherwise subject to the liabilities of that section, nor will it be deemed incorporated by reference in any filing of GigCapital7 under the Securities Act, or the Exchange Act, regardless of any general incorporation language in such filings.</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i w:val="1"/>
          <w:iCs w:val="1"/>
          <w:color w:val="auto"/>
        </w:rPr>
        <w:t>Investor Presentation</w:t>
      </w:r>
    </w:p>
    <w:p>
      <w:pPr>
        <w:spacing w:after="0" w:line="8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In connection with the issuance of the Press Release, on April 20, 2026, GigCapital7 also made available an updated investor presentation reflecting the revised terms of the Business Combination Agreement, including the reduction of the Aggregate Merger Consideration to be issued for the securities of the Company to 60,000,000 shares of Domesticated Purchaser Common Stock, which at a nominal value of $10.00 per share would have a valuation for the Company of $600 million. A copy of the investor presentation is furnished as Exhibit 99.2 to this Current Report on Form 8-K and incorporated herein by reference.</w:t>
      </w: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i w:val="1"/>
          <w:iCs w:val="1"/>
          <w:color w:val="auto"/>
        </w:rPr>
        <w:t>Supplement to the Proxy Statement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On April 15, 2026, GigCapital7 filed its proxy statement/prospectus (the “</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for the solicitation of proxies in connection with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upcoming extraordinary general meeting (the “</w:t>
      </w:r>
      <w:r>
        <w:rPr>
          <w:rFonts w:ascii="Times New Roman" w:cs="Times New Roman" w:eastAsia="Times New Roman" w:hAnsi="Times New Roman"/>
          <w:sz w:val="13"/>
          <w:szCs w:val="13"/>
          <w:u w:val="single" w:color="auto"/>
          <w:color w:val="auto"/>
        </w:rPr>
        <w:t>Extraordinary General Meeting</w:t>
      </w:r>
      <w:r>
        <w:rPr>
          <w:rFonts w:ascii="Times New Roman" w:cs="Times New Roman" w:eastAsia="Times New Roman" w:hAnsi="Times New Roman"/>
          <w:sz w:val="13"/>
          <w:szCs w:val="13"/>
          <w:color w:val="auto"/>
        </w:rPr>
        <w:t>”) to consider and vote on its proposed business combination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and other matters as described in the registration statement and a prospectus relating to the offer of the securities to be issued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stockholders of the Company in connection with the Business Combination.</w:t>
      </w:r>
    </w:p>
    <w:p>
      <w:pPr>
        <w:spacing w:after="0" w:line="141"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GigCapital7 has decided to supplement the Proxy Statement (the “</w:t>
      </w:r>
      <w:r>
        <w:rPr>
          <w:rFonts w:ascii="Times New Roman" w:cs="Times New Roman" w:eastAsia="Times New Roman" w:hAnsi="Times New Roman"/>
          <w:sz w:val="13"/>
          <w:szCs w:val="13"/>
          <w:u w:val="single" w:color="auto"/>
          <w:color w:val="auto"/>
        </w:rPr>
        <w:t>Proxy Supplement</w:t>
      </w:r>
      <w:r>
        <w:rPr>
          <w:rFonts w:ascii="Times New Roman" w:cs="Times New Roman" w:eastAsia="Times New Roman" w:hAnsi="Times New Roman"/>
          <w:sz w:val="13"/>
          <w:szCs w:val="13"/>
          <w:color w:val="auto"/>
        </w:rPr>
        <w:t>”) to provide updated information about the Second Amendment and the Amended and Restated Promissory Note. There is no change to the date, location, the record date, redemption deadline or any of the other proposals to be acted upon at the Extraordinary General Meeting.</w:t>
      </w:r>
    </w:p>
    <w:p>
      <w:pPr>
        <w:spacing w:after="0" w:line="130"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Stockholders who have previously submitted their proxies or otherwise voted and who do not want to change their vote need not take any action. Stockholders as of the April 15, 2026, record date can vote, even if they have subsequently sold their shares. Stockholders who wish to withdraw their previously submitted redemption requests may do so prior to the Extraordinary General Meeting by requesting that the transfer agent return such shares prior to the Extraordinary General Meeting.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copy of the Proxy Supplement is filed herewith as Exhibit 99.3 and is incorporated to herein by reference.</w:t>
      </w:r>
    </w:p>
    <w:p>
      <w:pPr>
        <w:spacing w:after="0" w:line="154" w:lineRule="exact"/>
        <w:rPr>
          <w:sz w:val="20"/>
          <w:szCs w:val="20"/>
          <w:color w:val="auto"/>
        </w:rPr>
      </w:pPr>
    </w:p>
    <w:p>
      <w:pPr>
        <w:ind w:left="640" w:right="639" w:firstLine="309"/>
        <w:spacing w:after="0" w:line="251" w:lineRule="auto"/>
        <w:rPr>
          <w:sz w:val="20"/>
          <w:szCs w:val="20"/>
          <w:color w:val="auto"/>
        </w:rPr>
      </w:pPr>
      <w:r>
        <w:rPr>
          <w:rFonts w:ascii="Times New Roman" w:cs="Times New Roman" w:eastAsia="Times New Roman" w:hAnsi="Times New Roman"/>
          <w:sz w:val="13"/>
          <w:szCs w:val="13"/>
          <w:color w:val="auto"/>
        </w:rPr>
        <w:t>The information in this Item 8.01 (including Exhibits 99.2 and 99.3) is being furnished and shall not be deemed “filed” for purposes of Section 18 of the Securities Exchange Act of 1934, as amended (the “</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or the Exchange Act, except as shall be expressly set forth by specific reference in such a filing.</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708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70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(d) Exhibits:</w:t>
            </w:r>
          </w:p>
        </w:tc>
      </w:tr>
      <w:tr>
        <w:trPr>
          <w:trHeight w:val="275"/>
        </w:trPr>
        <w:tc>
          <w:tcPr>
            <w:tcW w:w="6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88"/>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7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w w:val="96"/>
              </w:rPr>
              <w:t>Second Amendment to Business Combination Agreement, dated as of April 16, 2026, by and among GigCapital7 Corp., MMR Merger Sub,</w:t>
            </w:r>
          </w:p>
        </w:tc>
      </w:tr>
      <w:tr>
        <w:trPr>
          <w:trHeight w:val="132"/>
        </w:trPr>
        <w:tc>
          <w:tcPr>
            <w:tcW w:w="620" w:type="dxa"/>
            <w:vAlign w:val="bottom"/>
          </w:tcPr>
          <w:p>
            <w:pPr>
              <w:spacing w:after="0"/>
              <w:rPr>
                <w:sz w:val="11"/>
                <w:szCs w:val="11"/>
                <w:color w:val="auto"/>
              </w:rPr>
            </w:pPr>
          </w:p>
        </w:tc>
        <w:tc>
          <w:tcPr>
            <w:tcW w:w="7080" w:type="dxa"/>
            <w:vAlign w:val="bottom"/>
            <w:gridSpan w:val="8"/>
          </w:tcPr>
          <w:p>
            <w:pPr>
              <w:spacing w:after="0" w:line="132" w:lineRule="exact"/>
              <w:rPr>
                <w:sz w:val="20"/>
                <w:szCs w:val="20"/>
                <w:color w:val="auto"/>
              </w:rPr>
            </w:pPr>
            <w:r>
              <w:rPr>
                <w:rFonts w:ascii="Times New Roman" w:cs="Times New Roman" w:eastAsia="Times New Roman" w:hAnsi="Times New Roman"/>
                <w:sz w:val="13"/>
                <w:szCs w:val="13"/>
                <w:color w:val="0000EE"/>
              </w:rPr>
              <w:t>Inc., and Hadron Energy, Inc.</w:t>
            </w:r>
          </w:p>
        </w:tc>
      </w:tr>
      <w:tr>
        <w:trPr>
          <w:trHeight w:val="20"/>
        </w:trPr>
        <w:tc>
          <w:tcPr>
            <w:tcW w:w="6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6"/>
              </w:rPr>
              <w:t>Amended and Restated Promissory Note, dated April 16, 2026</w:t>
            </w:r>
          </w:p>
        </w:tc>
        <w:tc>
          <w:tcPr>
            <w:tcW w:w="3920" w:type="dxa"/>
            <w:vAlign w:val="bottom"/>
            <w:gridSpan w:val="3"/>
          </w:tcPr>
          <w:p>
            <w:pPr>
              <w:spacing w:after="0"/>
              <w:rPr>
                <w:sz w:val="18"/>
                <w:szCs w:val="18"/>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7080" w:type="dxa"/>
            <w:vAlign w:val="bottom"/>
            <w:gridSpan w:val="8"/>
          </w:tcPr>
          <w:p>
            <w:pPr>
              <w:spacing w:after="0"/>
              <w:rPr>
                <w:sz w:val="20"/>
                <w:szCs w:val="20"/>
                <w:color w:val="auto"/>
              </w:rPr>
            </w:pPr>
            <w:r>
              <w:rPr>
                <w:rFonts w:ascii="Times New Roman" w:cs="Times New Roman" w:eastAsia="Times New Roman" w:hAnsi="Times New Roman"/>
                <w:sz w:val="13"/>
                <w:szCs w:val="13"/>
                <w:color w:val="0000EE"/>
              </w:rPr>
              <w:t>Press Release dated April 20, 2026</w:t>
            </w: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1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5"/>
              </w:rPr>
              <w:t>Investor Presentation, April 2026</w:t>
            </w:r>
          </w:p>
        </w:tc>
        <w:tc>
          <w:tcPr>
            <w:tcW w:w="80" w:type="dxa"/>
            <w:vAlign w:val="bottom"/>
            <w:tcBorders>
              <w:top w:val="single" w:sz="8" w:color="0000EE"/>
            </w:tcBorders>
          </w:tcPr>
          <w:p>
            <w:pPr>
              <w:spacing w:after="0"/>
              <w:rPr>
                <w:sz w:val="18"/>
                <w:szCs w:val="18"/>
                <w:color w:val="auto"/>
              </w:rPr>
            </w:pPr>
          </w:p>
        </w:tc>
        <w:tc>
          <w:tcPr>
            <w:tcW w:w="5320" w:type="dxa"/>
            <w:vAlign w:val="bottom"/>
            <w:gridSpan w:val="5"/>
          </w:tcPr>
          <w:p>
            <w:pPr>
              <w:spacing w:after="0"/>
              <w:rPr>
                <w:sz w:val="18"/>
                <w:szCs w:val="18"/>
                <w:color w:val="auto"/>
              </w:rPr>
            </w:pPr>
          </w:p>
        </w:tc>
      </w:t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2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Proxy Supplement, dated as of April 20, 2026</w:t>
            </w:r>
          </w:p>
        </w:tc>
        <w:tc>
          <w:tcPr>
            <w:tcW w:w="4760" w:type="dxa"/>
            <w:vAlign w:val="bottom"/>
            <w:gridSpan w:val="4"/>
          </w:tcPr>
          <w:p>
            <w:pPr>
              <w:spacing w:after="0"/>
              <w:rPr>
                <w:sz w:val="18"/>
                <w:szCs w:val="18"/>
                <w:color w:val="auto"/>
              </w:rPr>
            </w:pPr>
          </w:p>
        </w:tc>
      </w:tr>
      <w:tr>
        <w:trPr>
          <w:trHeight w:val="236"/>
        </w:trPr>
        <w:tc>
          <w:tcPr>
            <w:tcW w:w="6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70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Dated: April 20, 2026</w:t>
            </w:r>
          </w:p>
        </w:tc>
        <w:tc>
          <w:tcPr>
            <w:tcW w:w="5260" w:type="dxa"/>
            <w:vAlign w:val="bottom"/>
            <w:gridSpan w:val="2"/>
          </w:tcPr>
          <w:p>
            <w:pPr>
              <w:ind w:left="1400"/>
              <w:spacing w:after="0"/>
              <w:rPr>
                <w:sz w:val="20"/>
                <w:szCs w:val="20"/>
                <w:color w:val="auto"/>
              </w:rPr>
            </w:pPr>
            <w:r>
              <w:rPr>
                <w:rFonts w:ascii="Times New Roman" w:cs="Times New Roman" w:eastAsia="Times New Roman" w:hAnsi="Times New Roman"/>
                <w:sz w:val="13"/>
                <w:szCs w:val="13"/>
                <w:b w:val="1"/>
                <w:bCs w:val="1"/>
                <w:color w:val="auto"/>
              </w:rPr>
              <w:t>GIGCAPITAL7 CORP.</w:t>
            </w:r>
          </w:p>
        </w:tc>
      </w:tr>
      <w:tr>
        <w:trPr>
          <w:trHeight w:val="303"/>
        </w:trPr>
        <w:tc>
          <w:tcPr>
            <w:tcW w:w="2480" w:type="dxa"/>
            <w:vAlign w:val="bottom"/>
          </w:tcPr>
          <w:p>
            <w:pPr>
              <w:spacing w:after="0"/>
              <w:rPr>
                <w:sz w:val="24"/>
                <w:szCs w:val="2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Dr. Avi S. Katz</w:t>
            </w:r>
          </w:p>
        </w:tc>
      </w:tr>
      <w:tr>
        <w:trPr>
          <w:trHeight w:val="138"/>
        </w:trPr>
        <w:tc>
          <w:tcPr>
            <w:tcW w:w="2480" w:type="dxa"/>
            <w:vAlign w:val="bottom"/>
          </w:tcPr>
          <w:p>
            <w:pPr>
              <w:spacing w:after="0"/>
              <w:rPr>
                <w:sz w:val="11"/>
                <w:szCs w:val="11"/>
                <w:color w:val="auto"/>
              </w:rPr>
            </w:pPr>
          </w:p>
        </w:tc>
        <w:tc>
          <w:tcPr>
            <w:tcW w:w="1840" w:type="dxa"/>
            <w:vAlign w:val="bottom"/>
          </w:tcPr>
          <w:p>
            <w:pPr>
              <w:ind w:left="140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Dr. Avi S. Katz</w:t>
            </w:r>
          </w:p>
        </w:tc>
      </w:tr>
      <w:tr>
        <w:trPr>
          <w:trHeight w:val="165"/>
        </w:trPr>
        <w:tc>
          <w:tcPr>
            <w:tcW w:w="2480" w:type="dxa"/>
            <w:vAlign w:val="bottom"/>
          </w:tcPr>
          <w:p>
            <w:pPr>
              <w:spacing w:after="0"/>
              <w:rPr>
                <w:sz w:val="14"/>
                <w:szCs w:val="14"/>
                <w:color w:val="auto"/>
              </w:rPr>
            </w:pPr>
          </w:p>
        </w:tc>
        <w:tc>
          <w:tcPr>
            <w:tcW w:w="184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9019"/>
          </w:cols>
          <w:pgMar w:left="1440" w:top="248"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SECOND AMENDMENT TO BUSINESS COMBINATION AGREEMENT</w:t>
      </w:r>
    </w:p>
    <w:p>
      <w:pPr>
        <w:spacing w:after="0" w:line="156"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This Second Amendment to Business Combination Agreement (this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is entered into as of April 16, 2026, by and among GigCapital7 Corp., a Cayman Islands exempted company (which shall transfer by way of continuation and domesticate as a Delaware corporation prior to Closing) (“</w:t>
      </w:r>
      <w:r>
        <w:rPr>
          <w:rFonts w:ascii="Times New Roman" w:cs="Times New Roman" w:eastAsia="Times New Roman" w:hAnsi="Times New Roman"/>
          <w:sz w:val="13"/>
          <w:szCs w:val="13"/>
          <w:u w:val="single" w:color="auto"/>
          <w:color w:val="auto"/>
        </w:rPr>
        <w:t>Purchaser</w:t>
      </w:r>
      <w:r>
        <w:rPr>
          <w:rFonts w:ascii="Times New Roman" w:cs="Times New Roman" w:eastAsia="Times New Roman" w:hAnsi="Times New Roman"/>
          <w:sz w:val="13"/>
          <w:szCs w:val="13"/>
          <w:color w:val="auto"/>
        </w:rPr>
        <w:t>”), MMR Merger Sub, Inc., a Delaware corporation and a direct wholly owned subsidiary of Purchaser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and Hadron Energy,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and together with Purchaser and Merger Sub,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and each,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Capitalized terms used but not defined herein shall have the meanings ascribed to such terms in the Business Combination Agreement (as defined below).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759" w:firstLine="309"/>
        <w:spacing w:after="0" w:line="286" w:lineRule="auto"/>
        <w:rPr>
          <w:sz w:val="20"/>
          <w:szCs w:val="20"/>
          <w:color w:val="auto"/>
        </w:rPr>
      </w:pPr>
      <w:r>
        <w:rPr>
          <w:rFonts w:ascii="Times New Roman" w:cs="Times New Roman" w:eastAsia="Times New Roman" w:hAnsi="Times New Roman"/>
          <w:sz w:val="12"/>
          <w:szCs w:val="12"/>
          <w:color w:val="auto"/>
        </w:rPr>
        <w:t>WHEREAS, the Parties are parties to that certain Business Combination Agreement, dated as of September 27, 2025, as amended by that First Amendment to Business Combination Agreement dated December 12, 2025 (together,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BCA</w:t>
      </w:r>
      <w:r>
        <w:rPr>
          <w:rFonts w:ascii="Times New Roman" w:cs="Times New Roman" w:eastAsia="Times New Roman" w:hAnsi="Times New Roman"/>
          <w:sz w:val="12"/>
          <w:szCs w:val="12"/>
          <w:color w:val="auto"/>
        </w:rPr>
        <w:t>”), pursuant to which the Company intends to merge with Merger Sub, with the Company surviving the merger as a wholly owned subsidiary of Purchaser;</w:t>
      </w:r>
    </w:p>
    <w:p>
      <w:pPr>
        <w:spacing w:after="0" w:line="113" w:lineRule="exact"/>
        <w:rPr>
          <w:sz w:val="20"/>
          <w:szCs w:val="20"/>
          <w:color w:val="auto"/>
        </w:rPr>
      </w:pPr>
    </w:p>
    <w:p>
      <w:pPr>
        <w:ind w:left="640" w:right="1159" w:firstLine="309"/>
        <w:spacing w:after="0" w:line="267" w:lineRule="auto"/>
        <w:rPr>
          <w:sz w:val="20"/>
          <w:szCs w:val="20"/>
          <w:color w:val="auto"/>
        </w:rPr>
      </w:pPr>
      <w:r>
        <w:rPr>
          <w:rFonts w:ascii="Times New Roman" w:cs="Times New Roman" w:eastAsia="Times New Roman" w:hAnsi="Times New Roman"/>
          <w:sz w:val="13"/>
          <w:szCs w:val="13"/>
          <w:color w:val="auto"/>
        </w:rPr>
        <w:t>WHEREAS, Section 9.10 of the BCA provides that the BCA may be amended, supplemented or modified only by execution of a written instrument signed by Purchaser and the Company;</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Effective Time has not occurred as of the date hereof; and</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WHEREAS, the Parties desire to amend the BCA to (a) adjust the valuation of the Company, and (b) extend the Outside Date, in each case as set forth herein.</w:t>
      </w:r>
    </w:p>
    <w:p>
      <w:pPr>
        <w:spacing w:after="0" w:line="122"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mutual promises and the covenants set forth herein and for other good and valuable consideration, the receipt and sufficiency of which are hereby acknowledged, the Parties agree as follows: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w:t>
      </w:r>
    </w:p>
    <w:p>
      <w:pPr>
        <w:spacing w:after="0" w:line="154" w:lineRule="exact"/>
        <w:rPr>
          <w:sz w:val="20"/>
          <w:szCs w:val="20"/>
          <w:color w:val="auto"/>
        </w:rPr>
      </w:pPr>
    </w:p>
    <w:p>
      <w:pPr>
        <w:ind w:left="640" w:right="919" w:firstLine="307"/>
        <w:spacing w:after="0" w:line="270" w:lineRule="auto"/>
        <w:tabs>
          <w:tab w:leader="none" w:pos="1076" w:val="left"/>
        </w:tabs>
        <w:numPr>
          <w:ilvl w:val="0"/>
          <w:numId w:val="3"/>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Amendment to definition of “Public Company (Pre-Capital Raise) Valuation”.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definition of “Public Company (Pre-Capital Raise)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Valuation” set forth in Article X of the BCA is hereby amended and restated in its entirety as follows:</w:t>
      </w:r>
    </w:p>
    <w:p>
      <w:pPr>
        <w:spacing w:after="0" w:line="121"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Public Company (Pre-Capital Raise) Valuation</w:t>
      </w:r>
      <w:r>
        <w:rPr>
          <w:rFonts w:ascii="Times New Roman" w:cs="Times New Roman" w:eastAsia="Times New Roman" w:hAnsi="Times New Roman"/>
          <w:sz w:val="13"/>
          <w:szCs w:val="13"/>
          <w:color w:val="auto"/>
        </w:rPr>
        <w:t>” means $776,599,997 (Seven Hundred Seventy-Six Million Five Hundred Ninety-Nine Thousand Nine Hundred Ninety-Seven United States Dollars).</w:t>
      </w:r>
    </w:p>
    <w:p>
      <w:pPr>
        <w:spacing w:after="0" w:line="120" w:lineRule="exact"/>
        <w:rPr>
          <w:sz w:val="20"/>
          <w:szCs w:val="20"/>
          <w:color w:val="auto"/>
        </w:rPr>
      </w:pPr>
    </w:p>
    <w:p>
      <w:pPr>
        <w:ind w:left="640" w:right="879" w:firstLine="307"/>
        <w:spacing w:after="0" w:line="270" w:lineRule="auto"/>
        <w:tabs>
          <w:tab w:leader="none" w:pos="1076" w:val="left"/>
        </w:tabs>
        <w:numPr>
          <w:ilvl w:val="0"/>
          <w:numId w:val="4"/>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Amendment to Outside Date</w:t>
      </w:r>
      <w:r>
        <w:rPr>
          <w:rFonts w:ascii="Times New Roman" w:cs="Times New Roman" w:eastAsia="Times New Roman" w:hAnsi="Times New Roman"/>
          <w:sz w:val="13"/>
          <w:szCs w:val="13"/>
          <w:color w:val="auto"/>
        </w:rPr>
        <w:t>. Section 8.01(c) of the Business Combination Agreement is hereby amended by replacing the date “April 30,</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2026” with the date “May 31, 2026”. All references to the “Outside Date” in the BCA shall be deemed to refer to May 31, 2026.</w:t>
      </w:r>
    </w:p>
    <w:p>
      <w:pPr>
        <w:sectPr>
          <w:pgSz w:w="11900" w:h="16838" w:orient="portrait"/>
          <w:cols w:equalWidth="0" w:num="1">
            <w:col w:w="9019"/>
          </w:cols>
          <w:pgMar w:left="1440" w:top="125" w:right="1440" w:bottom="1440" w:gutter="0" w:footer="0" w:header="0"/>
        </w:sectPr>
      </w:pPr>
    </w:p>
    <w:bookmarkStart w:id="5" w:name="page6"/>
    <w:bookmarkEnd w:id="5"/>
    <w:p>
      <w:pPr>
        <w:jc w:val="both"/>
        <w:ind w:left="640" w:right="699" w:firstLine="307"/>
        <w:spacing w:after="0" w:line="257" w:lineRule="auto"/>
        <w:tabs>
          <w:tab w:leader="none" w:pos="1076" w:val="left"/>
        </w:tabs>
        <w:numPr>
          <w:ilvl w:val="0"/>
          <w:numId w:val="5"/>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Other Amendments</w:t>
      </w:r>
      <w:r>
        <w:rPr>
          <w:rFonts w:ascii="Times New Roman" w:cs="Times New Roman" w:eastAsia="Times New Roman" w:hAnsi="Times New Roman"/>
          <w:sz w:val="13"/>
          <w:szCs w:val="13"/>
          <w:color w:val="auto"/>
        </w:rPr>
        <w:t>. Except as expressly set forth in this Amendment, all terms, conditions and provisions of the BCA shall remain in full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force and effect and are hereby confirmed and ratified. In the event of any conflict between the terms of this Amendment and the BCA, the terms of this Amendment shall control.</w:t>
      </w:r>
    </w:p>
    <w:p>
      <w:pPr>
        <w:spacing w:after="0" w:line="126" w:lineRule="exact"/>
        <w:rPr>
          <w:rFonts w:ascii="Times New Roman" w:cs="Times New Roman" w:eastAsia="Times New Roman" w:hAnsi="Times New Roman"/>
          <w:sz w:val="13"/>
          <w:szCs w:val="13"/>
          <w:b w:val="1"/>
          <w:bCs w:val="1"/>
          <w:u w:val="single" w:color="auto"/>
          <w:color w:val="auto"/>
        </w:rPr>
      </w:pPr>
    </w:p>
    <w:p>
      <w:pPr>
        <w:ind w:left="1080" w:hanging="133"/>
        <w:spacing w:after="0"/>
        <w:tabs>
          <w:tab w:leader="none" w:pos="1080" w:val="left"/>
        </w:tabs>
        <w:numPr>
          <w:ilvl w:val="0"/>
          <w:numId w:val="5"/>
        </w:numPr>
        <w:rPr>
          <w:rFonts w:ascii="Times New Roman" w:cs="Times New Roman" w:eastAsia="Times New Roman" w:hAnsi="Times New Roman"/>
          <w:sz w:val="13"/>
          <w:szCs w:val="13"/>
          <w:b w:val="1"/>
          <w:bCs w:val="1"/>
          <w:u w:val="single" w:color="auto"/>
          <w:color w:val="auto"/>
        </w:rPr>
      </w:pPr>
      <w:r>
        <w:rPr>
          <w:rFonts w:ascii="Times New Roman" w:cs="Times New Roman" w:eastAsia="Times New Roman" w:hAnsi="Times New Roman"/>
          <w:sz w:val="13"/>
          <w:szCs w:val="13"/>
          <w:b w:val="1"/>
          <w:bCs w:val="1"/>
          <w:u w:val="single" w:color="auto"/>
          <w:color w:val="auto"/>
        </w:rPr>
        <w:t>Interpretation</w:t>
      </w:r>
      <w:r>
        <w:rPr>
          <w:rFonts w:ascii="Times New Roman" w:cs="Times New Roman" w:eastAsia="Times New Roman" w:hAnsi="Times New Roman"/>
          <w:sz w:val="13"/>
          <w:szCs w:val="13"/>
          <w:color w:val="auto"/>
        </w:rPr>
        <w:t>. The rules of construction set forth in Section 9.12 of the BCA are incorporated herein by reference, mutatis mutandis.</w:t>
      </w:r>
    </w:p>
    <w:p>
      <w:pPr>
        <w:spacing w:after="0" w:line="153" w:lineRule="exact"/>
        <w:rPr>
          <w:rFonts w:ascii="Times New Roman" w:cs="Times New Roman" w:eastAsia="Times New Roman" w:hAnsi="Times New Roman"/>
          <w:sz w:val="13"/>
          <w:szCs w:val="13"/>
          <w:b w:val="1"/>
          <w:bCs w:val="1"/>
          <w:u w:val="single" w:color="auto"/>
          <w:color w:val="auto"/>
        </w:rPr>
      </w:pPr>
    </w:p>
    <w:p>
      <w:pPr>
        <w:ind w:left="640" w:right="719" w:firstLine="307"/>
        <w:spacing w:after="0" w:line="280" w:lineRule="auto"/>
        <w:tabs>
          <w:tab w:leader="none" w:pos="1076" w:val="left"/>
        </w:tabs>
        <w:numPr>
          <w:ilvl w:val="0"/>
          <w:numId w:val="5"/>
        </w:numPr>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t>Governing Law; Jurisdiction; Specific Performance</w:t>
      </w:r>
      <w:r>
        <w:rPr>
          <w:rFonts w:ascii="Times New Roman" w:cs="Times New Roman" w:eastAsia="Times New Roman" w:hAnsi="Times New Roman"/>
          <w:sz w:val="12"/>
          <w:szCs w:val="12"/>
          <w:color w:val="auto"/>
        </w:rPr>
        <w:t>. This Amendment shall be governed by, and construed in accordance with, the Laws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State of Delaware, without giving effect to principles or rules of conflict of Laws to the extent such principles or rules would require or permit the application of Laws of another jurisdiction; provided that, for the avoidance of doubt, the Laws of the Cayman Islands shall also apply to and, as applicable, govern the Domestication. The provisions of Sections 9.06 and 9.08 of the BCA shall apply to this Amendment as if set forth herein in full.</w:t>
      </w:r>
    </w:p>
    <w:p>
      <w:pPr>
        <w:spacing w:after="0" w:line="114" w:lineRule="exact"/>
        <w:rPr>
          <w:rFonts w:ascii="Times New Roman" w:cs="Times New Roman" w:eastAsia="Times New Roman" w:hAnsi="Times New Roman"/>
          <w:sz w:val="12"/>
          <w:szCs w:val="12"/>
          <w:b w:val="1"/>
          <w:bCs w:val="1"/>
          <w:u w:val="single" w:color="auto"/>
          <w:color w:val="auto"/>
        </w:rPr>
      </w:pPr>
    </w:p>
    <w:p>
      <w:pPr>
        <w:ind w:left="640" w:right="1099" w:firstLine="307"/>
        <w:spacing w:after="0" w:line="313" w:lineRule="auto"/>
        <w:tabs>
          <w:tab w:leader="none" w:pos="1076" w:val="left"/>
        </w:tabs>
        <w:numPr>
          <w:ilvl w:val="0"/>
          <w:numId w:val="5"/>
        </w:numPr>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t>Counterparts; Electronic Signatures</w:t>
      </w:r>
      <w:r>
        <w:rPr>
          <w:rFonts w:ascii="Times New Roman" w:cs="Times New Roman" w:eastAsia="Times New Roman" w:hAnsi="Times New Roman"/>
          <w:sz w:val="12"/>
          <w:szCs w:val="12"/>
          <w:color w:val="auto"/>
        </w:rPr>
        <w:t>. This Amendment may be executed and delivered (including by DocuSign or other electronic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transmission) in counterparts, each of which shall be deemed an original, and all of which together shall constitute one and the same instrument.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29" w:right="1440" w:bottom="1440" w:gutter="0" w:footer="0" w:header="0"/>
        </w:sectPr>
      </w:pPr>
    </w:p>
    <w:bookmarkStart w:id="6" w:name="page7"/>
    <w:bookmarkEnd w:id="6"/>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have caused this Amendment to be executed as of the date first written above by their respective duly authorized officers.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THE PURCHASER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GIGCAPITAL7 CORP.</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Dr. Avi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Dr. Avi Katz</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MERGER SUB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MMR MERGER SUB,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Dr. Raluca Dinu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Dr. Raluca Dinu</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u w:val="single" w:color="auto"/>
          <w:color w:val="auto"/>
        </w:rPr>
        <w:t>THE COMPANY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HADRON ENERGY,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9525</wp:posOffset>
            </wp:positionV>
            <wp:extent cx="17995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 Samuel Gibson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 Founder &amp; CEO</w:t>
      </w:r>
    </w:p>
    <w:p>
      <w:pPr>
        <w:sectPr>
          <w:pgSz w:w="11900" w:h="16838" w:orient="portrait"/>
          <w:cols w:equalWidth="0" w:num="1">
            <w:col w:w="9019"/>
          </w:cols>
          <w:pgMar w:left="1440" w:top="231" w:right="1440" w:bottom="1440" w:gutter="0" w:footer="0" w:header="0"/>
        </w:sectPr>
      </w:pPr>
    </w:p>
    <w:bookmarkStart w:id="7" w:name="page8"/>
    <w:bookmarkEnd w:id="7"/>
    <w:p>
      <w:pPr>
        <w:ind w:left="7720"/>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167"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PROMISSORY NOTE</w:t>
      </w:r>
    </w:p>
    <w:p>
      <w:pPr>
        <w:spacing w:after="0" w:line="15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April 16,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Principal Amount: $293,000</w:t>
      </w:r>
    </w:p>
    <w:p>
      <w:pPr>
        <w:spacing w:after="0" w:line="152" w:lineRule="exact"/>
        <w:rPr>
          <w:sz w:val="20"/>
          <w:szCs w:val="20"/>
          <w:color w:val="auto"/>
        </w:rPr>
      </w:pPr>
    </w:p>
    <w:p>
      <w:pPr>
        <w:ind w:left="640" w:right="699"/>
        <w:spacing w:after="0" w:line="250" w:lineRule="auto"/>
        <w:rPr>
          <w:sz w:val="20"/>
          <w:szCs w:val="20"/>
          <w:color w:val="auto"/>
        </w:rPr>
      </w:pPr>
      <w:r>
        <w:rPr>
          <w:rFonts w:ascii="Times New Roman" w:cs="Times New Roman" w:eastAsia="Times New Roman" w:hAnsi="Times New Roman"/>
          <w:sz w:val="13"/>
          <w:szCs w:val="13"/>
          <w:color w:val="auto"/>
        </w:rPr>
        <w:t>GigCapital7 Corp., a Cayman Islands exempted company (the “</w:t>
      </w:r>
      <w:r>
        <w:rPr>
          <w:rFonts w:ascii="Times New Roman" w:cs="Times New Roman" w:eastAsia="Times New Roman" w:hAnsi="Times New Roman"/>
          <w:sz w:val="13"/>
          <w:szCs w:val="13"/>
          <w:b w:val="1"/>
          <w:bCs w:val="1"/>
          <w:color w:val="auto"/>
        </w:rPr>
        <w:t>Maker</w:t>
      </w:r>
      <w:r>
        <w:rPr>
          <w:rFonts w:ascii="Times New Roman" w:cs="Times New Roman" w:eastAsia="Times New Roman" w:hAnsi="Times New Roman"/>
          <w:sz w:val="13"/>
          <w:szCs w:val="13"/>
          <w:color w:val="auto"/>
        </w:rPr>
        <w:t>”), promises to pay to the order of GigAcquisitions7 Corp., a Cayman Islands exempted company, or its registered assigns or successors in interest (the “</w:t>
      </w:r>
      <w:r>
        <w:rPr>
          <w:rFonts w:ascii="Times New Roman" w:cs="Times New Roman" w:eastAsia="Times New Roman" w:hAnsi="Times New Roman"/>
          <w:sz w:val="13"/>
          <w:szCs w:val="13"/>
          <w:b w:val="1"/>
          <w:bCs w:val="1"/>
          <w:color w:val="auto"/>
        </w:rPr>
        <w:t>Payee</w:t>
      </w:r>
      <w:r>
        <w:rPr>
          <w:rFonts w:ascii="Times New Roman" w:cs="Times New Roman" w:eastAsia="Times New Roman" w:hAnsi="Times New Roman"/>
          <w:sz w:val="13"/>
          <w:szCs w:val="13"/>
          <w:color w:val="auto"/>
        </w:rPr>
        <w:t>”), or order, the principal sum of Two Hundred and Ninety-Three Thousand Dollars ($293,000.00)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31" w:lineRule="exact"/>
        <w:rPr>
          <w:sz w:val="20"/>
          <w:szCs w:val="20"/>
          <w:color w:val="auto"/>
        </w:rPr>
      </w:pPr>
    </w:p>
    <w:p>
      <w:pPr>
        <w:ind w:left="640" w:right="819" w:hanging="3"/>
        <w:spacing w:after="0" w:line="252" w:lineRule="auto"/>
        <w:tabs>
          <w:tab w:leader="none" w:pos="766"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Principal. </w:t>
      </w:r>
      <w:r>
        <w:rPr>
          <w:rFonts w:ascii="Times New Roman" w:cs="Times New Roman" w:eastAsia="Times New Roman" w:hAnsi="Times New Roman"/>
          <w:sz w:val="13"/>
          <w:szCs w:val="13"/>
          <w:color w:val="auto"/>
        </w:rPr>
        <w:t>The principal balance of this Note shall be payable by the Maker on the earlier of: (i) the date on which Maker consummates its initial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business combination or (ii) the date that the winding up of the Maker is effective (such date, the “</w:t>
      </w:r>
      <w:r>
        <w:rPr>
          <w:rFonts w:ascii="Times New Roman" w:cs="Times New Roman" w:eastAsia="Times New Roman" w:hAnsi="Times New Roman"/>
          <w:sz w:val="13"/>
          <w:szCs w:val="13"/>
          <w:b w:val="1"/>
          <w:bCs w:val="1"/>
          <w:color w:val="auto"/>
        </w:rPr>
        <w:t>Maturity Date</w:t>
      </w:r>
      <w:r>
        <w:rPr>
          <w:rFonts w:ascii="Times New Roman" w:cs="Times New Roman" w:eastAsia="Times New Roman" w:hAnsi="Times New Roman"/>
          <w:sz w:val="13"/>
          <w:szCs w:val="13"/>
          <w:color w:val="auto"/>
        </w:rPr>
        <w:t>”). The principal balance may be prepaid at any time, at the election of Maker. Under no circumstances shall any individual, including but not limited to any executive officer, director, employee or stockholder of the Maker, be obligated personally for any obligations or liabilities of the Maker hereunder.</w:t>
      </w:r>
    </w:p>
    <w:p>
      <w:pPr>
        <w:spacing w:after="0" w:line="130"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Interest. </w:t>
      </w:r>
      <w:r>
        <w:rPr>
          <w:rFonts w:ascii="Times New Roman" w:cs="Times New Roman" w:eastAsia="Times New Roman" w:hAnsi="Times New Roman"/>
          <w:sz w:val="13"/>
          <w:szCs w:val="13"/>
          <w:color w:val="auto"/>
        </w:rPr>
        <w:t>No interest shall accrue on the unpaid principal balance of this Note.</w:t>
      </w:r>
    </w:p>
    <w:p>
      <w:pPr>
        <w:spacing w:after="0" w:line="153"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Optional Conversion.</w:t>
      </w:r>
    </w:p>
    <w:p>
      <w:pPr>
        <w:spacing w:after="0" w:line="156" w:lineRule="exact"/>
        <w:rPr>
          <w:sz w:val="20"/>
          <w:szCs w:val="20"/>
          <w:color w:val="auto"/>
        </w:rPr>
      </w:pPr>
    </w:p>
    <w:p>
      <w:pPr>
        <w:ind w:left="640" w:right="659" w:hanging="3"/>
        <w:spacing w:after="0" w:line="249" w:lineRule="auto"/>
        <w:tabs>
          <w:tab w:leader="none" w:pos="81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business combination and at the Payee’s option, at any time prior to payment in full of the principal balance of this Note, the Payee may elect to convert all or any portion of the Note into that number of units of the post-business combination entity (the “</w:t>
      </w:r>
      <w:r>
        <w:rPr>
          <w:rFonts w:ascii="Times New Roman" w:cs="Times New Roman" w:eastAsia="Times New Roman" w:hAnsi="Times New Roman"/>
          <w:sz w:val="13"/>
          <w:szCs w:val="13"/>
          <w:b w:val="1"/>
          <w:bCs w:val="1"/>
          <w:color w:val="auto"/>
        </w:rPr>
        <w:t>New Units</w:t>
      </w:r>
      <w:r>
        <w:rPr>
          <w:rFonts w:ascii="Times New Roman" w:cs="Times New Roman" w:eastAsia="Times New Roman" w:hAnsi="Times New Roman"/>
          <w:sz w:val="13"/>
          <w:szCs w:val="13"/>
          <w:color w:val="auto"/>
        </w:rPr>
        <w:t>”) equal to: (i) the portion of the principal amount of the Note being converted pursuant to this Section 3, divided by (ii) $10.00, rounded down to the nearest whole number. Each New Unit shall have the same terms and conditions as private placement units issued simultaneously with the Maker’s initial public offering.</w:t>
      </w:r>
    </w:p>
    <w:p>
      <w:pPr>
        <w:spacing w:after="0" w:line="134" w:lineRule="exact"/>
        <w:rPr>
          <w:rFonts w:ascii="Times New Roman" w:cs="Times New Roman" w:eastAsia="Times New Roman" w:hAnsi="Times New Roman"/>
          <w:sz w:val="13"/>
          <w:szCs w:val="13"/>
          <w:color w:val="auto"/>
        </w:rPr>
      </w:pPr>
    </w:p>
    <w:p>
      <w:pPr>
        <w:ind w:left="640" w:right="659" w:hanging="3"/>
        <w:spacing w:after="0" w:line="248" w:lineRule="auto"/>
        <w:tabs>
          <w:tab w:leader="none" w:pos="81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any complete or partial conversion of the principal amount of this Note (i) such principal amount shall be so converted and such converted portion of this Note shall become fully paid and satisfied, (ii) the Payee shall surrender and deliver this Note, duly endorsed, to Maker or such other address which Maker shall designate against delivery of the New Units, (iii) Maker shall promptly deliver a new duly executed Note to the Payee in the principal amount that remains outstanding, if any, after any such conversion and (iv) in exchange for all or any portion of the surrendered Note described in Section 3(a), Maker shall deliver to Payee the New Units, which shall bear such legends as are required, in the opinion of counsel to Maker or by any other agreement between Maker and the Payee and applicable state and federal securities laws.</w:t>
      </w:r>
    </w:p>
    <w:p>
      <w:pPr>
        <w:spacing w:after="0" w:line="134" w:lineRule="exact"/>
        <w:rPr>
          <w:rFonts w:ascii="Times New Roman" w:cs="Times New Roman" w:eastAsia="Times New Roman" w:hAnsi="Times New Roman"/>
          <w:sz w:val="13"/>
          <w:szCs w:val="13"/>
          <w:color w:val="auto"/>
        </w:rPr>
      </w:pPr>
    </w:p>
    <w:p>
      <w:pPr>
        <w:ind w:left="640" w:right="699" w:hanging="3"/>
        <w:spacing w:after="0" w:line="255" w:lineRule="auto"/>
        <w:tabs>
          <w:tab w:leader="none" w:pos="812"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Maker shall pay any and all issue and other taxes that may be payable with respect to any issue or delivery of the New Units upon conversion of this Note pursuant hereto; provided, however, that the Payee shall pay any transfer taxes resulting from any transfer requested by the Payee in connection with any such conversion.</w:t>
      </w:r>
    </w:p>
    <w:p>
      <w:pPr>
        <w:spacing w:after="0" w:line="128" w:lineRule="exact"/>
        <w:rPr>
          <w:sz w:val="20"/>
          <w:szCs w:val="20"/>
          <w:color w:val="auto"/>
        </w:rPr>
      </w:pPr>
    </w:p>
    <w:p>
      <w:pPr>
        <w:ind w:left="640" w:right="759" w:hanging="3"/>
        <w:spacing w:after="0" w:line="257" w:lineRule="auto"/>
        <w:tabs>
          <w:tab w:leader="none" w:pos="766"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Application of Payments. </w:t>
      </w:r>
      <w:r>
        <w:rPr>
          <w:rFonts w:ascii="Times New Roman" w:cs="Times New Roman" w:eastAsia="Times New Roman" w:hAnsi="Times New Roman"/>
          <w:sz w:val="13"/>
          <w:szCs w:val="13"/>
          <w:color w:val="auto"/>
        </w:rPr>
        <w:t>All payments shall be applied first to payment in full of any costs incurred in the collection of any sum due under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Note, including (without limitation) reasonable attorney’s fees, then to the payment in full of any late charges and finally to the reduction of the unpaid principal balance of this Note.</w:t>
      </w:r>
    </w:p>
    <w:p>
      <w:pPr>
        <w:spacing w:after="0" w:line="126" w:lineRule="exact"/>
        <w:rPr>
          <w:rFonts w:ascii="Times New Roman" w:cs="Times New Roman" w:eastAsia="Times New Roman" w:hAnsi="Times New Roman"/>
          <w:sz w:val="13"/>
          <w:szCs w:val="13"/>
          <w:b w:val="1"/>
          <w:bCs w:val="1"/>
          <w:color w:val="auto"/>
        </w:rPr>
      </w:pPr>
    </w:p>
    <w:p>
      <w:pPr>
        <w:ind w:left="760" w:hanging="123"/>
        <w:spacing w:after="0"/>
        <w:tabs>
          <w:tab w:leader="none" w:pos="760" w:val="left"/>
        </w:tabs>
        <w:numPr>
          <w:ilvl w:val="0"/>
          <w:numId w:val="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Events of Default. </w:t>
      </w:r>
      <w:r>
        <w:rPr>
          <w:rFonts w:ascii="Times New Roman" w:cs="Times New Roman" w:eastAsia="Times New Roman" w:hAnsi="Times New Roman"/>
          <w:sz w:val="13"/>
          <w:szCs w:val="13"/>
          <w:color w:val="auto"/>
        </w:rPr>
        <w:t>The following shall constitute an event of default (“</w:t>
      </w:r>
      <w:r>
        <w:rPr>
          <w:rFonts w:ascii="Times New Roman" w:cs="Times New Roman" w:eastAsia="Times New Roman" w:hAnsi="Times New Roman"/>
          <w:sz w:val="13"/>
          <w:szCs w:val="13"/>
          <w:b w:val="1"/>
          <w:bCs w:val="1"/>
          <w:color w:val="auto"/>
        </w:rPr>
        <w:t>Event of Default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125" w:right="1440" w:bottom="1440" w:gutter="0" w:footer="0" w:header="0"/>
        </w:sectPr>
      </w:pPr>
    </w:p>
    <w:bookmarkStart w:id="8" w:name="page9"/>
    <w:bookmarkEnd w:id="8"/>
    <w:p>
      <w:pPr>
        <w:ind w:left="640" w:right="679" w:hanging="3"/>
        <w:spacing w:after="0" w:line="267" w:lineRule="auto"/>
        <w:tabs>
          <w:tab w:leader="none" w:pos="812"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Failure to Make Required Payments</w:t>
      </w:r>
      <w:r>
        <w:rPr>
          <w:rFonts w:ascii="Times New Roman" w:cs="Times New Roman" w:eastAsia="Times New Roman" w:hAnsi="Times New Roman"/>
          <w:sz w:val="13"/>
          <w:szCs w:val="13"/>
          <w:color w:val="auto"/>
        </w:rPr>
        <w:t>. Failure by Maker to pay the principal amount due pursuant to this Note within five (5) business days of the date specified above.</w:t>
      </w:r>
    </w:p>
    <w:p>
      <w:pPr>
        <w:spacing w:after="0" w:line="122" w:lineRule="exact"/>
        <w:rPr>
          <w:rFonts w:ascii="Times New Roman" w:cs="Times New Roman" w:eastAsia="Times New Roman" w:hAnsi="Times New Roman"/>
          <w:sz w:val="13"/>
          <w:szCs w:val="13"/>
          <w:color w:val="auto"/>
        </w:rPr>
      </w:pPr>
    </w:p>
    <w:p>
      <w:pPr>
        <w:ind w:left="640" w:right="659" w:hanging="3"/>
        <w:spacing w:after="0" w:line="249" w:lineRule="auto"/>
        <w:tabs>
          <w:tab w:leader="none" w:pos="819"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Voluntary Bankruptcy, Etc</w:t>
      </w:r>
      <w:r>
        <w:rPr>
          <w:rFonts w:ascii="Times New Roman" w:cs="Times New Roman" w:eastAsia="Times New Roman" w:hAnsi="Times New Roman"/>
          <w:sz w:val="13"/>
          <w:szCs w:val="13"/>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34" w:lineRule="exact"/>
        <w:rPr>
          <w:rFonts w:ascii="Times New Roman" w:cs="Times New Roman" w:eastAsia="Times New Roman" w:hAnsi="Times New Roman"/>
          <w:sz w:val="13"/>
          <w:szCs w:val="13"/>
          <w:color w:val="auto"/>
        </w:rPr>
      </w:pPr>
    </w:p>
    <w:p>
      <w:pPr>
        <w:ind w:left="640" w:right="959" w:hanging="3"/>
        <w:spacing w:after="0" w:line="251" w:lineRule="auto"/>
        <w:tabs>
          <w:tab w:leader="none" w:pos="812"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3"/>
          <w:szCs w:val="13"/>
          <w:u w:val="single" w:color="auto"/>
          <w:color w:val="auto"/>
        </w:rPr>
        <w:t>nvoluntary Bankruptcy, Etc</w:t>
      </w:r>
      <w:r>
        <w:rPr>
          <w:rFonts w:ascii="Times New Roman" w:cs="Times New Roman" w:eastAsia="Times New Roman" w:hAnsi="Times New Roman"/>
          <w:sz w:val="13"/>
          <w:szCs w:val="13"/>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6. Remedies.</w:t>
      </w:r>
    </w:p>
    <w:p>
      <w:pPr>
        <w:spacing w:after="0" w:line="156" w:lineRule="exact"/>
        <w:rPr>
          <w:sz w:val="20"/>
          <w:szCs w:val="20"/>
          <w:color w:val="auto"/>
        </w:rPr>
      </w:pPr>
    </w:p>
    <w:p>
      <w:pPr>
        <w:ind w:left="640" w:right="719" w:hanging="3"/>
        <w:spacing w:after="0" w:line="251" w:lineRule="auto"/>
        <w:tabs>
          <w:tab w:leader="none" w:pos="81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and during the continuance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32" w:lineRule="exact"/>
        <w:rPr>
          <w:rFonts w:ascii="Times New Roman" w:cs="Times New Roman" w:eastAsia="Times New Roman" w:hAnsi="Times New Roman"/>
          <w:sz w:val="13"/>
          <w:szCs w:val="13"/>
          <w:color w:val="auto"/>
        </w:rPr>
      </w:pPr>
    </w:p>
    <w:p>
      <w:pPr>
        <w:jc w:val="both"/>
        <w:ind w:left="640" w:right="659" w:hanging="3"/>
        <w:spacing w:after="0" w:line="255" w:lineRule="auto"/>
        <w:tabs>
          <w:tab w:leader="none" w:pos="819"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and during the continuance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28" w:lineRule="exact"/>
        <w:rPr>
          <w:sz w:val="20"/>
          <w:szCs w:val="20"/>
          <w:color w:val="auto"/>
        </w:rPr>
      </w:pPr>
    </w:p>
    <w:p>
      <w:pPr>
        <w:ind w:left="640" w:right="759" w:hanging="3"/>
        <w:spacing w:after="0" w:line="273" w:lineRule="auto"/>
        <w:tabs>
          <w:tab w:leader="none" w:pos="764"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Waivers. </w:t>
      </w:r>
      <w:r>
        <w:rPr>
          <w:rFonts w:ascii="Times New Roman" w:cs="Times New Roman" w:eastAsia="Times New Roman" w:hAnsi="Times New Roman"/>
          <w:sz w:val="12"/>
          <w:szCs w:val="12"/>
          <w:color w:val="auto"/>
        </w:rPr>
        <w:t>Maker and all endorsers and guarantors of, and sureties for, this Note waive presentment for payment, demand, notice of dishonor, protest,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19" w:lineRule="exact"/>
        <w:rPr>
          <w:rFonts w:ascii="Times New Roman" w:cs="Times New Roman" w:eastAsia="Times New Roman" w:hAnsi="Times New Roman"/>
          <w:sz w:val="12"/>
          <w:szCs w:val="12"/>
          <w:b w:val="1"/>
          <w:bCs w:val="1"/>
          <w:color w:val="auto"/>
        </w:rPr>
      </w:pPr>
    </w:p>
    <w:p>
      <w:pPr>
        <w:ind w:left="640" w:right="659" w:hanging="3"/>
        <w:spacing w:after="0" w:line="276" w:lineRule="auto"/>
        <w:tabs>
          <w:tab w:leader="none" w:pos="766"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Unconditional Liability. </w:t>
      </w:r>
      <w:r>
        <w:rPr>
          <w:rFonts w:ascii="Times New Roman" w:cs="Times New Roman" w:eastAsia="Times New Roman" w:hAnsi="Times New Roman"/>
          <w:sz w:val="12"/>
          <w:szCs w:val="12"/>
          <w:color w:val="auto"/>
        </w:rPr>
        <w:t>Maker hereby waives all notices in connection with the delivery, acceptance, performance, default, or enforcement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16" w:lineRule="exact"/>
        <w:rPr>
          <w:rFonts w:ascii="Times New Roman" w:cs="Times New Roman" w:eastAsia="Times New Roman" w:hAnsi="Times New Roman"/>
          <w:sz w:val="12"/>
          <w:szCs w:val="12"/>
          <w:b w:val="1"/>
          <w:bCs w:val="1"/>
          <w:color w:val="auto"/>
        </w:rPr>
      </w:pPr>
    </w:p>
    <w:p>
      <w:pPr>
        <w:ind w:left="760" w:hanging="123"/>
        <w:spacing w:after="0"/>
        <w:tabs>
          <w:tab w:leader="none" w:pos="76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Notices. </w:t>
      </w:r>
      <w:r>
        <w:rPr>
          <w:rFonts w:ascii="Times New Roman" w:cs="Times New Roman" w:eastAsia="Times New Roman" w:hAnsi="Times New Roman"/>
          <w:sz w:val="13"/>
          <w:szCs w:val="13"/>
          <w:color w:val="auto"/>
        </w:rPr>
        <w:t>All notices, statements or other documents which are required or contemplated by this Note shall be made in writing and delivered:</w:t>
      </w:r>
    </w:p>
    <w:p>
      <w:pPr>
        <w:spacing w:after="0" w:line="17" w:lineRule="exact"/>
        <w:rPr>
          <w:sz w:val="20"/>
          <w:szCs w:val="20"/>
          <w:color w:val="auto"/>
        </w:rPr>
      </w:pPr>
    </w:p>
    <w:p>
      <w:pPr>
        <w:ind w:left="640" w:right="699" w:hanging="3"/>
        <w:spacing w:after="0" w:line="244" w:lineRule="auto"/>
        <w:tabs>
          <w:tab w:leader="none" w:pos="79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35" w:lineRule="exact"/>
        <w:rPr>
          <w:sz w:val="20"/>
          <w:szCs w:val="20"/>
          <w:color w:val="auto"/>
        </w:rPr>
      </w:pPr>
    </w:p>
    <w:p>
      <w:pPr>
        <w:ind w:left="640" w:right="1239" w:hanging="3"/>
        <w:spacing w:after="0" w:line="270" w:lineRule="auto"/>
        <w:tabs>
          <w:tab w:leader="none" w:pos="829"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Construction. </w:t>
      </w:r>
      <w:r>
        <w:rPr>
          <w:rFonts w:ascii="Times New Roman" w:cs="Times New Roman" w:eastAsia="Times New Roman" w:hAnsi="Times New Roman"/>
          <w:sz w:val="13"/>
          <w:szCs w:val="13"/>
          <w:color w:val="auto"/>
        </w:rPr>
        <w:t>THIS NOTE SHALL BE CONSTRUED AND ENFORCED IN ACCORDANCE WITH THE LAWS OF CALIFORNIA,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CONFLICT OF LAW PROVISIONS THEREOF.</w:t>
      </w:r>
    </w:p>
    <w:p>
      <w:pPr>
        <w:spacing w:after="0" w:line="118" w:lineRule="exact"/>
        <w:rPr>
          <w:rFonts w:ascii="Times New Roman" w:cs="Times New Roman" w:eastAsia="Times New Roman" w:hAnsi="Times New Roman"/>
          <w:sz w:val="13"/>
          <w:szCs w:val="13"/>
          <w:b w:val="1"/>
          <w:bCs w:val="1"/>
          <w:color w:val="auto"/>
        </w:rPr>
      </w:pPr>
    </w:p>
    <w:p>
      <w:pPr>
        <w:ind w:left="640" w:right="1059" w:hanging="3"/>
        <w:spacing w:after="0" w:line="257" w:lineRule="auto"/>
        <w:tabs>
          <w:tab w:leader="none" w:pos="823"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Severability. </w:t>
      </w:r>
      <w:r>
        <w:rPr>
          <w:rFonts w:ascii="Times New Roman" w:cs="Times New Roman" w:eastAsia="Times New Roman" w:hAnsi="Times New Roman"/>
          <w:sz w:val="13"/>
          <w:szCs w:val="13"/>
          <w:color w:val="auto"/>
        </w:rPr>
        <w:t>Any provision contained in this Note which is prohibited or unenforceable in any jurisdiction shall, as to such jurisdiction,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ectPr>
          <w:pgSz w:w="11900" w:h="16838" w:orient="portrait"/>
          <w:cols w:equalWidth="0" w:num="1">
            <w:col w:w="9019"/>
          </w:cols>
          <w:pgMar w:left="1440" w:top="231" w:right="1440" w:bottom="1440" w:gutter="0" w:footer="0" w:header="0"/>
        </w:sectPr>
      </w:pPr>
    </w:p>
    <w:bookmarkStart w:id="9" w:name="page10"/>
    <w:bookmarkEnd w:id="9"/>
    <w:p>
      <w:pPr>
        <w:ind w:left="820" w:hanging="183"/>
        <w:spacing w:after="0"/>
        <w:tabs>
          <w:tab w:leader="none" w:pos="82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Trust Waiver</w:t>
      </w:r>
      <w:r>
        <w:rPr>
          <w:rFonts w:ascii="Times New Roman" w:cs="Times New Roman" w:eastAsia="Times New Roman" w:hAnsi="Times New Roman"/>
          <w:sz w:val="13"/>
          <w:szCs w:val="13"/>
          <w:color w:val="auto"/>
        </w:rPr>
        <w:t>. Notwithstanding anything herein to the contrary, the Payee hereby waives any and all right, title, interest or claim of any kind</w:t>
      </w:r>
    </w:p>
    <w:p>
      <w:pPr>
        <w:spacing w:after="0" w:line="17"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Claim</w:t>
      </w:r>
      <w:r>
        <w:rPr>
          <w:rFonts w:ascii="Times New Roman" w:cs="Times New Roman" w:eastAsia="Times New Roman" w:hAnsi="Times New Roman"/>
          <w:sz w:val="13"/>
          <w:szCs w:val="13"/>
          <w:color w:val="auto"/>
        </w:rPr>
        <w:t>”) in or to any distribution of or from the trust account (the “</w:t>
      </w:r>
      <w:r>
        <w:rPr>
          <w:rFonts w:ascii="Times New Roman" w:cs="Times New Roman" w:eastAsia="Times New Roman" w:hAnsi="Times New Roman"/>
          <w:sz w:val="13"/>
          <w:szCs w:val="13"/>
          <w:b w:val="1"/>
          <w:bCs w:val="1"/>
          <w:color w:val="auto"/>
        </w:rPr>
        <w:t>Trust Account</w:t>
      </w:r>
      <w:r>
        <w:rPr>
          <w:rFonts w:ascii="Times New Roman" w:cs="Times New Roman" w:eastAsia="Times New Roman" w:hAnsi="Times New Roman"/>
          <w:sz w:val="13"/>
          <w:szCs w:val="13"/>
          <w:color w:val="auto"/>
        </w:rPr>
        <w:t>”) established in connection with Maker’s initial public offering, and hereby agrees not to seek recourse, reimbursement, payment or satisfaction for any Claim against the Trust Account for any reason whatsoever; provided however that upon the consummation of the initial business combination, Maker shall repay the principal balance of this Note out of the proceeds released to Maker from the Trust Account.</w:t>
      </w:r>
    </w:p>
    <w:p>
      <w:pPr>
        <w:spacing w:after="0" w:line="135"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3"/>
          <w:szCs w:val="13"/>
          <w:b w:val="1"/>
          <w:bCs w:val="1"/>
          <w:color w:val="auto"/>
        </w:rPr>
        <w:t>13</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Amendment; Waiver</w:t>
      </w:r>
      <w:r>
        <w:rPr>
          <w:rFonts w:ascii="Times New Roman" w:cs="Times New Roman" w:eastAsia="Times New Roman" w:hAnsi="Times New Roman"/>
          <w:sz w:val="13"/>
          <w:szCs w:val="13"/>
          <w:color w:val="auto"/>
        </w:rPr>
        <w:t>. Any amendment hereto or waiver of any provision hereof may be made with, and only with, the written consent of the Maker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the Payee.</w:t>
      </w:r>
    </w:p>
    <w:p>
      <w:pPr>
        <w:spacing w:after="0" w:line="119"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b w:val="1"/>
          <w:bCs w:val="1"/>
          <w:color w:val="auto"/>
        </w:rPr>
        <w:t>14</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Restatement</w:t>
      </w:r>
      <w:r>
        <w:rPr>
          <w:rFonts w:ascii="Times New Roman" w:cs="Times New Roman" w:eastAsia="Times New Roman" w:hAnsi="Times New Roman"/>
          <w:sz w:val="13"/>
          <w:szCs w:val="13"/>
          <w:color w:val="auto"/>
        </w:rPr>
        <w:t>. This Note amends, restates, supersedes and replaces that certain Promissory Note dated January 30, 2026, made in the principal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amount of One Hundred and Forty-Eight Thousand Dollars ($148,000.00) by Maker, payable to Payee (the “</w:t>
      </w:r>
      <w:r>
        <w:rPr>
          <w:rFonts w:ascii="Times New Roman" w:cs="Times New Roman" w:eastAsia="Times New Roman" w:hAnsi="Times New Roman"/>
          <w:sz w:val="13"/>
          <w:szCs w:val="13"/>
          <w:b w:val="1"/>
          <w:bCs w:val="1"/>
          <w:color w:val="auto"/>
        </w:rPr>
        <w:t>Prior Note</w:t>
      </w:r>
      <w:r>
        <w:rPr>
          <w:rFonts w:ascii="Times New Roman" w:cs="Times New Roman" w:eastAsia="Times New Roman" w:hAnsi="Times New Roman"/>
          <w:sz w:val="13"/>
          <w:szCs w:val="13"/>
          <w:color w:val="auto"/>
        </w:rPr>
        <w:t>”); provided, however, that the execution and delivery by the undersigned of this Note shall not, in any manner or circumstance, be deemed to be a payment of, a novation of or to have terminated, extinguished or discharged any of Maker’s indebtedness evidenced by the Prior Note, all of which indebtedness shall continue under and shall hereinafter be evidenced and governed by this Note. Any inconsistency between the terms of this Note and the Prior Note shall be controlled by the terms hereof.</w:t>
      </w:r>
    </w:p>
    <w:p>
      <w:pPr>
        <w:spacing w:after="0" w:line="135" w:lineRule="exact"/>
        <w:rPr>
          <w:sz w:val="20"/>
          <w:szCs w:val="20"/>
          <w:color w:val="auto"/>
        </w:rPr>
      </w:pPr>
    </w:p>
    <w:p>
      <w:pPr>
        <w:ind w:left="640" w:right="719" w:hanging="3"/>
        <w:spacing w:after="0" w:line="313" w:lineRule="auto"/>
        <w:tabs>
          <w:tab w:leader="none" w:pos="830"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w:t>
      </w:r>
      <w:r>
        <w:rPr>
          <w:rFonts w:ascii="Times New Roman" w:cs="Times New Roman" w:eastAsia="Times New Roman" w:hAnsi="Times New Roman"/>
          <w:sz w:val="12"/>
          <w:szCs w:val="12"/>
          <w:color w:val="auto"/>
        </w:rPr>
        <w:t>. No assignment or transfer of this Note or any rights or obligations hereunder may be made by any party hereto (by operation of law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without the prior written consent of the other party hereto and any attempted assignment without the required consent shall be void.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ectPr>
          <w:pgSz w:w="11900" w:h="16838" w:orient="portrait"/>
          <w:cols w:equalWidth="0" w:num="1">
            <w:col w:w="9019"/>
          </w:cols>
          <w:pgMar w:left="1440" w:top="229" w:right="1440" w:bottom="1440" w:gutter="0" w:footer="0" w:header="0"/>
        </w:sectPr>
      </w:pPr>
    </w:p>
    <w:bookmarkStart w:id="10" w:name="page11"/>
    <w:bookmarkEnd w:id="10"/>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Maker, intending to be legally bound hereby, has caused this Note to be duly executed by the undersigned as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and year first above written.</w:t>
      </w:r>
    </w:p>
    <w:p>
      <w:pPr>
        <w:spacing w:after="0" w:line="1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GIGCAPITAL7 CORP.</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Christine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Christine Marshall</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Chief Financial Officer</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GIGACQUISITIONS7 CORP.</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Dr. Avi S. Katz</w:t>
      </w:r>
    </w:p>
    <w:p>
      <w:pPr>
        <w:spacing w:after="0" w:line="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 Chief Executive Officer</w:t>
      </w:r>
    </w:p>
    <w:p>
      <w:pPr>
        <w:sectPr>
          <w:pgSz w:w="11900" w:h="16838" w:orient="portrait"/>
          <w:cols w:equalWidth="0" w:num="1">
            <w:col w:w="9019"/>
          </w:cols>
          <w:pgMar w:left="1440" w:top="229" w:right="1440" w:bottom="1440" w:gutter="0" w:footer="0" w:header="0"/>
        </w:sectPr>
      </w:pPr>
    </w:p>
    <w:bookmarkStart w:id="11" w:name="page12"/>
    <w:bookmarkEnd w:id="11"/>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5" w:lineRule="exact"/>
        <w:rPr>
          <w:sz w:val="20"/>
          <w:szCs w:val="20"/>
          <w:color w:val="auto"/>
        </w:rPr>
      </w:pPr>
    </w:p>
    <w:p>
      <w:pPr>
        <w:jc w:val="center"/>
        <w:ind w:left="640" w:right="639"/>
        <w:spacing w:after="0" w:line="270" w:lineRule="auto"/>
        <w:rPr>
          <w:sz w:val="20"/>
          <w:szCs w:val="20"/>
          <w:color w:val="auto"/>
        </w:rPr>
      </w:pPr>
      <w:r>
        <w:rPr>
          <w:rFonts w:ascii="Times New Roman" w:cs="Times New Roman" w:eastAsia="Times New Roman" w:hAnsi="Times New Roman"/>
          <w:sz w:val="13"/>
          <w:szCs w:val="13"/>
          <w:b w:val="1"/>
          <w:bCs w:val="1"/>
          <w:color w:val="auto"/>
        </w:rPr>
        <w:t>Hadron Energy Aligns Valuation for Business Combination to $600M, Signaling Long Term Market Discipline After GigCapital7 Form S-4 Registration Statement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96520</wp:posOffset>
            </wp:positionV>
            <wp:extent cx="3743325" cy="2106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43325"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40" w:right="659"/>
        <w:spacing w:after="0" w:line="250" w:lineRule="auto"/>
        <w:rPr>
          <w:sz w:val="20"/>
          <w:szCs w:val="20"/>
          <w:color w:val="auto"/>
        </w:rPr>
      </w:pPr>
      <w:r>
        <w:rPr>
          <w:rFonts w:ascii="Times New Roman" w:cs="Times New Roman" w:eastAsia="Times New Roman" w:hAnsi="Times New Roman"/>
          <w:sz w:val="13"/>
          <w:szCs w:val="13"/>
          <w:i w:val="1"/>
          <w:iCs w:val="1"/>
          <w:color w:val="auto"/>
        </w:rPr>
        <w:t>Revised previously announced Pro-Forma Equity Valuation of Hadron Energy to $600 Million Reflects Disciplined Market Alignment and Investor Responsiveness; Hadron Energy Completes approximately $7.5 Million in Pre-IPO Equity Round via bridge SAFE Notes with Full Conversion Protections Preserved; SEC Declared GigCapital7-Hadron Energy Form S-4 Registration Statement Effective on April 15, 2026; GigCapital7 Special Shareholders meeting to take place on May 7, 2026; Hadron Energy Continues to Advance Supplier Partnerships, Customer Pipeline, and Licensing Milestones</w:t>
      </w:r>
    </w:p>
    <w:p>
      <w:pPr>
        <w:spacing w:after="0" w:line="131"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NEW YORK, NY – April 20, 2026 – </w:t>
      </w:r>
      <w:r>
        <w:rPr>
          <w:rFonts w:ascii="Times New Roman" w:cs="Times New Roman" w:eastAsia="Times New Roman" w:hAnsi="Times New Roman"/>
          <w:sz w:val="13"/>
          <w:szCs w:val="13"/>
          <w:color w:val="auto"/>
        </w:rPr>
        <w:t>Hadron Energy, Inc. (“Hadron” or the “Company”), a developer of advanced nuclear microreactor (MMR)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technology, today announced two significant milestones on its path to becoming a publicly traded company to be listed on the Nasdaq Stock Market under the ticker symbol “HDRN.” First, Hadron and GigCapital7 have agreed to updated transaction terms reflecting a modified pro-forma equity valuation of Hadron of approximately $600 million to align with current public market conditions and the Company’s commitment to entering the public markets from a position of credibility and long-term strength. Second, the U.S. Securities and Exchange Commission (“SEC”) declared the Form S-4 registration statement of GigCapital7 Corp. (Nasdaq: GIG) (“GigCapital7”), for which the Company is a co-registrant, effective on April 15, 2026, enabling GigCapital7 to proceed with its special shareholders meeting to seek approval by its shareholders of the proposed business combination on May 7, 2026.</w:t>
      </w:r>
    </w:p>
    <w:p>
      <w:pPr>
        <w:sectPr>
          <w:pgSz w:w="11900" w:h="16838" w:orient="portrait"/>
          <w:cols w:equalWidth="0" w:num="1">
            <w:col w:w="9019"/>
          </w:cols>
          <w:pgMar w:left="1440" w:top="125" w:right="1440" w:bottom="1440" w:gutter="0" w:footer="0" w:header="0"/>
        </w:sectPr>
      </w:pPr>
    </w:p>
    <w:bookmarkStart w:id="12" w:name="page13"/>
    <w:bookmarkEnd w:id="12"/>
    <w:p>
      <w:pPr>
        <w:ind w:left="6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the updated transaction terms, Hadron also announced the successful completion of a $7.5 million pre-IPO equity financing round conducted via Simple Agreements for Future Equity (“SAFE”) notes. The round was anchored by a number of strategic investors with deep alignment to Hadron’s commercial and technology roadmap, reinforcing institutional confidence in the Company’s fundamentals and long-term trajectory ahead of its public listing.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 Market-Aligned Valuation Built for Strength, Not Sentiment</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The advanced nuclear and small modular reactor sector has experienced a meaningful valuation recalibration since the market peak in Q4 2025. Publicly traded peers, including companies with NRC design approvals and multi-billion-dollar market capitalizations, have seen equity values decline from their late-2025 highs.</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Rather than proceed with a transaction structure anchored to a prior market environment, Hadron and GigCapital7 have elected to proactively realign the transaction valuation of Hadron to reflect the objective realities of today’s capital markets. This decision is the product of extensive dialogue with a broad cross-section of institutional investors and strategic capital partners over the past four months of SAFE bridge and deSPAC PIPE funding roadshows.</w:t>
      </w:r>
    </w:p>
    <w:p>
      <w:pPr>
        <w:spacing w:after="0" w:line="133" w:lineRule="exact"/>
        <w:rPr>
          <w:sz w:val="20"/>
          <w:szCs w:val="20"/>
          <w:color w:val="auto"/>
        </w:rPr>
      </w:pPr>
    </w:p>
    <w:p>
      <w:pPr>
        <w:jc w:val="both"/>
        <w:ind w:left="640" w:right="759"/>
        <w:spacing w:after="0" w:line="279" w:lineRule="auto"/>
        <w:rPr>
          <w:sz w:val="20"/>
          <w:szCs w:val="20"/>
          <w:color w:val="auto"/>
        </w:rPr>
      </w:pPr>
      <w:r>
        <w:rPr>
          <w:rFonts w:ascii="Times New Roman" w:cs="Times New Roman" w:eastAsia="Times New Roman" w:hAnsi="Times New Roman"/>
          <w:sz w:val="12"/>
          <w:szCs w:val="12"/>
          <w:color w:val="auto"/>
        </w:rPr>
        <w:t>“We are building Hadron for the long term, and that means making decisions that prioritize credibility over optics,” said Sam Gibson, Founder &amp; CEO of Hadron Energy. “The advanced nuclear market has undergone a healthy and necessary value reset. We believe the right response is not to resist that reset but to lead through it. By entering the public markets at a valuation that reflects current conditions and an attractive entry point, we are sending a clear signal to investors: Hadron is fully attuned to market realities, disciplined in its capital planning, and focused on execution.”</w:t>
      </w:r>
    </w:p>
    <w:p>
      <w:pPr>
        <w:spacing w:after="0" w:line="116"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The revised $600 million valuation of Hadron is designed to achieve three core objectives: first, to materially reduce redemption risk and maximize the cash available to the Company at close; second, to attract quality institutional capital that will serve as a foundation for the Company’s public float; and third, to position the Company for a credible, supported aftermarket that builds investor trust from day one.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GigCapital7 Reaffirms Commitment to Hadron and the Transaction</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“With the Form S-4 now effective and a clear path to closing in front of us through the shareholders meeting that is scheduled for May 7, 2026, GigCapital7 holds its excitement of the opportunity to be part of the MMR industry and remains fully committed to Hadron through the deSPAC and in supporting the Company’s long-term success in the public markets,” said Dr. Avi Katz, Chairman &amp; CEO of GigCapital7. “This valuation adjustment is a strategic decision that reflects our collective commitment to delivering a transaction that closes with strength, raises the capital the Company needs, and establishes a foundation of trust with long-term institutional investors. We are sure that proceeding to a final prospectus/proxy statement and realigning the valuation of Hadron in the same window sends a simple, decisive message to the market.”</w:t>
      </w:r>
    </w:p>
    <w:p>
      <w:pPr>
        <w:sectPr>
          <w:pgSz w:w="11900" w:h="16838" w:orient="portrait"/>
          <w:cols w:equalWidth="0" w:num="1">
            <w:col w:w="9019"/>
          </w:cols>
          <w:pgMar w:left="1440" w:top="231"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 Declares Form S-4 Registration Statement Effective; Path to Nasdaq Listing Cleared</w:t>
      </w:r>
    </w:p>
    <w:p>
      <w:pPr>
        <w:spacing w:after="0" w:line="80" w:lineRule="exact"/>
        <w:rPr>
          <w:sz w:val="20"/>
          <w:szCs w:val="20"/>
          <w:color w:val="auto"/>
        </w:rPr>
      </w:pPr>
    </w:p>
    <w:p>
      <w:pPr>
        <w:jc w:val="both"/>
        <w:ind w:left="640" w:right="999"/>
        <w:spacing w:after="0" w:line="286" w:lineRule="auto"/>
        <w:rPr>
          <w:sz w:val="20"/>
          <w:szCs w:val="20"/>
          <w:color w:val="auto"/>
        </w:rPr>
      </w:pPr>
      <w:r>
        <w:rPr>
          <w:rFonts w:ascii="Times New Roman" w:cs="Times New Roman" w:eastAsia="Times New Roman" w:hAnsi="Times New Roman"/>
          <w:sz w:val="12"/>
          <w:szCs w:val="12"/>
          <w:color w:val="auto"/>
        </w:rPr>
        <w:t>On April 15, 2026, the SEC declared GigCapital7’s Form S-4 registration statement, of which Hadron was a co-registrant, effective, completing a critical milestone in the path to closing the proposed business combination. GigCapital7 has commenced distribution of the final prospectus/proxy statement/prospectus to its shareholders in advance of the May 7, 2026 special meeting to vote on the proposed business combination.</w:t>
      </w:r>
    </w:p>
    <w:p>
      <w:pPr>
        <w:spacing w:after="0" w:line="113"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“Filing and mailing the final prospectus/proxy statement to GigCapital7’s shareholders is a decisive moment,” said Sam Gibson, Founder &amp; CEO of Hadron. “With the Form S-4 now effective, Hadron is positioned to complete its transition to the public markets on a known and executable timeline. Combined with our recalibrated valuation and continued commercial and technical progress, we are entering this final phase of the deSPAC process with clarity, momentum, and the full confidence of our partners and investors.”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$7.5 Million Pre-IPO Equity Round Reinforces Investor Confidence</w:t>
      </w:r>
    </w:p>
    <w:p>
      <w:pPr>
        <w:spacing w:after="0" w:line="80" w:lineRule="exact"/>
        <w:rPr>
          <w:sz w:val="20"/>
          <w:szCs w:val="20"/>
          <w:color w:val="auto"/>
        </w:rPr>
      </w:pPr>
    </w:p>
    <w:p>
      <w:pPr>
        <w:ind w:left="640" w:right="699"/>
        <w:spacing w:after="0" w:line="279" w:lineRule="auto"/>
        <w:rPr>
          <w:sz w:val="20"/>
          <w:szCs w:val="20"/>
          <w:color w:val="auto"/>
        </w:rPr>
      </w:pPr>
      <w:r>
        <w:rPr>
          <w:rFonts w:ascii="Times New Roman" w:cs="Times New Roman" w:eastAsia="Times New Roman" w:hAnsi="Times New Roman"/>
          <w:sz w:val="12"/>
          <w:szCs w:val="12"/>
          <w:color w:val="auto"/>
        </w:rPr>
        <w:t>Hadron’s successful completion of a $7.5 million equity financing via bridge SAFE notes demonstrates continued investor appetite for the Company’s differentiated position in the advanced nuclear market. The round was conducted alongside the ongoing deSPAC roadshow process and reflects investor conviction in Hadron’s technology, team, and go-to-market approach. The pre-IPO capital further strengthens Hadron’s balance sheet as it enters the public markets and provides near-term working capital to support continued commercial development, supplier engagement, and licensing activities.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Commercial and Technical Momentum Continues to Accelerate</w:t>
      </w:r>
    </w:p>
    <w:p>
      <w:pPr>
        <w:spacing w:after="0" w:line="8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The updated valuation reflects market conditions, not a change in the Company’s fundamentals or commercial trajectory. Hadron continues to advance across every dimension of its business, with significant recent milestones that underscore the strength and credibility of its technology and go-to-market strategy:</w:t>
      </w:r>
    </w:p>
    <w:p>
      <w:pPr>
        <w:spacing w:after="0" w:line="128" w:lineRule="exact"/>
        <w:rPr>
          <w:sz w:val="20"/>
          <w:szCs w:val="20"/>
          <w:color w:val="auto"/>
        </w:rPr>
      </w:pPr>
    </w:p>
    <w:p>
      <w:pPr>
        <w:ind w:left="640" w:right="65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Supplier Ecosystem Development: </w:t>
      </w:r>
      <w:r>
        <w:rPr>
          <w:rFonts w:ascii="Times New Roman" w:cs="Times New Roman" w:eastAsia="Times New Roman" w:hAnsi="Times New Roman"/>
          <w:sz w:val="12"/>
          <w:szCs w:val="12"/>
          <w:color w:val="auto"/>
        </w:rPr>
        <w:t>In March 2026, Hadron announced a strategic collaboration with Paragon Energy Solutions, a Mirion Technologies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for the design, development, and implementation of the Instrumentation &amp; Control (I&amp;C) architecture for the Halo Micro-Modular Reactor (MMR). This collaboration encompasses safety and non-safety I&amp;C platform integration, control logic development, human-machine interface support, and cybersecurity architecture representing a critical subsystem milestone on the path to commercial deployment. Paragon’s proven supply chain capability, backed by Mirion’s global nuclear technology platform, validates the manufacturability and commercial readiness of Hadron’s reactor design.</w:t>
      </w:r>
    </w:p>
    <w:p>
      <w:pPr>
        <w:sectPr>
          <w:pgSz w:w="11900" w:h="16838" w:orient="portrait"/>
          <w:cols w:equalWidth="0" w:num="1">
            <w:col w:w="9019"/>
          </w:cols>
          <w:pgMar w:left="1440" w:top="229" w:right="1440" w:bottom="1440" w:gutter="0" w:footer="0" w:header="0"/>
        </w:sectPr>
      </w:pPr>
    </w:p>
    <w:bookmarkStart w:id="14" w:name="page15"/>
    <w:bookmarkEnd w:id="14"/>
    <w:p>
      <w:pPr>
        <w:ind w:left="640" w:right="779"/>
        <w:spacing w:after="0" w:line="25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Customer Pipeline and Commercial Traction: </w:t>
      </w:r>
      <w:r>
        <w:rPr>
          <w:rFonts w:ascii="Times New Roman" w:cs="Times New Roman" w:eastAsia="Times New Roman" w:hAnsi="Times New Roman"/>
          <w:sz w:val="13"/>
          <w:szCs w:val="13"/>
          <w:color w:val="auto"/>
        </w:rPr>
        <w:t>Hadron has signed a non-binding Memorandum of Understanding with Smartland Energy, LLC,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establishing a portfolio-scale framework for the potential deployment of the Halo MMR across up to five qualified Smartland behind-the-meter power projects over time. Smartland is developing approximately 150 MWe per project, with 12 projects targeted for completion by 2035, representing aggregate capacity demand of approximately 1.8 GWe. In connection with the MOU, Smartland made an initial strategic investment in Hadron, reflecting long-term conviction in the platform’s commercial viability.</w:t>
      </w:r>
    </w:p>
    <w:p>
      <w:pPr>
        <w:spacing w:after="0" w:line="131" w:lineRule="exact"/>
        <w:rPr>
          <w:sz w:val="20"/>
          <w:szCs w:val="20"/>
          <w:color w:val="auto"/>
        </w:rPr>
      </w:pPr>
    </w:p>
    <w:p>
      <w:pPr>
        <w:ind w:left="640" w:right="7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Accelerating Market Demand: </w:t>
      </w:r>
      <w:r>
        <w:rPr>
          <w:rFonts w:ascii="Times New Roman" w:cs="Times New Roman" w:eastAsia="Times New Roman" w:hAnsi="Times New Roman"/>
          <w:sz w:val="13"/>
          <w:szCs w:val="13"/>
          <w:color w:val="auto"/>
        </w:rPr>
        <w:t>Industrial and digital infrastructure operators are facing unprecedented load growth, multi-year grid interconnection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queues, and increasing urgency around reliable, on-site firm power. Behind-the-meter nuclear microreactors represent one of the most compelling solutions to this structural supply-demand imbalance. The U.S. Department of Energy and major hyperscale technology companies continue to signal strong support for advanced nuclear reactors deployment, and Hadron’s 10 MWe light-water Halo MMR is purpose-designed for this market—factory-fabricated, truck-transportable, and deployable on commercially relevant timelines.</w:t>
      </w:r>
    </w:p>
    <w:p>
      <w:pPr>
        <w:spacing w:after="0" w:line="131" w:lineRule="exact"/>
        <w:rPr>
          <w:sz w:val="20"/>
          <w:szCs w:val="20"/>
          <w:color w:val="auto"/>
        </w:rPr>
      </w:pPr>
    </w:p>
    <w:p>
      <w:pPr>
        <w:ind w:left="640" w:right="69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Licensing and Regulatory Progress: </w:t>
      </w:r>
      <w:r>
        <w:rPr>
          <w:rFonts w:ascii="Times New Roman" w:cs="Times New Roman" w:eastAsia="Times New Roman" w:hAnsi="Times New Roman"/>
          <w:sz w:val="13"/>
          <w:szCs w:val="13"/>
          <w:color w:val="auto"/>
        </w:rPr>
        <w:t>Hadron continues to advance its regulatory engagement with the U.S. Nuclear Regulatory Commission (NRC)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it progresses toward licensing milestones for the Halo MMR. The Company’s light-water reactor design leverages the most mature, well-understood, and extensively regulated reactor technology in the world, supported by decades of operational data, an established fuel supply chain, and the deepest bench of regulatory precedent in the nuclear industry.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Overview</w:t>
      </w:r>
    </w:p>
    <w:p>
      <w:pPr>
        <w:spacing w:after="0" w:line="8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With the Form S-4 registration statement declared effective by the SEC on April 15, 2026, the business combination between Hadron Energy and GigCapital7 Corp. is expected to close in May, subject to remaining customary closing conditions, including approval by GigCapital7 shareholders at the upcoming special shareholders meeting and satisfaction of customary Nasdaq listing requirements. Upon closing, Hadron is expected to trade on the Nasdaq Stock Market under the ticker symbol “HDRN,” and is expected to be the first publicly traded company focused on light-water micro-modular reactor (MMR) technology.</w:t>
      </w:r>
    </w:p>
    <w:p>
      <w:pPr>
        <w:spacing w:after="0" w:line="134" w:lineRule="exact"/>
        <w:rPr>
          <w:sz w:val="20"/>
          <w:szCs w:val="20"/>
          <w:color w:val="auto"/>
        </w:rPr>
      </w:pPr>
    </w:p>
    <w:p>
      <w:pPr>
        <w:ind w:left="640" w:right="1039"/>
        <w:spacing w:after="0" w:line="309" w:lineRule="auto"/>
        <w:rPr>
          <w:sz w:val="20"/>
          <w:szCs w:val="20"/>
          <w:color w:val="auto"/>
        </w:rPr>
      </w:pPr>
      <w:r>
        <w:rPr>
          <w:rFonts w:ascii="Times New Roman" w:cs="Times New Roman" w:eastAsia="Times New Roman" w:hAnsi="Times New Roman"/>
          <w:sz w:val="12"/>
          <w:szCs w:val="12"/>
          <w:color w:val="auto"/>
        </w:rPr>
        <w:t>The revised transaction reflects a pro-forma equity valuation Hadron of approximately $600 million and is structured to maximize net cash to the combined company at close, support a healthy public float, and position the stock for institutional ownership and long-term value creation.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Hadron Energy, Inc.</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Hadron is a pioneer in MMR technology. Designed to deliver 10 MWe of power, Hadron’s MMR will be smaller, more cost-effective, and faster to deploy than other proposed MMR power solutions. The revolutionary design of Hadron’s MMR allows its reactor vessel, core, and containment shell to be truck transportable, providing a versatile deployment model for end users. Whether powering an artificial intelligence data center, remote community, or an industrial hub, Hadron’s MMR is expected to provide a reliable, safe and scalable nuclear energy solution.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more information, please visit https://www.hadronenergy.com/</w:t>
      </w:r>
    </w:p>
    <w:p>
      <w:pPr>
        <w:sectPr>
          <w:pgSz w:w="11900" w:h="16838" w:orient="portrait"/>
          <w:cols w:equalWidth="0" w:num="1">
            <w:col w:w="9019"/>
          </w:cols>
          <w:pgMar w:left="1440" w:top="229"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GigCapital7 Corp.</w:t>
      </w:r>
    </w:p>
    <w:p>
      <w:pPr>
        <w:spacing w:after="0" w:line="80" w:lineRule="exact"/>
        <w:rPr>
          <w:sz w:val="20"/>
          <w:szCs w:val="20"/>
          <w:color w:val="auto"/>
        </w:rPr>
      </w:pPr>
    </w:p>
    <w:p>
      <w:pPr>
        <w:ind w:left="640" w:right="659"/>
        <w:spacing w:after="0" w:line="208" w:lineRule="auto"/>
        <w:rPr>
          <w:sz w:val="20"/>
          <w:szCs w:val="20"/>
          <w:color w:val="auto"/>
        </w:rPr>
      </w:pPr>
      <w:r>
        <w:rPr>
          <w:rFonts w:ascii="Times New Roman" w:cs="Times New Roman" w:eastAsia="Times New Roman" w:hAnsi="Times New Roman"/>
          <w:sz w:val="13"/>
          <w:szCs w:val="13"/>
          <w:color w:val="auto"/>
        </w:rPr>
        <w:t>GigCapital7 Corp. is a Private-to-Public Equity (PPE)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company, also known as a special purpose acquisition company (SPAC), with a Mentor-Investor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pacing w:after="0" w:line="140" w:lineRule="exact"/>
        <w:rPr>
          <w:sz w:val="20"/>
          <w:szCs w:val="20"/>
          <w:color w:val="auto"/>
        </w:rPr>
      </w:pPr>
    </w:p>
    <w:p>
      <w:pPr>
        <w:ind w:left="640" w:right="659"/>
        <w:spacing w:after="0" w:line="212" w:lineRule="auto"/>
        <w:rPr>
          <w:sz w:val="20"/>
          <w:szCs w:val="20"/>
          <w:color w:val="auto"/>
        </w:rPr>
      </w:pPr>
      <w:r>
        <w:rPr>
          <w:rFonts w:ascii="Times New Roman" w:cs="Times New Roman" w:eastAsia="Times New Roman" w:hAnsi="Times New Roman"/>
          <w:sz w:val="13"/>
          <w:szCs w:val="13"/>
          <w:color w:val="auto"/>
        </w:rPr>
        <w:t>Private-to-Public Equity (PPE)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and “Mentor-Investor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are trademarks of GigManagement, LLC, a member entity of GigCapital Global and affiliate of GigCapital7 Corp., used pursuant to agreement.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closing of the business combination, including its anticipated , the listing of the combined company on Nasdaq, the level of potential redemptions by public shareholders of GigCapital, the strategic collaboration between Hadron and Smartland, and any potential deployment of Hadron’s Halo MMR in connection therewith;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the outcome of Hadron’s regulatory submissions; and statements regarding the benefits of the business combination between the parties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ectPr>
          <w:pgSz w:w="11900" w:h="16838" w:orient="portrait"/>
          <w:cols w:equalWidth="0" w:num="1">
            <w:col w:w="9019"/>
          </w:cols>
          <w:pgMar w:left="1440" w:top="229" w:right="1440" w:bottom="1440" w:gutter="0" w:footer="0" w:header="0"/>
        </w:sectPr>
      </w:pPr>
    </w:p>
    <w:bookmarkStart w:id="16" w:name="page17"/>
    <w:bookmarkEnd w:id="16"/>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on Form S-4 that Hadron and GigCapital7 filed in connection with the business combination (the “Registration Statement”).</w:t>
      </w:r>
    </w:p>
    <w:p>
      <w:pPr>
        <w:sectPr>
          <w:pgSz w:w="11900" w:h="16838" w:orient="portrait"/>
          <w:cols w:equalWidth="0" w:num="1">
            <w:col w:w="9019"/>
          </w:cols>
          <w:pgMar w:left="1440" w:top="231" w:right="1440" w:bottom="1440" w:gutter="0" w:footer="0" w:header="0"/>
        </w:sectPr>
      </w:pPr>
    </w:p>
    <w:bookmarkStart w:id="17" w:name="page18"/>
    <w:bookmarkEnd w:id="1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About the Transaction and Where to Find It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 xml:space="preserve">The proposed transaction will be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prospectus/definitive proxy statement, to be distributed to GigCapital7’s shareholders in connection with GigCapital7’s solicitation of proxies for the shareholder vote in connection with the proposed business combination and other matters described in the Registration Statement. GigCapital7 is mailing the final prospectus/definitive proxy statement and other relevant documents (the “GigCapital7 Shareholder Materials”) to its shareholders as of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or by directing a written request to GigCapital7 Corp., Attn: Corporate Secretary, 1731 Embarcadero Rd., Suite 200, Palo Alto, CA.</w:t>
      </w:r>
    </w:p>
    <w:p>
      <w:pPr>
        <w:sectPr>
          <w:pgSz w:w="11900" w:h="16838" w:orient="portrait"/>
          <w:cols w:equalWidth="0" w:num="1">
            <w:col w:w="9019"/>
          </w:cols>
          <w:pgMar w:left="1440" w:top="231" w:right="1440" w:bottom="1440" w:gutter="0" w:footer="0" w:header="0"/>
        </w:sectPr>
      </w:pPr>
    </w:p>
    <w:bookmarkStart w:id="18" w:name="page19"/>
    <w:bookmarkEnd w:id="18"/>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19"/>
        <w:spacing w:after="0" w:line="271" w:lineRule="auto"/>
        <w:rPr>
          <w:sz w:val="20"/>
          <w:szCs w:val="20"/>
          <w:color w:val="auto"/>
        </w:rPr>
      </w:pPr>
      <w:r>
        <w:rPr>
          <w:rFonts w:ascii="Times New Roman" w:cs="Times New Roman" w:eastAsia="Times New Roman" w:hAnsi="Times New Roman"/>
          <w:sz w:val="12"/>
          <w:szCs w:val="12"/>
          <w:color w:val="auto"/>
        </w:rPr>
        <w:t>Hadron, GigCapital7 and their respective directors, executive officers, management and employees, under SEC rules, may be deemed to be participants in a solicitation of proxies of GIG’s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59"/>
        <w:spacing w:after="0" w:line="248" w:lineRule="auto"/>
        <w:rPr>
          <w:sz w:val="20"/>
          <w:szCs w:val="20"/>
          <w:color w:val="auto"/>
        </w:rPr>
      </w:pPr>
      <w:r>
        <w:rPr>
          <w:rFonts w:ascii="Times New Roman" w:cs="Times New Roman" w:eastAsia="Times New Roman" w:hAnsi="Times New Roman"/>
          <w:sz w:val="13"/>
          <w:szCs w:val="13"/>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ectPr>
          <w:pgSz w:w="11900" w:h="16838" w:orient="portrait"/>
          <w:cols w:equalWidth="0" w:num="1">
            <w:col w:w="9019"/>
          </w:cols>
          <w:pgMar w:left="1440" w:top="231"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Hadron Energy Investor Center: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u w:val="single" w:color="auto"/>
          <w:color w:val="auto"/>
        </w:rPr>
        <w:t>h</w:t>
      </w:r>
      <w:r>
        <w:rPr>
          <w:rFonts w:ascii="Times New Roman" w:cs="Times New Roman" w:eastAsia="Times New Roman" w:hAnsi="Times New Roman"/>
          <w:sz w:val="12"/>
          <w:szCs w:val="12"/>
          <w:u w:val="single" w:color="auto"/>
          <w:color w:val="auto"/>
        </w:rPr>
        <w:t>ttps://www.hadronenergy.com/investor-relations</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Hadron Energy Media &amp; 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Samuel Gibson</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sgibson@hadronenergy.com</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GigCapital7 Investor 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Christine M. Marshall</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christine@gigcapitalglobal.com</w:t>
      </w:r>
    </w:p>
    <w:p>
      <w:pPr>
        <w:sectPr>
          <w:pgSz w:w="11900" w:h="16838" w:orient="portrait"/>
          <w:cols w:equalWidth="0" w:num="1">
            <w:col w:w="9019"/>
          </w:cols>
          <w:pgMar w:left="1440" w:top="229" w:right="1440" w:bottom="1440"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875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87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125095</wp:posOffset>
            </wp:positionV>
            <wp:extent cx="491045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154940</wp:posOffset>
            </wp:positionV>
            <wp:extent cx="491045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SCHEDULE 14A/A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47" w:lineRule="exact"/>
        <w:rPr>
          <w:sz w:val="20"/>
          <w:szCs w:val="20"/>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Filed by the Registrant  </w:t>
      </w:r>
      <w:r>
        <w:rPr>
          <w:rFonts w:ascii="MS PGothic" w:cs="MS PGothic" w:eastAsia="MS PGothic" w:hAnsi="MS PGothic"/>
          <w:sz w:val="13"/>
          <w:szCs w:val="13"/>
          <w:color w:val="auto"/>
        </w:rPr>
        <w:t>☒</w:t>
      </w:r>
    </w:p>
    <w:p>
      <w:pPr>
        <w:spacing w:after="0" w:line="154" w:lineRule="exact"/>
        <w:rPr>
          <w:sz w:val="20"/>
          <w:szCs w:val="20"/>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3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Check the appropriate box:</w:t>
      </w:r>
    </w:p>
    <w:p>
      <w:pPr>
        <w:spacing w:after="0" w:line="173" w:lineRule="exact"/>
        <w:rPr>
          <w:sz w:val="20"/>
          <w:szCs w:val="20"/>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Preliminary Proxy Statement</w:t>
      </w:r>
    </w:p>
    <w:p>
      <w:pPr>
        <w:spacing w:after="0" w:line="170" w:lineRule="exact"/>
        <w:rPr>
          <w:rFonts w:ascii="MS PGothic" w:cs="MS PGothic" w:eastAsia="MS PGothic" w:hAnsi="MS PGothic"/>
          <w:sz w:val="13"/>
          <w:szCs w:val="13"/>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Confidential, for Use of the Commission Only (as permitted by Rule 14a-6(e)(2))</w:t>
      </w:r>
    </w:p>
    <w:p>
      <w:pPr>
        <w:spacing w:after="0" w:line="174" w:lineRule="exact"/>
        <w:rPr>
          <w:rFonts w:ascii="MS PGothic" w:cs="MS PGothic" w:eastAsia="MS PGothic" w:hAnsi="MS PGothic"/>
          <w:sz w:val="13"/>
          <w:szCs w:val="13"/>
          <w:color w:val="auto"/>
        </w:rPr>
      </w:pPr>
    </w:p>
    <w:p>
      <w:pPr>
        <w:ind w:left="940" w:hanging="303"/>
        <w:spacing w:after="0"/>
        <w:tabs>
          <w:tab w:leader="none" w:pos="940" w:val="left"/>
        </w:tabs>
        <w:numPr>
          <w:ilvl w:val="0"/>
          <w:numId w:val="16"/>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Proxy Statement</w:t>
      </w:r>
    </w:p>
    <w:p>
      <w:pPr>
        <w:spacing w:after="0" w:line="173" w:lineRule="exact"/>
        <w:rPr>
          <w:sz w:val="20"/>
          <w:szCs w:val="20"/>
          <w:color w:val="auto"/>
        </w:rPr>
      </w:pPr>
    </w:p>
    <w:p>
      <w:pPr>
        <w:ind w:left="940" w:hanging="303"/>
        <w:spacing w:after="0"/>
        <w:tabs>
          <w:tab w:leader="none" w:pos="940" w:val="left"/>
        </w:tabs>
        <w:numPr>
          <w:ilvl w:val="0"/>
          <w:numId w:val="17"/>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Definitive Additional Materials</w:t>
      </w:r>
    </w:p>
    <w:p>
      <w:pPr>
        <w:spacing w:after="0" w:line="173" w:lineRule="exact"/>
        <w:rPr>
          <w:sz w:val="20"/>
          <w:szCs w:val="20"/>
          <w:color w:val="auto"/>
        </w:rPr>
      </w:pPr>
    </w:p>
    <w:p>
      <w:pPr>
        <w:ind w:left="940" w:hanging="303"/>
        <w:spacing w:after="0"/>
        <w:tabs>
          <w:tab w:leader="none" w:pos="940" w:val="left"/>
        </w:tabs>
        <w:numPr>
          <w:ilvl w:val="0"/>
          <w:numId w:val="18"/>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under §240.14a-12</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GigCapital7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of Registrant as Specified In Its Charter)</w:t>
      </w:r>
    </w:p>
    <w:p>
      <w:pPr>
        <w:spacing w:after="0" w:line="13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173" w:lineRule="exact"/>
        <w:rPr>
          <w:sz w:val="20"/>
          <w:szCs w:val="20"/>
          <w:color w:val="auto"/>
        </w:rPr>
      </w:pPr>
    </w:p>
    <w:p>
      <w:pPr>
        <w:ind w:left="940" w:hanging="303"/>
        <w:spacing w:after="0"/>
        <w:tabs>
          <w:tab w:leader="none" w:pos="940" w:val="left"/>
        </w:tabs>
        <w:numPr>
          <w:ilvl w:val="0"/>
          <w:numId w:val="19"/>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No fee required.</w:t>
      </w:r>
    </w:p>
    <w:p>
      <w:pPr>
        <w:spacing w:after="0" w:line="173" w:lineRule="exact"/>
        <w:rPr>
          <w:sz w:val="20"/>
          <w:szCs w:val="20"/>
          <w:color w:val="auto"/>
        </w:rPr>
      </w:pPr>
    </w:p>
    <w:p>
      <w:pPr>
        <w:ind w:left="940" w:hanging="303"/>
        <w:spacing w:after="0"/>
        <w:tabs>
          <w:tab w:leader="none" w:pos="940" w:val="left"/>
        </w:tabs>
        <w:numPr>
          <w:ilvl w:val="0"/>
          <w:numId w:val="20"/>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172" w:lineRule="exact"/>
        <w:rPr>
          <w:rFonts w:ascii="MS PGothic" w:cs="MS PGothic" w:eastAsia="MS PGothic" w:hAnsi="MS PGothic"/>
          <w:sz w:val="13"/>
          <w:szCs w:val="13"/>
          <w:color w:val="auto"/>
        </w:rPr>
      </w:pPr>
    </w:p>
    <w:p>
      <w:pPr>
        <w:ind w:left="940" w:hanging="303"/>
        <w:spacing w:after="0"/>
        <w:tabs>
          <w:tab w:leader="none" w:pos="940" w:val="left"/>
        </w:tabs>
        <w:numPr>
          <w:ilvl w:val="0"/>
          <w:numId w:val="20"/>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153670</wp:posOffset>
            </wp:positionV>
            <wp:extent cx="491045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SUPPLEMENT TO PROXY STATEMENT</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OF</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GigCapital7, Corp.</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Dated April 20, 2026</w:t>
      </w:r>
    </w:p>
    <w:p>
      <w:pPr>
        <w:spacing w:after="0" w:line="139" w:lineRule="exact"/>
        <w:rPr>
          <w:sz w:val="20"/>
          <w:szCs w:val="20"/>
          <w:color w:val="auto"/>
        </w:rPr>
      </w:pPr>
    </w:p>
    <w:p>
      <w:pPr>
        <w:ind w:left="640" w:right="759"/>
        <w:spacing w:after="0" w:line="280" w:lineRule="auto"/>
        <w:rPr>
          <w:sz w:val="20"/>
          <w:szCs w:val="20"/>
          <w:color w:val="auto"/>
        </w:rPr>
      </w:pPr>
      <w:r>
        <w:rPr>
          <w:rFonts w:ascii="Times New Roman" w:cs="Times New Roman" w:eastAsia="Times New Roman" w:hAnsi="Times New Roman"/>
          <w:sz w:val="12"/>
          <w:szCs w:val="12"/>
          <w:i w:val="1"/>
          <w:iCs w:val="1"/>
          <w:color w:val="auto"/>
        </w:rPr>
        <w:t>The following disclosures in this proxy supplement (the “</w:t>
      </w:r>
      <w:r>
        <w:rPr>
          <w:rFonts w:ascii="Times New Roman" w:cs="Times New Roman" w:eastAsia="Times New Roman" w:hAnsi="Times New Roman"/>
          <w:sz w:val="12"/>
          <w:szCs w:val="12"/>
          <w:b w:val="1"/>
          <w:bCs w:val="1"/>
          <w:i w:val="1"/>
          <w:iCs w:val="1"/>
          <w:color w:val="auto"/>
        </w:rPr>
        <w:t>Supplement</w:t>
      </w:r>
      <w:r>
        <w:rPr>
          <w:rFonts w:ascii="Times New Roman" w:cs="Times New Roman" w:eastAsia="Times New Roman" w:hAnsi="Times New Roman"/>
          <w:sz w:val="12"/>
          <w:szCs w:val="12"/>
          <w:i w:val="1"/>
          <w:iCs w:val="1"/>
          <w:color w:val="auto"/>
        </w:rPr>
        <w:t>”) supplement, and should be read in conjunction with, the disclosures contained in the joint definitive proxy statement/final prospectus (the “</w:t>
      </w:r>
      <w:r>
        <w:rPr>
          <w:rFonts w:ascii="Times New Roman" w:cs="Times New Roman" w:eastAsia="Times New Roman" w:hAnsi="Times New Roman"/>
          <w:sz w:val="12"/>
          <w:szCs w:val="12"/>
          <w:b w:val="1"/>
          <w:bCs w:val="1"/>
          <w:i w:val="1"/>
          <w:iCs w:val="1"/>
          <w:color w:val="auto"/>
        </w:rPr>
        <w:t>Proxy Statement</w:t>
      </w:r>
      <w:r>
        <w:rPr>
          <w:rFonts w:ascii="Times New Roman" w:cs="Times New Roman" w:eastAsia="Times New Roman" w:hAnsi="Times New Roman"/>
          <w:sz w:val="12"/>
          <w:szCs w:val="12"/>
          <w:i w:val="1"/>
          <w:iCs w:val="1"/>
          <w:color w:val="auto"/>
        </w:rPr>
        <w:t>”), filed on April 15, 2026, which in turn should be read in its entirety. To the extent the information set forth herein differs from or updates information contained in the Proxy Statement, the information set forth herein shall supersede or supplement the information in the Proxy Statement. All other information in the Proxy Statement remains unchanged.</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As provided in the Proxy Statement, GigCapital7 Corp., a Cayman Islands exempted company (“</w:t>
      </w:r>
      <w:r>
        <w:rPr>
          <w:rFonts w:ascii="Times New Roman" w:cs="Times New Roman" w:eastAsia="Times New Roman" w:hAnsi="Times New Roman"/>
          <w:sz w:val="12"/>
          <w:szCs w:val="12"/>
          <w:b w:val="1"/>
          <w:bCs w:val="1"/>
          <w:i w:val="1"/>
          <w:iCs w:val="1"/>
          <w:color w:val="auto"/>
        </w:rPr>
        <w:t>GigCapital7</w:t>
      </w:r>
      <w:r>
        <w:rPr>
          <w:rFonts w:ascii="Times New Roman" w:cs="Times New Roman" w:eastAsia="Times New Roman" w:hAnsi="Times New Roman"/>
          <w:sz w:val="12"/>
          <w:szCs w:val="12"/>
          <w:i w:val="1"/>
          <w:iCs w:val="1"/>
          <w:color w:val="auto"/>
        </w:rPr>
        <w:t>”) is soliciting stockholder approval of,</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among other things, its proposed business combination (the “</w:t>
      </w:r>
      <w:r>
        <w:rPr>
          <w:rFonts w:ascii="Times New Roman" w:cs="Times New Roman" w:eastAsia="Times New Roman" w:hAnsi="Times New Roman"/>
          <w:sz w:val="13"/>
          <w:szCs w:val="13"/>
          <w:b w:val="1"/>
          <w:bCs w:val="1"/>
          <w:i w:val="1"/>
          <w:iCs w:val="1"/>
          <w:color w:val="auto"/>
        </w:rPr>
        <w:t>Business Combination</w:t>
      </w:r>
      <w:r>
        <w:rPr>
          <w:rFonts w:ascii="Times New Roman" w:cs="Times New Roman" w:eastAsia="Times New Roman" w:hAnsi="Times New Roman"/>
          <w:sz w:val="13"/>
          <w:szCs w:val="13"/>
          <w:i w:val="1"/>
          <w:iCs w:val="1"/>
          <w:color w:val="auto"/>
        </w:rPr>
        <w:t>”) with Hadron Energy, Inc., a Delaware corporation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i w:val="1"/>
          <w:iCs w:val="1"/>
          <w:color w:val="auto"/>
        </w:rPr>
        <w:t>”) and the other matters as described in the Proxy Statement, which includes a prospectus relating to the offer of the securities to be issued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the stockholders of the Company in connection with the Business Combination. The purpose of the following supplemental disclosures is to provide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additional information about the Second Amendment (as defined below) and the Amended and Restated Working Capital Note (as defined below). Terms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used herein, unless otherwise defined, have the meanings set forth in the Proxy Statement.</w:t>
      </w:r>
    </w:p>
    <w:p>
      <w:pPr>
        <w:sectPr>
          <w:pgSz w:w="11900" w:h="16838" w:orient="portrait"/>
          <w:cols w:equalWidth="0" w:num="1">
            <w:col w:w="9019"/>
          </w:cols>
          <w:pgMar w:left="1440" w:top="229"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DESCRIPTION OF</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SECOND AMENDMENT TO BUSINESS COMBINATION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AMENDED AND RESTATED PROMISSORY NOTE</w:t>
      </w:r>
    </w:p>
    <w:p>
      <w:pPr>
        <w:spacing w:after="0" w:line="139"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As previously disclosed in a Current Report on Form 8-K that GigCapital7 filed with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on September 29, 2025, GigCapital7 entered into a Business Combination Agreement (as amended, the “</w:t>
      </w:r>
      <w:r>
        <w:rPr>
          <w:rFonts w:ascii="Times New Roman" w:cs="Times New Roman" w:eastAsia="Times New Roman" w:hAnsi="Times New Roman"/>
          <w:sz w:val="13"/>
          <w:szCs w:val="13"/>
          <w:b w:val="1"/>
          <w:bCs w:val="1"/>
          <w:color w:val="auto"/>
        </w:rPr>
        <w:t>Business Combination Agreement</w:t>
      </w:r>
      <w:r>
        <w:rPr>
          <w:rFonts w:ascii="Times New Roman" w:cs="Times New Roman" w:eastAsia="Times New Roman" w:hAnsi="Times New Roman"/>
          <w:sz w:val="13"/>
          <w:szCs w:val="13"/>
          <w:color w:val="auto"/>
        </w:rPr>
        <w:t>”), dated as of September 27, 2025, by and among GigCapital7, MMR Merger Sub, Inc., a Delaware corporation and a direct wholly owned subsidiary of GigCapital7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and the Company, pursuant to which, among other things and subject to the terms and conditions therein, Merger Sub will merge with and into the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the Company surviving as a wholly-owned subsidiary of GigCapital7. The Business Combination Agreement was subsequently amended by the First Amendment to Business Combination Agreement, dated as of December 12, 2025, by and among GigCapital7, Merger Sub, and the Company (the “</w:t>
      </w:r>
      <w:r>
        <w:rPr>
          <w:rFonts w:ascii="Times New Roman" w:cs="Times New Roman" w:eastAsia="Times New Roman" w:hAnsi="Times New Roman"/>
          <w:sz w:val="13"/>
          <w:szCs w:val="13"/>
          <w:b w:val="1"/>
          <w:bCs w:val="1"/>
          <w:color w:val="auto"/>
        </w:rPr>
        <w:t>First Amendment</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On April 16, 2026, GigCapital7, Merger Sub, and the Company entered into a Second Amendment to Business Combination Agreement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Amendment</w:t>
      </w:r>
      <w:r>
        <w:rPr>
          <w:rFonts w:ascii="Times New Roman" w:cs="Times New Roman" w:eastAsia="Times New Roman" w:hAnsi="Times New Roman"/>
          <w:sz w:val="13"/>
          <w:szCs w:val="13"/>
          <w:color w:val="auto"/>
        </w:rPr>
        <w:t>”), which amends the Business Combination Agreement to (a) adjust the valuation of the Company and (b) extend the Outside Date.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Second Amendment amends the definition of “Public Company (Pre-Capital Raise) Valuation” set forth in Article X of the Business Combination Agreement to mean $776,599,997, which has the effect of reducing the Aggregate Merger Consideration to be issued for the securities of the Company to 60,000,000 shares of Domesticated Purchaser Common Stock, which at a nominal value of $10.00 per share would have a valuation for the Company of $600 million. The Second Amendment also amends Section 8.01(c) of the Business Combination Agreement to replace the date “April 30, 2026” with the date “May 31, 2026.” As a result, all references to the “Outside Date” in the Business Combination Agreement now refer to May 31, 2026. Other than as modified by the Second Amendment, all terms, conditions, and provisions of the Business Combination Agreement, as previously amended, remain in full force and effect.</w:t>
      </w:r>
    </w:p>
    <w:p>
      <w:pPr>
        <w:spacing w:after="0" w:line="137"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On April 16, 2026, GigCapital7 issued an amended and restated unsecured convertible promissory note (the “</w:t>
      </w:r>
      <w:r>
        <w:rPr>
          <w:rFonts w:ascii="Times New Roman" w:cs="Times New Roman" w:eastAsia="Times New Roman" w:hAnsi="Times New Roman"/>
          <w:sz w:val="13"/>
          <w:szCs w:val="13"/>
          <w:b w:val="1"/>
          <w:bCs w:val="1"/>
          <w:color w:val="auto"/>
        </w:rPr>
        <w:t>Amended and Restated Working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Capital Note</w:t>
      </w:r>
      <w:r>
        <w:rPr>
          <w:rFonts w:ascii="Times New Roman" w:cs="Times New Roman" w:eastAsia="Times New Roman" w:hAnsi="Times New Roman"/>
          <w:sz w:val="13"/>
          <w:szCs w:val="13"/>
          <w:color w:val="auto"/>
        </w:rPr>
        <w:t>”) in the principal amount of $293,000.00 to GigAcquisitions7 Corp., a Cayman Islands exempted company (the “</w:t>
      </w:r>
      <w:r>
        <w:rPr>
          <w:rFonts w:ascii="Times New Roman" w:cs="Times New Roman" w:eastAsia="Times New Roman" w:hAnsi="Times New Roman"/>
          <w:sz w:val="13"/>
          <w:szCs w:val="13"/>
          <w:b w:val="1"/>
          <w:bCs w:val="1"/>
          <w:color w:val="auto"/>
        </w:rPr>
        <w:t>Sponsor</w:t>
      </w:r>
      <w:r>
        <w:rPr>
          <w:rFonts w:ascii="Times New Roman" w:cs="Times New Roman" w:eastAsia="Times New Roman" w:hAnsi="Times New Roman"/>
          <w:sz w:val="13"/>
          <w:szCs w:val="13"/>
          <w:color w:val="auto"/>
        </w:rPr>
        <w: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Amended and Restated Working Capital Note amends, restates, supersedes and replaces that certain unsecured convertible promissory note dated January 30, 2026, in the principal amount of $148,000 previously issued by GigCapital7 to the Sponsor (the “</w:t>
      </w:r>
      <w:r>
        <w:rPr>
          <w:rFonts w:ascii="Times New Roman" w:cs="Times New Roman" w:eastAsia="Times New Roman" w:hAnsi="Times New Roman"/>
          <w:sz w:val="13"/>
          <w:szCs w:val="13"/>
          <w:b w:val="1"/>
          <w:bCs w:val="1"/>
          <w:color w:val="auto"/>
        </w:rPr>
        <w:t>Prior Note</w:t>
      </w:r>
      <w:r>
        <w:rPr>
          <w:rFonts w:ascii="Times New Roman" w:cs="Times New Roman" w:eastAsia="Times New Roman" w:hAnsi="Times New Roman"/>
          <w:sz w:val="13"/>
          <w:szCs w:val="13"/>
          <w:color w:val="auto"/>
        </w:rPr>
        <w:t>”). GigCapital7 issued the Amended and Restated Working Capital Note in consideration for a loan from the Sponsor to fund GigCapital7’s working capital requirements. The Amended and Restated Working Capital Note is convertible at the Sponsor’s election upon the consummation of the initial business combination. Upon such election, the convertible note will convert, at a price of $10.00 per unit, into units identical to the private placement units issued in connection with GigCapital7’s initial public offering. The Amended and Restated Working Capital Note bears no interest and is repayable in full upon the consummation of a business combination by GigCapital7, except that the Amended and Restated Working Capital Note may be converted, at the sole election of the Sponsor, into units of GigCapital7 at the consummation of GigCapital7’s initial business combination.</w:t>
      </w:r>
    </w:p>
    <w:p>
      <w:pPr>
        <w:spacing w:after="0" w:line="138"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There is no change to the date, location, the record date, redemption deadline or any of the other proposals to be acted upon at the Extraordinary General Meeting. Shareholders who have previously submitted their proxies or otherwise voted and who do not want to change their vote need not take any action. Shareholders as of the record date of April 15, 2026 can vote, even if they have subsequently sold their shares. Shareholders who wish to withdraw their previously submitted redemption requests may do so prior to the Extraordinary General Meeting by requesting that the transfer agent return such shares prior to the Extraordinary General Meeting.</w:t>
      </w:r>
    </w:p>
    <w:p>
      <w:pPr>
        <w:sectPr>
          <w:pgSz w:w="11900" w:h="16838" w:orient="portrait"/>
          <w:cols w:equalWidth="0" w:num="1">
            <w:col w:w="9019"/>
          </w:cols>
          <w:pgMar w:left="1440" w:top="229"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NOTICES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GigCapital7</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GigCapital7 is a blank check company, also commonly referred to as a special purpose acquisition company, or SPAC, formed for the purpose of entering into a merger, capital stock exchange, asset acquisition, stock purchase reorganization or similar business combination with one or more businesses or entities. While GigCapital7’s efforts to identify a target business may span many industries, the focus of GigCapital7’s search is for prospects within the technology, media, and telecommunications, artificial intelligence and machine learning, cybersecurity, medical technology and medical equipment, semiconductor and sustainable industries. GigCapital7 was sponsored by GigAcquisitions7, LLC, which was founded by GigFounders, LLC, each a member entity of GigCapital Global, and formed for the purpose of entering into a merger, share exchange, asset acquisition, stock purchase, recapitalization, reorganization, or similar business combination with one or more businesses.</w:t>
      </w:r>
    </w:p>
    <w:p>
      <w:pPr>
        <w:spacing w:after="0" w:line="136" w:lineRule="exact"/>
        <w:rPr>
          <w:sz w:val="20"/>
          <w:szCs w:val="20"/>
          <w:color w:val="auto"/>
        </w:rPr>
      </w:pPr>
    </w:p>
    <w:p>
      <w:pPr>
        <w:jc w:val="both"/>
        <w:ind w:left="640" w:right="859"/>
        <w:spacing w:after="0" w:line="255" w:lineRule="auto"/>
        <w:rPr>
          <w:sz w:val="20"/>
          <w:szCs w:val="20"/>
          <w:color w:val="auto"/>
        </w:rPr>
      </w:pPr>
      <w:r>
        <w:rPr>
          <w:rFonts w:ascii="Times New Roman" w:cs="Times New Roman" w:eastAsia="Times New Roman" w:hAnsi="Times New Roman"/>
          <w:sz w:val="13"/>
          <w:szCs w:val="13"/>
          <w:color w:val="auto"/>
        </w:rPr>
        <w:t>On September 27, 2025, GigCapital7 entered into the Business Combination Agreement with Merger Sub and the Company, pursuant to the terms of which, Merger Sub will merge with and into the Company, with the Company surviving as a wholly-owned subsidiary of GigCapital7, which will be renamed as Hadron Energy, Inc.</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799"/>
        <w:spacing w:after="0" w:line="249" w:lineRule="auto"/>
        <w:rPr>
          <w:sz w:val="20"/>
          <w:szCs w:val="20"/>
          <w:color w:val="auto"/>
        </w:rPr>
      </w:pPr>
      <w:r>
        <w:rPr>
          <w:rFonts w:ascii="Times New Roman" w:cs="Times New Roman" w:eastAsia="Times New Roman" w:hAnsi="Times New Roman"/>
          <w:sz w:val="13"/>
          <w:szCs w:val="13"/>
          <w:color w:val="auto"/>
        </w:rPr>
        <w:t>In connection with the proposed Business Combination between GigCapital7 and the Company, GigCapital7 has filed the Proxy Statement, which includes a prospectus, with the SEC, and has commenced distribution of the Proxy Statement to GigCapital7’s shareholders in connection with GigCapital7’s solicitation of proxies for the shareholder vote in connection with the Business Combination and related transactions, and the other matters described in the Proxy Statement. GigCapital7 is mailing the Proxy Statement and other relevant documents to its shareholders as of April 15, 2026, the record date established for voting on the proposed Business Combination.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 xml:space="preserve">BEFORE MAKING ANY VOTING OR INVESTMENT DECISION, GIGCAPITAL7’S SHAREHOLDERS AND OTHER INTERESTED PARTIES ARE URGED TO READ, WHEN AVAILABLE, THE DEFINITIVE PROXY STATEMENT/FINAL PROSPECTUS AND ALL OTHER RELEVANT DOCUMENTS FILED OR THAT WILL BE FILED WITH THE SEC IN CONNECTION WITH GIGCAPITAL7’S SOLICITATION OF PROXIES FOR THE EXTRAORDINARY GENERAL MEETING OF ITS SHAREHOLDERS TO BE HELD TO APPROVE THE BUSINESS COMBINATION AGREEMENT, THE BUSINESS COMBINATION AND OTHER MATTERS AS DESCRIBED IN THE DEFINITIVE PROXY STATEMENT/FINAL PROSPECTUS BECAUSE THESE DOCUMENTS WILL CONTAIN IMPORTANT INFORMATION ABOUT GIGCAPITAL7, THE COMPANY AND THE PROPOSED TRANSACTIONS. Shareholders and other interested parties may obtain a copy of these documents, without charge, at the SEC’s website located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 xml:space="preserve"> or by directing a written request to GigCapital7 Corp., Attn: Corporate Secretary, 1731 Embarcadero Rd., Suite 200, Palo Alto, CA 94303.</w:t>
      </w:r>
    </w:p>
    <w:p>
      <w:pPr>
        <w:spacing w:after="0" w:line="137" w:lineRule="exact"/>
        <w:rPr>
          <w:sz w:val="20"/>
          <w:szCs w:val="20"/>
          <w:color w:val="auto"/>
        </w:rPr>
      </w:pPr>
    </w:p>
    <w:p>
      <w:pPr>
        <w:ind w:left="640" w:right="759"/>
        <w:spacing w:after="0" w:line="251" w:lineRule="auto"/>
        <w:rPr>
          <w:sz w:val="20"/>
          <w:szCs w:val="20"/>
          <w:color w:val="auto"/>
        </w:rPr>
      </w:pPr>
      <w:r>
        <w:rPr>
          <w:rFonts w:ascii="Times New Roman" w:cs="Times New Roman" w:eastAsia="Times New Roman" w:hAnsi="Times New Roman"/>
          <w:sz w:val="13"/>
          <w:szCs w:val="13"/>
          <w:color w:val="auto"/>
        </w:rPr>
        <w:t>NEITHER THE SEC NOR ANY STATE SECURITIES REGULATORY AGENCY HAS APPROVED OR DISAPPROVED THE TRANSACTIONS DESCRIBED HEREIN, PASSED UPON THE MERITS OR FAIRNESS OF THE TRANSACTIONS OR ANY RELATED TRANSACTIONS OR PASSED UPON THE ADEQUACY OR ACCURACY OF THE DISCLOSURE IN THIS CURRENT REPORT. ANY REPRESENTATION TO THE CONTRARY CONSTITUTES A CRIMINAL OFFENSE.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The Company, GigCapital7 and their respective directors, executive officers, management and employees, under SEC rules, may be deemed to be participants in a solicitation of proxies of GigCapital7’s shareholders in connection with the Business Combination and related transactions.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GigCapital7’s shareholders in connection with the Business Combination is set forth in the Proxy Statement, along with information concerning the interests of the Company’s and GigCapital7’s participants in the solicitation. Such interests may in some cases be different from those of the Company’s or GigCapital7’s equity holders generally. Investors and security holders may obtain free copies of these documents as described above.</w:t>
      </w:r>
    </w:p>
    <w:p>
      <w:pPr>
        <w:sectPr>
          <w:pgSz w:w="11900" w:h="16838" w:orient="portrait"/>
          <w:cols w:equalWidth="0" w:num="1">
            <w:col w:w="9019"/>
          </w:cols>
          <w:pgMar w:left="1440" w:top="229" w:right="1440" w:bottom="1440" w:gutter="0" w:footer="0" w:header="0"/>
        </w:sectPr>
      </w:pPr>
    </w:p>
    <w:bookmarkStart w:id="49" w:name="page50"/>
    <w:bookmarkEnd w:id="4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4" w:lineRule="auto"/>
        <w:rPr>
          <w:sz w:val="20"/>
          <w:szCs w:val="20"/>
          <w:color w:val="auto"/>
        </w:rPr>
      </w:pPr>
      <w:r>
        <w:rPr>
          <w:rFonts w:ascii="Times New Roman" w:cs="Times New Roman" w:eastAsia="Times New Roman" w:hAnsi="Times New Roman"/>
          <w:sz w:val="12"/>
          <w:szCs w:val="12"/>
          <w:color w:val="auto"/>
        </w:rPr>
        <w:t>Certain statements included in this Current Report on Form 8-K and the exhibit hereto that are not historical facts are forward-looking statements for purposes of the “safe harbor” provisions under the United States Private Securities Litigation Reform Act of 1995. Forward-looking statements generally are accompanied by words such as “may,” “could,” “would,” “should,” “expect,” “possible,” “potential,” “goal,” “opportunity,” “project,” “believe,” “future”, “designed,” “forecast,” “target,” “will,” “anticipate,” “estimate,” “continue,” “intend,” “plan,” “predict,” “seem,” “seek,” “outlook,” and, in each case, similar words and expressions, or their negative variations, and terminology that predict or indicate future events or trends or that are not statements of historical matters. Forward-looking statements generally relate to future events, including, without limitation, statements, estimates, forecasts or projections regarding the Company’s future manufacturing capacity and plant performance; market opportunity and market share; estimates and projections of adjacent energy sector opportunities; the Company’s projected commercialization costs and timeline; the Company’s ability to demonstrate scientific and engineering feasibility of its technologies; the Company’s ability to attract, retain and expand its future customer base; the Company’s ability to timely and effectively meet construction and development timelines and scale its production and manufacturing processes; the Company’s ability to develop products and services and bring them to market in a timely manner; the Company’s ability to compete successfully with energy products and solutions offered by other companies; the Company’s expectations concerning relationships with strategic partners, suppliers, governments, regulatory bodies and other third parties; the Company’s ability to maintain, protect, and enhance its intellectual property; future ventures or investments in companies or products, services, or technologies; the Company’s expectations regarding regulatory framework development; the potential for and timing of receipt of licenses and permits for current and future operations, including licenses to operate nuclear facilities from the U.S. Nuclear Regulatory Commission; the success of proposed projects for which the Company’s products would provide power, which is outside of the Company’s control; the safety profile of the Company’s technology; the execution and success of any definitive agreements related to partnerships and collaborations between the Company and third parties; the Company’s expectations with respect to future performance; GigCapital7’s and the Company’s respective industries, future events, the anticipated use of the investor presentation by the Company and GigCapital7, potential financing activities by the Company, including any contemplated private placement of SAFEs, potential non-deal roadshows, and possible PIPE financing discussions, the proposed transactions between GigCapital7 and the Company, the anticipated timing and benefits of the Business Combination, the entry into agreements related to the Business Combination, the consummation of the proposed Business Combination; the estimated or anticipated future results and benefits of the combined company following the proposed transactions, including the likelihood and ability of the parties to successfully consummate the proposed transactions, future opportunities for the combined company, GigCapital7’s or the Company’s future financial or operating performance, and other statements that are not historical facts. In addition, these forward-looking statements include, without limitation, statements regarding GigCapital7’s and the Company’s expectations with respect to future performance and anticipated financial impacts of the proposed private placements, the Business Combination and other transactions, the satisfaction of the closing conditions to the Business Combination and other transactions, and the timing of the completion of the Business Combination and other transactions. Such forward-looking statements are subject to risks, uncertainties (some of which are beyond the control of the Company and/or GigCapital7), and other factors which could cause actual results to differ materially from those expressed or implied by such forward-looking statements. These forward-looking statements are based upon estimates and assumptions that, while considered reasonable by GigCapital7 and its management, and the Company and its management, as the case may be, are inherently uncertain. Factors that may cause actual results to differ materially from current expectations include, without limitation: (1) the occurrence of any event, change or other circumstances that could give rise to the termination of the proposed Business Combination or other definitive agreements in connection thereto; (2) the outcome of any legal proceedings that may be instituted against the Company, GigCapital7 or others following the announcement of the proposed Business Combination and any definitive agreements with respect thereto; (3) the inability to successfully or timely consummate the Business Combination and related transactions, including due to the failure to obtain consents and approvals of the shareholders of GigCapital7; (4) the failure to obtain financing to complete the transactions or to satisfy other conditions to closing; delays or failures to obtain necessary regulatory approvals required to complete the transactions; (5) changes to the proposed structure of the transactions as a result of applicable laws, regulations or conditions; (6) the ability of GigCapital7 to meet applicable listing standards following the consummation of the Business Combination; (7) the risk that the Business Combination disrupts current plans and operations of the Company as a result of the announcement and consummation of the Business Combination; (8) projections, estimates and forecasts of revenue and other financial and performance metrics;</w:t>
      </w:r>
    </w:p>
    <w:p>
      <w:pPr>
        <w:sectPr>
          <w:pgSz w:w="11900" w:h="16838" w:orient="portrait"/>
          <w:cols w:equalWidth="0" w:num="1">
            <w:col w:w="9019"/>
          </w:cols>
          <w:pgMar w:left="1440" w:top="229" w:right="1440" w:bottom="1440" w:gutter="0" w:footer="0" w:header="0"/>
        </w:sectPr>
      </w:pPr>
    </w:p>
    <w:bookmarkStart w:id="50" w:name="page51"/>
    <w:bookmarkEnd w:id="50"/>
    <w:p>
      <w:pPr>
        <w:ind w:left="640" w:right="699" w:hanging="3"/>
        <w:spacing w:after="0" w:line="267" w:lineRule="auto"/>
        <w:tabs>
          <w:tab w:leader="none" w:pos="819"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projections about industry trends and market opportunity; expectations relating to the demand for the Company’s micro modular reactor (“</w:t>
      </w:r>
      <w:r>
        <w:rPr>
          <w:rFonts w:ascii="Times New Roman" w:cs="Times New Roman" w:eastAsia="Times New Roman" w:hAnsi="Times New Roman"/>
          <w:sz w:val="12"/>
          <w:szCs w:val="12"/>
          <w:b w:val="1"/>
          <w:bCs w:val="1"/>
          <w:color w:val="auto"/>
        </w:rPr>
        <w:t>MMR</w:t>
      </w:r>
      <w:r>
        <w:rPr>
          <w:rFonts w:ascii="Times New Roman" w:cs="Times New Roman" w:eastAsia="Times New Roman" w:hAnsi="Times New Roman"/>
          <w:sz w:val="12"/>
          <w:szCs w:val="12"/>
          <w:color w:val="auto"/>
        </w:rPr>
        <w:t>”) technology; (10) the Company’s ability to scale and grow its business; (11) the cash position of the Company following closing of the Business Combination; (12) the risk that the transactions disrupt current plans and operations of the Company as a result of the announcement and consummation of the transactions; (13) the ability to recognize the anticipated benefits of the Business Combination, which may be affected by, among other things, competition, the ability of the Company to successfully commercialize its MMR, and the Company’s ability to source and maintain key relationships with management and key employees; (14) the ability of the combined company to grow and manage growth profitably, continue developing its properties, maintain relationships with customers and suppliers, and retain its management and key employees; (15) costs related to the transactions;</w:t>
      </w:r>
    </w:p>
    <w:p>
      <w:pPr>
        <w:spacing w:after="0" w:line="1" w:lineRule="exact"/>
        <w:rPr>
          <w:rFonts w:ascii="Times New Roman" w:cs="Times New Roman" w:eastAsia="Times New Roman" w:hAnsi="Times New Roman"/>
          <w:sz w:val="12"/>
          <w:szCs w:val="12"/>
          <w:color w:val="auto"/>
        </w:rPr>
      </w:pPr>
    </w:p>
    <w:p>
      <w:pPr>
        <w:ind w:left="640" w:right="739" w:hanging="3"/>
        <w:spacing w:after="0" w:line="263" w:lineRule="auto"/>
        <w:tabs>
          <w:tab w:leader="none" w:pos="882"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relating to significant legal, commercial, regulatory and technical uncertainty regarding the classification and management of nuclear energy resources, including evolving environmental standards, permitting requirements, and potential changes in applicable laws or regulations; changes in applicable laws and regulations; political and economic developments and market volatility; (17) the possibility that the Company and/or its related entities may be adversely affected by other economic, business, and/or competitive factors; (18) risks relating to the Company’s anticipated operations and business, including its focus on the development and commercialization of MMR technologies; (19) the risk that the Company does not ever enter into any definitive agreements in connection with commercialization of its technology; (20) the risk that the Company is pursuing an emerging market;</w:t>
      </w:r>
    </w:p>
    <w:p>
      <w:pPr>
        <w:spacing w:after="0" w:line="2" w:lineRule="exact"/>
        <w:rPr>
          <w:rFonts w:ascii="Times New Roman" w:cs="Times New Roman" w:eastAsia="Times New Roman" w:hAnsi="Times New Roman"/>
          <w:sz w:val="12"/>
          <w:szCs w:val="12"/>
          <w:color w:val="auto"/>
        </w:rPr>
      </w:pPr>
    </w:p>
    <w:p>
      <w:pPr>
        <w:ind w:left="880" w:hanging="243"/>
        <w:spacing w:after="0"/>
        <w:tabs>
          <w:tab w:leader="none" w:pos="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redemption requests made by the GigCapital7 public shareholders; (22) risks related to the future performance of the Company;</w:t>
      </w:r>
    </w:p>
    <w:p>
      <w:pPr>
        <w:spacing w:after="0" w:line="2" w:lineRule="exact"/>
        <w:rPr>
          <w:rFonts w:ascii="Times New Roman" w:cs="Times New Roman" w:eastAsia="Times New Roman" w:hAnsi="Times New Roman"/>
          <w:sz w:val="13"/>
          <w:szCs w:val="13"/>
          <w:color w:val="auto"/>
        </w:rPr>
      </w:pPr>
    </w:p>
    <w:p>
      <w:pPr>
        <w:ind w:left="640" w:right="659" w:hanging="3"/>
        <w:spacing w:after="0" w:line="266" w:lineRule="auto"/>
        <w:tabs>
          <w:tab w:leader="none" w:pos="882"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need for financing for future operations; (24) financial, political and legal conditions; (25) increased competition in the energy industry; (26) limited supply of materials and supply chain disruptions; and (27) other risks and uncertainties set forth under “Risk Factors” and other documents filed, or to be filed, with the SEC by GigCapital7 and/or the Company, including the Registration Statement on Form S-4 that the Company and GigCapital7 filed in connection with the Business Combination, and GigCapital7’s other filings with the SEC, as well as any further risks and uncertainties contained in the Proxy Statement. In addition, there may be additional risks that neither GigCapital7 or the Company presently know, or that GigCapital7 or the Company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Except as may be required by law, neither GigCapital7 nor the Company undertakes any duty to update these forward-looking statements. The inclusion of any statement in this communication does not constitute an admission by GigCapital7, the Company, or any other person that the events or circumstances described in such statement are material.</w:t>
      </w:r>
    </w:p>
    <w:sectPr>
      <w:pgSz w:w="11900" w:h="16838" w:orient="portrait"/>
      <w:cols w:equalWidth="0" w:num="1">
        <w:col w:w="9019"/>
      </w:cols>
      <w:pgMar w:left="14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21"/>
    </w:lvl>
  </w:abstractNum>
  <w:abstractNum w:abstractNumId="23">
    <w:nsid w:val="75A2A8D4"/>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2026-04-20T07:09:12Z</dcterms:created>
  <dcterms:modified xsi:type="dcterms:W3CDTF">2026-04-20T07:09:12Z</dcterms:modified>
</cp:coreProperties>
</file>