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GigCapital7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001-42262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GigCapital7 Corp.</w:t>
      </w:r>
    </w:p>
    <w:p>
      <w:pPr>
        <w:spacing w:after="0" w:line="20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Hadron Energy Submits Principal Design Criteria Whitepaper to U.S. Nuclear Regulatory Commission, Marking Pivotal Licensing Milestone for Halo Microreactor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131445</wp:posOffset>
            </wp:positionV>
            <wp:extent cx="5332095" cy="2983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2983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Advances Formal 10 CFR Part 52 Licensing Pathway for 10 MWe Passive Safety Reactor Ahead of Company’s Planned Public Listing</w:t>
      </w:r>
    </w:p>
    <w:p>
      <w:pPr>
        <w:spacing w:after="0" w:line="223"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 April 22, 2026 — Hadron Energy, Inc. (“Hadron” or “Company”), a developer of advanced nuclear microreactors,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submission of its Principal Design Criteria (PDC) White Paper for Hadron’s Halo Modular Microreactor (Halo MMR) to the U.S. Nuclear Regulatory Commission (NRC) as part of the formal pre-application engagement process under 10 CFR Part 52 (Project No. 99902144). The submission, dated April 10, 2026, formalizes the technical and safety framework that will govern all future license applications for the Halo MMR, including a Manufacturing License (ML) and a combined Construction Permit and Operating License (COL). It builds upon the Company’s prior regulatory filings including its Quality Assurance Program Description and Regulatory Engagement Plan.</w:t>
      </w:r>
    </w:p>
    <w:p>
      <w:pPr>
        <w:spacing w:after="0" w:line="186"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submission follows a productive pre-application meeting with NRC Staff on December 17, 2025, during which the NRC’s New Reactor Division, including senior technical reviewers from multiple branches, provided positive feedback on Hadron’s proposed regulatory approach. The NRC’s openness to Hadron’s PDC framework provides early validation of the Company’s licensing strategy and meaningfully de-risks the path to commercialization. The White Paper is submitted in direct fulfillment of the action item from that meeting.</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Licensing Strategy Built on Proven Regulatory Foundations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Hadron has selected 10 CFR Part 52 as its licensing pathway, which provides a combined COL process specifically designed for new reactor builds. Part 52 builds on the foundational regulatory principles established under Part 50 while offering a streamlined, design-oriented framework that resolves key licensing questions before construction begins. This approach reduces late-stage regulatory risk and aligns with the Halo MMR’s standardized deployment model.</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Hadron’s PDC approach is grounded in well-established NRC regulatory precedent for integral pressurized water reactor (iPWR) designs that rely on inherent passive safety rather than active engineered systems. The NRC has previously approved exemptions from certain General Design Criteria for this class of reactor, recognizing that prescriptive requirements designed for large active-safety plants are unnecessary — and in some cases inapplicable</w:t>
      </w:r>
    </w:p>
    <w:p>
      <w:pPr>
        <w:spacing w:after="0" w:line="2"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 when the underlying safety functions are achieved through passive physics alone. Building on this established regulatory precedent and favorable NRC feedback during early engagement, Hadron is well-positioned to demonstrate compliance with applicable regulatory requirements and rigorous safety standards.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PDC White Paper addresses nine General Design Criteria (GDC) exemption areas, including Electric Power Systems, Control Room and Shutdown, Combined Reactivity Control, Reactor Coolant Makeup, Passive Fluid Systems, Containment Heat Removal Testing, Containment Leakage Rate Testing, and Containment Isolation. An additional eight non-GDC regulatory exemptions with an established precedent are also addressed. In every case, Hadron’s proposed PDC meets or exceeds the underlying safety objectives of the applicable requirement while reflecting the unique passive physics of the Halo MMR.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Halo MMR: A New Standard in Passive Nuclear Safety</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Halo MMR is a 10 MWe integral pressurized water reactor (iPWR) of the “reactor-in-a-pool” configuration. The reactor core, steam generators, pressurizer, and all primary coolants are housed within a single integral reactor pressure vessel (RPV), enclosed within a close-fitting cylindrical containment vessel (CV). Both are partially submerged in a dedicated, below-grade, stainless-steel-lined flooded pool that serves as the module’s passive ultimate heat sink. The entire system is factory-fabricated and semi-truck transportable.</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Halo MMR’s safety philosophy centers on passive systems requiring no electrical power, no operator action, and no external water sources to achieve and maintain safe shutdown. Its key safety features include: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Passive Emergency Core Cooling (ECCS): </w:t>
      </w:r>
      <w:r>
        <w:rPr>
          <w:rFonts w:ascii="Times New Roman" w:cs="Times New Roman" w:eastAsia="Times New Roman" w:hAnsi="Times New Roman"/>
          <w:sz w:val="18"/>
          <w:szCs w:val="18"/>
          <w:color w:val="auto"/>
        </w:rPr>
        <w:t>Two independent vent paths automatically cool the core via gravity-driven natural circulation, satisfying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single-failure requirements without pumps, diesel generators, or operator action.</w:t>
      </w:r>
    </w:p>
    <w:p>
      <w:pPr>
        <w:sectPr>
          <w:pgSz w:w="11900" w:h="16838" w:orient="portrait"/>
          <w:cols w:equalWidth="0" w:num="1">
            <w:col w:w="11000"/>
          </w:cols>
          <w:pgMar w:left="440" w:top="266" w:right="459" w:bottom="1440" w:gutter="0" w:footer="0" w:header="0"/>
        </w:sectPr>
      </w:pPr>
    </w:p>
    <w:bookmarkStart w:id="2" w:name="page3"/>
    <w:bookmarkEnd w:id="2"/>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Passive Containment Heat Removal: </w:t>
      </w:r>
      <w:r>
        <w:rPr>
          <w:rFonts w:ascii="Times New Roman" w:cs="Times New Roman" w:eastAsia="Times New Roman" w:hAnsi="Times New Roman"/>
          <w:sz w:val="18"/>
          <w:szCs w:val="18"/>
          <w:color w:val="auto"/>
        </w:rPr>
        <w:t>Decay heat transfers passively from the RPV through the containment vessel to the surrounding reactor pool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conduction and convection needing no power or active components.</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Elimination of Large-Break LOCA from the Design Basis: </w:t>
      </w:r>
      <w:r>
        <w:rPr>
          <w:rFonts w:ascii="Times New Roman" w:cs="Times New Roman" w:eastAsia="Times New Roman" w:hAnsi="Times New Roman"/>
          <w:sz w:val="18"/>
          <w:szCs w:val="18"/>
          <w:color w:val="auto"/>
        </w:rPr>
        <w:t>The integral design removes large-bore primary coolant piping eliminating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large-break loss-of-coolant accidents.</w:t>
      </w:r>
    </w:p>
    <w:p>
      <w:pPr>
        <w:spacing w:after="0" w:line="15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10-Year Once-Through Fuel Cycle: </w:t>
      </w:r>
      <w:r>
        <w:rPr>
          <w:rFonts w:ascii="Times New Roman" w:cs="Times New Roman" w:eastAsia="Times New Roman" w:hAnsi="Times New Roman"/>
          <w:sz w:val="18"/>
          <w:szCs w:val="18"/>
          <w:color w:val="auto"/>
        </w:rPr>
        <w:t>Operating on Low-Enriched Uranium Plus (LEU+) fuel at no more than 8.0 wt% U-235, the Halo MMR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for a 10-year fuel cycle, minimizing operational complexity and long-term fuel costs.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Halo MMR’s thermal output produces lower decay heat loads, smaller fission product inventories, and reduced source terms, all of which enhance safety margins relative to larger light-water reactor designs and strengthen the technical basis for the proposed PDC exemptions.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Accelerating Momentum Ahead of Public Listing</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NRC submission arrives amid an accelerating period of technical and commercial progress for Hadron. The SEC on April 15, 2026 declared effective the Form S-4 registration statement filed by GigCapital7 Corp (Nasdaq: GIG) in connection with the proposed business combination with Hadron. GigCapital7 has scheduled its special shareholders meeting to approve the business combination for May 7, 2026. The PDC submission directly strengthens the technical credibility and licensing risk reduction profile that will underpin the Company’s capitalization and commercialization roadmap.</w:t>
      </w:r>
    </w:p>
    <w:p>
      <w:pPr>
        <w:spacing w:after="0" w:line="1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Hadron continues to accelerate on multiple fronts — advancing critical subsystem partnerships while simultaneously laying the regulatory foundation for commercial deployment — positioning the Company to lead the next generation of nuclear energy in the United States.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“Submitting the PDC White Paper to the NRC is the most consequential technical milestone in Hadron’s history. We have defined the regulatory framework for the Halo MMR, grounded in established NRC regulatory pathways, and earned early favorable feedback on the planned licensing path from NRC Staff through our pre-application engagement. The combination of our fully passive design, our proven licensing strategy, and our growing commercial pipeline puts Hadron in a position of real strength as we approach the public markets”, stated </w:t>
      </w:r>
      <w:r>
        <w:rPr>
          <w:rFonts w:ascii="Times New Roman" w:cs="Times New Roman" w:eastAsia="Times New Roman" w:hAnsi="Times New Roman"/>
          <w:sz w:val="18"/>
          <w:szCs w:val="18"/>
          <w:b w:val="1"/>
          <w:bCs w:val="1"/>
          <w:color w:val="auto"/>
        </w:rPr>
        <w:t>Samuel Gibson, Founder and CEO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Hadron.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Hadron is a pioneer in MMR technology. Designed to deliver 10 MWe of power, Hadron’s MMR will be smaller, more cost-effective, and faster to deploy than other proposed MMR power solutions. The revolutionary design of Hadron’s MMR allows its reactor vessel, core, and containment shell to be truck transportable from a central manufacturing facility, providing a versatile deployment model for end users. Whether powering an artificial intelligence data center, remote community, or an industrial hub, Hadron’s MMR is expected to provide a reliable, safe and scalable nuclear energy solution.</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please visit https://www.hadronenergy.com/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pacing w:after="0" w:line="19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regulatory pathway for the Halo MMR and potential licensure by the NRC; the outcome of Hadron’s regulatory submissions;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and statements regarding the benefits of the business combination between the parties and the anticipated timing of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ectPr>
          <w:pgSz w:w="11900" w:h="16838" w:orient="portrait"/>
          <w:cols w:equalWidth="0" w:num="1">
            <w:col w:w="11000"/>
          </w:cols>
          <w:pgMar w:left="440" w:top="270" w:right="45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ectPr>
          <w:pgSz w:w="11900" w:h="16838" w:orient="portrait"/>
          <w:cols w:equalWidth="0" w:num="1">
            <w:col w:w="10960"/>
          </w:cols>
          <w:pgMar w:left="440" w:top="270" w:right="49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prospectus/definitive proxy statement, to be distributed to GigCapital7’s shareholders in connection with GigCapital7’s solicitation of proxies for the shareholder vote in connection with the proposed business combination and other matters as described in the Registration Statement. GigCapital7 is mailing the final prospectus/definitive proxy statement and other relevant documents (the “GigCapital7 Shareholder Materials”) to its shareholders as of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 /PROXY STATEMENT BECAUSE THESE DOCUMENTS CONTAIN</w:t>
      </w:r>
    </w:p>
    <w:p>
      <w:pPr>
        <w:sectPr>
          <w:pgSz w:w="11900" w:h="16838" w:orient="portrait"/>
          <w:cols w:equalWidth="0" w:num="1">
            <w:col w:w="11000"/>
          </w:cols>
          <w:pgMar w:left="440" w:top="270" w:right="459" w:bottom="1440" w:gutter="0" w:footer="0" w:header="0"/>
        </w:sectPr>
      </w:pPr>
    </w:p>
    <w:bookmarkStart w:id="6" w:name="page7"/>
    <w:bookmarkEnd w:id="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Hadron, GigCapital7 and their respective directors, executive officers, management and employees, under SEC rules, may be deemed to be participants in a solicitation of proxies of GigCapital7’s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w:t>
      </w:r>
    </w:p>
    <w:p>
      <w:pPr>
        <w:sectPr>
          <w:pgSz w:w="11900" w:h="16838" w:orient="portrait"/>
          <w:cols w:equalWidth="0" w:num="1">
            <w:col w:w="10900"/>
          </w:cols>
          <w:pgMar w:left="440" w:top="270" w:right="55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https://www.hadronenergy.com/investor-relations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2026-04-22T07:07:29Z</dcterms:created>
  <dcterms:modified xsi:type="dcterms:W3CDTF">2026-04-22T07:07:29Z</dcterms:modified>
</cp:coreProperties>
</file>