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GigCapital9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2,178,000.00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8.48 %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Arbitrage,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GigCapital9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259"/>
        <w:spacing w:after="0"/>
        <w:rPr>
          <w:sz w:val="20"/>
          <w:szCs w:val="20"/>
          <w:color w:val="auto"/>
        </w:rPr>
      </w:pPr>
      <w:r>
        <w:rPr>
          <w:rFonts w:ascii="Times New Roman" w:cs="Times New Roman" w:eastAsia="Times New Roman" w:hAnsi="Times New Roman"/>
          <w:sz w:val="22"/>
          <w:szCs w:val="22"/>
          <w:color w:val="auto"/>
        </w:rPr>
        <w:t>1731 EMBARCADERO RD., SUITE 200, PALO ALTO, CALIFORNIA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1660"/>
        <w:spacing w:after="0" w:line="267"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AQR Arbitrage, LLC Address or principal business office or, if none, residence:</w:t>
      </w:r>
    </w:p>
    <w:p>
      <w:pPr>
        <w:spacing w:after="0" w:line="232" w:lineRule="auto"/>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60"/>
          </w:cols>
          <w:pgMar w:left="360" w:top="112" w:right="47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AQR Arbitrage, LLC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 *Units representing 2,178,000 shares of 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2" w:right="4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 AQR Arbitrage, LLC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AQR Capital Management, LLC - 2,178,000 AQR Capital Management Holdings, LLC - 2,178,000 AQR Arbitrage, LLC - 2,178,000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 AQR Arbitrage, LLC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AQR Capital Management, LLC - 2,178,000 AQR Capital Management Holdings, LLC - 2,178,000 AQR Arbitrage, LLC - 2,178,000</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60"/>
          </w:cols>
          <w:pgMar w:left="360" w:top="112" w:right="47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jc w:val="both"/>
        <w:ind w:left="9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AQR Arbitrage,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21"/>
          <w:szCs w:val="21"/>
          <w:color w:val="auto"/>
        </w:rPr>
        <w:t>AQR Capital Management Holdings, LLC, AQR Capital Management, LLC, and AQR Arbitrage, LLC hereby agree that this Schedule 13G is filed on behalf of each of the parties. AQR Capital Management, LLC is a wholly owned subsidiary of AQR Capital Management Holdings, LLC. AQR Arbitrage, LLC is deemed to be controlled by AQR Capital Management, LLC.</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2026-05-13T09:35:44Z</dcterms:created>
  <dcterms:modified xsi:type="dcterms:W3CDTF">2026-05-13T09:35:44Z</dcterms:modified>
</cp:coreProperties>
</file>