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1"/>
          <w:szCs w:val="31"/>
          <w:b w:val="1"/>
          <w:bCs w:val="1"/>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620395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68580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92075</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1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28" w:lineRule="exact"/>
        <w:rPr>
          <w:sz w:val="24"/>
          <w:szCs w:val="24"/>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80" w:lineRule="exact"/>
        <w:rPr>
          <w:rFonts w:ascii="MS PGothic" w:cs="MS PGothic" w:eastAsia="MS PGothic" w:hAnsi="MS PGothic"/>
          <w:sz w:val="18"/>
          <w:szCs w:val="18"/>
          <w:color w:val="auto"/>
          <w:highlight w:val="black"/>
        </w:rPr>
      </w:pPr>
    </w:p>
    <w:p>
      <w:pPr>
        <w:ind w:left="400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6"/>
          <w:szCs w:val="16"/>
          <w:b w:val="1"/>
          <w:bCs w:val="1"/>
          <w:color w:val="auto"/>
        </w:rPr>
        <w:t>For the quarterly period ended March 31, 2026</w:t>
      </w:r>
    </w:p>
    <w:p>
      <w:pPr>
        <w:spacing w:after="0" w:line="1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07"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10" w:lineRule="exact"/>
        <w:rPr>
          <w:rFonts w:ascii="MS PGothic" w:cs="MS PGothic" w:eastAsia="MS PGothic" w:hAnsi="MS PGothic"/>
          <w:sz w:val="18"/>
          <w:szCs w:val="18"/>
          <w:color w:val="auto"/>
          <w:highlight w:val="black"/>
        </w:rPr>
      </w:pPr>
    </w:p>
    <w:p>
      <w:pPr>
        <w:ind w:left="378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6"/>
          <w:szCs w:val="16"/>
          <w:b w:val="1"/>
          <w:bCs w:val="1"/>
          <w:color w:val="auto"/>
        </w:rPr>
        <w:t>For the transition period from ______ to __________</w:t>
      </w:r>
    </w:p>
    <w:p>
      <w:pPr>
        <w:spacing w:after="0" w:line="99" w:lineRule="exact"/>
        <w:rPr>
          <w:rFonts w:ascii="MS PGothic" w:cs="MS PGothic" w:eastAsia="MS PGothic" w:hAnsi="MS PGothic"/>
          <w:sz w:val="18"/>
          <w:szCs w:val="18"/>
          <w:color w:val="auto"/>
          <w:highlight w:val="black"/>
        </w:rPr>
      </w:pPr>
    </w:p>
    <w:p>
      <w:pPr>
        <w:ind w:left="434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6"/>
          <w:szCs w:val="16"/>
          <w:b w:val="1"/>
          <w:bCs w:val="1"/>
          <w:color w:val="auto"/>
        </w:rPr>
        <w:t>Commission File Number: 001-42893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99060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77" w:lineRule="exact"/>
        <w:rPr>
          <w:sz w:val="24"/>
          <w:szCs w:val="24"/>
          <w:color w:val="auto"/>
        </w:rPr>
      </w:pPr>
    </w:p>
    <w:tbl>
      <w:tblPr>
        <w:tblLayout w:type="fixed"/>
        <w:tblInd w:w="1640" w:type="dxa"/>
        <w:tblCellMar>
          <w:top w:w="0" w:type="dxa"/>
          <w:left w:w="0" w:type="dxa"/>
          <w:bottom w:w="0" w:type="dxa"/>
          <w:right w:w="0" w:type="dxa"/>
        </w:tblCellMar>
      </w:tblPr>
      <w:tr>
        <w:trPr>
          <w:trHeight w:val="483"/>
        </w:trPr>
        <w:tc>
          <w:tcPr>
            <w:tcW w:w="6060" w:type="dxa"/>
            <w:vAlign w:val="bottom"/>
            <w:gridSpan w:val="3"/>
          </w:tcPr>
          <w:p>
            <w:pPr>
              <w:jc w:val="center"/>
              <w:ind w:left="1829"/>
              <w:spacing w:after="0"/>
              <w:rPr>
                <w:sz w:val="20"/>
                <w:szCs w:val="20"/>
                <w:color w:val="auto"/>
              </w:rPr>
            </w:pPr>
            <w:r>
              <w:rPr>
                <w:rFonts w:ascii="Times New Roman" w:cs="Times New Roman" w:eastAsia="Times New Roman" w:hAnsi="Times New Roman"/>
                <w:sz w:val="40"/>
                <w:szCs w:val="40"/>
                <w:b w:val="1"/>
                <w:bCs w:val="1"/>
                <w:color w:val="auto"/>
                <w:w w:val="98"/>
              </w:rPr>
              <w:t>GigCapital8 Corp.</w:t>
            </w:r>
          </w:p>
        </w:tc>
        <w:tc>
          <w:tcPr>
            <w:tcW w:w="1260" w:type="dxa"/>
            <w:vAlign w:val="bottom"/>
          </w:tcPr>
          <w:p>
            <w:pPr>
              <w:spacing w:after="0"/>
              <w:rPr>
                <w:sz w:val="24"/>
                <w:szCs w:val="24"/>
                <w:color w:val="auto"/>
              </w:rPr>
            </w:pPr>
          </w:p>
        </w:tc>
      </w:tr>
      <w:tr>
        <w:trPr>
          <w:trHeight w:val="212"/>
        </w:trPr>
        <w:tc>
          <w:tcPr>
            <w:tcW w:w="6060" w:type="dxa"/>
            <w:vAlign w:val="bottom"/>
            <w:gridSpan w:val="3"/>
          </w:tcPr>
          <w:p>
            <w:pPr>
              <w:jc w:val="center"/>
              <w:ind w:left="180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tc>
        <w:tc>
          <w:tcPr>
            <w:tcW w:w="1260" w:type="dxa"/>
            <w:vAlign w:val="bottom"/>
          </w:tcPr>
          <w:p>
            <w:pPr>
              <w:spacing w:after="0"/>
              <w:rPr>
                <w:sz w:val="18"/>
                <w:szCs w:val="18"/>
                <w:color w:val="auto"/>
              </w:rPr>
            </w:pPr>
          </w:p>
        </w:tc>
      </w:tr>
      <w:tr>
        <w:trPr>
          <w:trHeight w:val="127"/>
        </w:trPr>
        <w:tc>
          <w:tcPr>
            <w:tcW w:w="2860" w:type="dxa"/>
            <w:vAlign w:val="bottom"/>
          </w:tcPr>
          <w:p>
            <w:pPr>
              <w:spacing w:after="0"/>
              <w:rPr>
                <w:sz w:val="11"/>
                <w:szCs w:val="11"/>
                <w:color w:val="auto"/>
              </w:rPr>
            </w:pPr>
          </w:p>
        </w:tc>
        <w:tc>
          <w:tcPr>
            <w:tcW w:w="2240" w:type="dxa"/>
            <w:vAlign w:val="bottom"/>
            <w:tcBorders>
              <w:bottom w:val="single" w:sz="8" w:color="auto"/>
            </w:tcBorders>
          </w:tcPr>
          <w:p>
            <w:pPr>
              <w:spacing w:after="0"/>
              <w:rPr>
                <w:sz w:val="11"/>
                <w:szCs w:val="11"/>
                <w:color w:val="auto"/>
              </w:rPr>
            </w:pPr>
          </w:p>
        </w:tc>
        <w:tc>
          <w:tcPr>
            <w:tcW w:w="960" w:type="dxa"/>
            <w:vAlign w:val="bottom"/>
          </w:tcPr>
          <w:p>
            <w:pPr>
              <w:spacing w:after="0"/>
              <w:rPr>
                <w:sz w:val="11"/>
                <w:szCs w:val="11"/>
                <w:color w:val="auto"/>
              </w:rPr>
            </w:pPr>
          </w:p>
        </w:tc>
        <w:tc>
          <w:tcPr>
            <w:tcW w:w="1260" w:type="dxa"/>
            <w:vAlign w:val="bottom"/>
          </w:tcPr>
          <w:p>
            <w:pPr>
              <w:spacing w:after="0"/>
              <w:rPr>
                <w:sz w:val="11"/>
                <w:szCs w:val="11"/>
                <w:color w:val="auto"/>
              </w:rPr>
            </w:pPr>
          </w:p>
        </w:tc>
      </w:tr>
      <w:tr>
        <w:trPr>
          <w:trHeight w:val="274"/>
        </w:trPr>
        <w:tc>
          <w:tcPr>
            <w:tcW w:w="6060" w:type="dxa"/>
            <w:vAlign w:val="bottom"/>
            <w:gridSpan w:val="3"/>
          </w:tcPr>
          <w:p>
            <w:pPr>
              <w:jc w:val="center"/>
              <w:ind w:right="3720"/>
              <w:spacing w:after="0"/>
              <w:rPr>
                <w:sz w:val="20"/>
                <w:szCs w:val="20"/>
                <w:color w:val="auto"/>
              </w:rPr>
            </w:pPr>
            <w:r>
              <w:rPr>
                <w:rFonts w:ascii="Times New Roman" w:cs="Times New Roman" w:eastAsia="Times New Roman" w:hAnsi="Times New Roman"/>
                <w:sz w:val="16"/>
                <w:szCs w:val="16"/>
                <w:b w:val="1"/>
                <w:bCs w:val="1"/>
                <w:color w:val="auto"/>
              </w:rPr>
              <w:t>Cayman Islands</w:t>
            </w:r>
          </w:p>
        </w:tc>
        <w:tc>
          <w:tcPr>
            <w:tcW w:w="1260" w:type="dxa"/>
            <w:vAlign w:val="bottom"/>
          </w:tcPr>
          <w:p>
            <w:pPr>
              <w:jc w:val="right"/>
              <w:ind w:right="67"/>
              <w:spacing w:after="0"/>
              <w:rPr>
                <w:sz w:val="20"/>
                <w:szCs w:val="20"/>
                <w:color w:val="auto"/>
              </w:rPr>
            </w:pPr>
            <w:r>
              <w:rPr>
                <w:rFonts w:ascii="Times New Roman" w:cs="Times New Roman" w:eastAsia="Times New Roman" w:hAnsi="Times New Roman"/>
                <w:sz w:val="16"/>
                <w:szCs w:val="16"/>
                <w:b w:val="1"/>
                <w:bCs w:val="1"/>
                <w:color w:val="auto"/>
              </w:rPr>
              <w:t>98-1868645</w:t>
            </w:r>
          </w:p>
        </w:tc>
      </w:tr>
      <w:tr>
        <w:trPr>
          <w:trHeight w:val="148"/>
        </w:trPr>
        <w:tc>
          <w:tcPr>
            <w:tcW w:w="6060" w:type="dxa"/>
            <w:vAlign w:val="bottom"/>
            <w:gridSpan w:val="3"/>
          </w:tcPr>
          <w:p>
            <w:pPr>
              <w:jc w:val="center"/>
              <w:ind w:right="3720"/>
              <w:spacing w:after="0"/>
              <w:rPr>
                <w:sz w:val="20"/>
                <w:szCs w:val="20"/>
                <w:color w:val="auto"/>
              </w:rPr>
            </w:pPr>
            <w:r>
              <w:rPr>
                <w:rFonts w:ascii="Times New Roman" w:cs="Times New Roman" w:eastAsia="Times New Roman" w:hAnsi="Times New Roman"/>
                <w:sz w:val="13"/>
                <w:szCs w:val="13"/>
                <w:b w:val="1"/>
                <w:bCs w:val="1"/>
                <w:color w:val="auto"/>
              </w:rPr>
              <w:t>( State or other jurisdiction of</w:t>
            </w:r>
          </w:p>
        </w:tc>
        <w:tc>
          <w:tcPr>
            <w:tcW w:w="1260" w:type="dxa"/>
            <w:vAlign w:val="bottom"/>
          </w:tcPr>
          <w:p>
            <w:pPr>
              <w:jc w:val="center"/>
              <w:ind w:left="127"/>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6060" w:type="dxa"/>
            <w:vAlign w:val="bottom"/>
            <w:gridSpan w:val="3"/>
          </w:tcPr>
          <w:p>
            <w:pPr>
              <w:jc w:val="center"/>
              <w:ind w:right="3720"/>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tc>
        <w:tc>
          <w:tcPr>
            <w:tcW w:w="1260" w:type="dxa"/>
            <w:vAlign w:val="bottom"/>
          </w:tcPr>
          <w:p>
            <w:pPr>
              <w:jc w:val="center"/>
              <w:ind w:left="127"/>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268"/>
        </w:trPr>
        <w:tc>
          <w:tcPr>
            <w:tcW w:w="6060" w:type="dxa"/>
            <w:vAlign w:val="bottom"/>
            <w:gridSpan w:val="3"/>
          </w:tcPr>
          <w:p>
            <w:pPr>
              <w:jc w:val="center"/>
              <w:ind w:right="3720"/>
              <w:spacing w:after="0"/>
              <w:rPr>
                <w:sz w:val="20"/>
                <w:szCs w:val="20"/>
                <w:color w:val="auto"/>
              </w:rPr>
            </w:pPr>
            <w:r>
              <w:rPr>
                <w:rFonts w:ascii="Times New Roman" w:cs="Times New Roman" w:eastAsia="Times New Roman" w:hAnsi="Times New Roman"/>
                <w:sz w:val="16"/>
                <w:szCs w:val="16"/>
                <w:b w:val="1"/>
                <w:bCs w:val="1"/>
                <w:color w:val="auto"/>
              </w:rPr>
              <w:t>1731 Embarcadero Rd., Suite 200</w:t>
            </w:r>
          </w:p>
        </w:tc>
        <w:tc>
          <w:tcPr>
            <w:tcW w:w="1260" w:type="dxa"/>
            <w:vAlign w:val="bottom"/>
          </w:tcPr>
          <w:p>
            <w:pPr>
              <w:spacing w:after="0"/>
              <w:rPr>
                <w:sz w:val="23"/>
                <w:szCs w:val="23"/>
                <w:color w:val="auto"/>
              </w:rPr>
            </w:pPr>
          </w:p>
        </w:tc>
      </w:tr>
      <w:tr>
        <w:trPr>
          <w:trHeight w:val="202"/>
        </w:trPr>
        <w:tc>
          <w:tcPr>
            <w:tcW w:w="6060" w:type="dxa"/>
            <w:vAlign w:val="bottom"/>
            <w:gridSpan w:val="3"/>
          </w:tcPr>
          <w:p>
            <w:pPr>
              <w:jc w:val="center"/>
              <w:ind w:right="3720"/>
              <w:spacing w:after="0"/>
              <w:rPr>
                <w:sz w:val="20"/>
                <w:szCs w:val="20"/>
                <w:color w:val="auto"/>
              </w:rPr>
            </w:pPr>
            <w:r>
              <w:rPr>
                <w:rFonts w:ascii="Times New Roman" w:cs="Times New Roman" w:eastAsia="Times New Roman" w:hAnsi="Times New Roman"/>
                <w:sz w:val="16"/>
                <w:szCs w:val="16"/>
                <w:b w:val="1"/>
                <w:bCs w:val="1"/>
                <w:color w:val="auto"/>
                <w:w w:val="99"/>
              </w:rPr>
              <w:t>Palo Alto, CA</w:t>
            </w:r>
          </w:p>
        </w:tc>
        <w:tc>
          <w:tcPr>
            <w:tcW w:w="1260" w:type="dxa"/>
            <w:vAlign w:val="bottom"/>
          </w:tcPr>
          <w:p>
            <w:pPr>
              <w:jc w:val="right"/>
              <w:ind w:right="267"/>
              <w:spacing w:after="0"/>
              <w:rPr>
                <w:sz w:val="20"/>
                <w:szCs w:val="20"/>
                <w:color w:val="auto"/>
              </w:rPr>
            </w:pPr>
            <w:r>
              <w:rPr>
                <w:rFonts w:ascii="Times New Roman" w:cs="Times New Roman" w:eastAsia="Times New Roman" w:hAnsi="Times New Roman"/>
                <w:sz w:val="16"/>
                <w:szCs w:val="16"/>
                <w:b w:val="1"/>
                <w:bCs w:val="1"/>
                <w:color w:val="auto"/>
              </w:rPr>
              <w:t>94303</w:t>
            </w:r>
          </w:p>
        </w:tc>
      </w:tr>
      <w:tr>
        <w:trPr>
          <w:trHeight w:val="178"/>
        </w:trPr>
        <w:tc>
          <w:tcPr>
            <w:tcW w:w="6060" w:type="dxa"/>
            <w:vAlign w:val="bottom"/>
            <w:gridSpan w:val="3"/>
          </w:tcPr>
          <w:p>
            <w:pPr>
              <w:jc w:val="center"/>
              <w:ind w:right="372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1260" w:type="dxa"/>
            <w:vAlign w:val="bottom"/>
          </w:tcPr>
          <w:p>
            <w:pPr>
              <w:jc w:val="center"/>
              <w:ind w:left="127"/>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52" w:lineRule="exact"/>
        <w:rPr>
          <w:sz w:val="24"/>
          <w:szCs w:val="24"/>
          <w:color w:val="auto"/>
        </w:rPr>
      </w:pPr>
    </w:p>
    <w:p>
      <w:pPr>
        <w:ind w:left="3280"/>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(650) 276-7040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99060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15"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5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Trading</w:t>
            </w:r>
          </w:p>
        </w:tc>
        <w:tc>
          <w:tcPr>
            <w:tcW w:w="120" w:type="dxa"/>
            <w:vAlign w:val="bottom"/>
          </w:tcPr>
          <w:p>
            <w:pPr>
              <w:spacing w:after="0"/>
              <w:rPr>
                <w:sz w:val="12"/>
                <w:szCs w:val="12"/>
                <w:color w:val="auto"/>
              </w:rPr>
            </w:pPr>
          </w:p>
        </w:tc>
        <w:tc>
          <w:tcPr>
            <w:tcW w:w="5060" w:type="dxa"/>
            <w:vAlign w:val="bottom"/>
          </w:tcPr>
          <w:p>
            <w:pPr>
              <w:spacing w:after="0"/>
              <w:rPr>
                <w:sz w:val="12"/>
                <w:szCs w:val="12"/>
                <w:color w:val="auto"/>
              </w:rPr>
            </w:pPr>
          </w:p>
        </w:tc>
      </w:tr>
      <w:tr>
        <w:trPr>
          <w:trHeight w:val="165"/>
        </w:trPr>
        <w:tc>
          <w:tcPr>
            <w:tcW w:w="5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Title of each class</w:t>
            </w:r>
          </w:p>
        </w:tc>
        <w:tc>
          <w:tcPr>
            <w:tcW w:w="20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Symbol(s)</w:t>
            </w:r>
          </w:p>
        </w:tc>
        <w:tc>
          <w:tcPr>
            <w:tcW w:w="120" w:type="dxa"/>
            <w:vAlign w:val="bottom"/>
          </w:tcPr>
          <w:p>
            <w:pPr>
              <w:spacing w:after="0"/>
              <w:rPr>
                <w:sz w:val="14"/>
                <w:szCs w:val="14"/>
                <w:color w:val="auto"/>
              </w:rPr>
            </w:pPr>
          </w:p>
        </w:tc>
        <w:tc>
          <w:tcPr>
            <w:tcW w:w="5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Name of each exchange on which registered</w:t>
            </w:r>
          </w:p>
        </w:tc>
      </w:tr>
      <w:tr>
        <w:trPr>
          <w:trHeight w:val="134"/>
        </w:trPr>
        <w:tc>
          <w:tcPr>
            <w:tcW w:w="5080" w:type="dxa"/>
            <w:vAlign w:val="bottom"/>
          </w:tcPr>
          <w:p>
            <w:pPr>
              <w:jc w:val="center"/>
              <w:spacing w:after="0" w:line="134" w:lineRule="exact"/>
              <w:rPr>
                <w:sz w:val="20"/>
                <w:szCs w:val="20"/>
                <w:color w:val="auto"/>
              </w:rPr>
            </w:pPr>
            <w:r>
              <w:rPr>
                <w:rFonts w:ascii="Times New Roman" w:cs="Times New Roman" w:eastAsia="Times New Roman" w:hAnsi="Times New Roman"/>
                <w:sz w:val="15"/>
                <w:szCs w:val="15"/>
                <w:b w:val="1"/>
                <w:bCs w:val="1"/>
                <w:color w:val="auto"/>
              </w:rPr>
              <w:t>Units, each consisting of one Class A ordinary share, $0.0001 par value, and</w:t>
            </w: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60" w:type="dxa"/>
            <w:vAlign w:val="bottom"/>
          </w:tcPr>
          <w:p>
            <w:pPr>
              <w:spacing w:after="0"/>
              <w:rPr>
                <w:sz w:val="11"/>
                <w:szCs w:val="11"/>
                <w:color w:val="auto"/>
              </w:rPr>
            </w:pPr>
          </w:p>
        </w:tc>
      </w:tr>
      <w:tr>
        <w:trPr>
          <w:trHeight w:val="183"/>
        </w:trPr>
        <w:tc>
          <w:tcPr>
            <w:tcW w:w="5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one right to receive one-fifth of one Class A ordinary share</w:t>
            </w:r>
          </w:p>
        </w:tc>
        <w:tc>
          <w:tcPr>
            <w:tcW w:w="200" w:type="dxa"/>
            <w:vAlign w:val="bottom"/>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GIWWU</w:t>
            </w:r>
          </w:p>
        </w:tc>
        <w:tc>
          <w:tcPr>
            <w:tcW w:w="120" w:type="dxa"/>
            <w:vAlign w:val="bottom"/>
          </w:tcPr>
          <w:p>
            <w:pPr>
              <w:spacing w:after="0"/>
              <w:rPr>
                <w:sz w:val="15"/>
                <w:szCs w:val="15"/>
                <w:color w:val="auto"/>
              </w:rPr>
            </w:pPr>
          </w:p>
        </w:tc>
        <w:tc>
          <w:tcPr>
            <w:tcW w:w="5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The Nasdaq Stock Market LLC</w:t>
            </w:r>
          </w:p>
        </w:tc>
      </w:tr>
      <w:tr>
        <w:trPr>
          <w:trHeight w:val="155"/>
        </w:trPr>
        <w:tc>
          <w:tcPr>
            <w:tcW w:w="5080" w:type="dxa"/>
            <w:vAlign w:val="bottom"/>
            <w:tcBorders>
              <w:bottom w:val="single" w:sz="8" w:color="auto"/>
            </w:tcBorders>
          </w:tcPr>
          <w:p>
            <w:pPr>
              <w:jc w:val="center"/>
              <w:spacing w:after="0" w:line="156" w:lineRule="exact"/>
              <w:rPr>
                <w:sz w:val="20"/>
                <w:szCs w:val="20"/>
                <w:color w:val="auto"/>
              </w:rPr>
            </w:pPr>
            <w:r>
              <w:rPr>
                <w:rFonts w:ascii="Times New Roman" w:cs="Times New Roman" w:eastAsia="Times New Roman" w:hAnsi="Times New Roman"/>
                <w:sz w:val="15"/>
                <w:szCs w:val="15"/>
                <w:b w:val="1"/>
                <w:bCs w:val="1"/>
                <w:color w:val="auto"/>
              </w:rPr>
              <w:t>Class A ordinary shares, par value $0.0001 per share</w:t>
            </w:r>
          </w:p>
        </w:tc>
        <w:tc>
          <w:tcPr>
            <w:tcW w:w="200" w:type="dxa"/>
            <w:vAlign w:val="bottom"/>
          </w:tcPr>
          <w:p>
            <w:pPr>
              <w:spacing w:after="0"/>
              <w:rPr>
                <w:sz w:val="13"/>
                <w:szCs w:val="13"/>
                <w:color w:val="auto"/>
              </w:rPr>
            </w:pPr>
          </w:p>
        </w:tc>
        <w:tc>
          <w:tcPr>
            <w:tcW w:w="780" w:type="dxa"/>
            <w:vAlign w:val="bottom"/>
            <w:tcBorders>
              <w:bottom w:val="single" w:sz="8" w:color="auto"/>
            </w:tcBorders>
          </w:tcPr>
          <w:p>
            <w:pPr>
              <w:jc w:val="center"/>
              <w:spacing w:after="0" w:line="156" w:lineRule="exact"/>
              <w:rPr>
                <w:sz w:val="20"/>
                <w:szCs w:val="20"/>
                <w:color w:val="auto"/>
              </w:rPr>
            </w:pPr>
            <w:r>
              <w:rPr>
                <w:rFonts w:ascii="Times New Roman" w:cs="Times New Roman" w:eastAsia="Times New Roman" w:hAnsi="Times New Roman"/>
                <w:sz w:val="15"/>
                <w:szCs w:val="15"/>
                <w:b w:val="1"/>
                <w:bCs w:val="1"/>
                <w:color w:val="auto"/>
                <w:w w:val="98"/>
              </w:rPr>
              <w:t>GIW</w:t>
            </w:r>
          </w:p>
        </w:tc>
        <w:tc>
          <w:tcPr>
            <w:tcW w:w="120" w:type="dxa"/>
            <w:vAlign w:val="bottom"/>
          </w:tcPr>
          <w:p>
            <w:pPr>
              <w:spacing w:after="0"/>
              <w:rPr>
                <w:sz w:val="13"/>
                <w:szCs w:val="13"/>
                <w:color w:val="auto"/>
              </w:rPr>
            </w:pPr>
          </w:p>
        </w:tc>
        <w:tc>
          <w:tcPr>
            <w:tcW w:w="5060" w:type="dxa"/>
            <w:vAlign w:val="bottom"/>
            <w:tcBorders>
              <w:bottom w:val="single" w:sz="8" w:color="auto"/>
            </w:tcBorders>
          </w:tcPr>
          <w:p>
            <w:pPr>
              <w:jc w:val="center"/>
              <w:spacing w:after="0" w:line="156" w:lineRule="exact"/>
              <w:rPr>
                <w:sz w:val="20"/>
                <w:szCs w:val="20"/>
                <w:color w:val="auto"/>
              </w:rPr>
            </w:pPr>
            <w:r>
              <w:rPr>
                <w:rFonts w:ascii="Times New Roman" w:cs="Times New Roman" w:eastAsia="Times New Roman" w:hAnsi="Times New Roman"/>
                <w:sz w:val="15"/>
                <w:szCs w:val="15"/>
                <w:b w:val="1"/>
                <w:bCs w:val="1"/>
                <w:color w:val="auto"/>
              </w:rPr>
              <w:t>The Nasdaq Stock Market LLC</w:t>
            </w:r>
          </w:p>
        </w:tc>
      </w:tr>
      <w:tr>
        <w:trPr>
          <w:trHeight w:val="196"/>
        </w:trPr>
        <w:tc>
          <w:tcPr>
            <w:tcW w:w="50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Rights, to receive one-fifth of one Class A ordinary share.</w:t>
            </w:r>
          </w:p>
        </w:tc>
        <w:tc>
          <w:tcPr>
            <w:tcW w:w="20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GIWWR</w:t>
            </w:r>
          </w:p>
        </w:tc>
        <w:tc>
          <w:tcPr>
            <w:tcW w:w="120" w:type="dxa"/>
            <w:vAlign w:val="bottom"/>
          </w:tcPr>
          <w:p>
            <w:pPr>
              <w:spacing w:after="0"/>
              <w:rPr>
                <w:sz w:val="17"/>
                <w:szCs w:val="17"/>
                <w:color w:val="auto"/>
              </w:rPr>
            </w:pPr>
          </w:p>
        </w:tc>
        <w:tc>
          <w:tcPr>
            <w:tcW w:w="50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The Nasdaq Stock Market LLC</w:t>
            </w:r>
          </w:p>
        </w:tc>
      </w:tr>
    </w:tbl>
    <w:p>
      <w:pPr>
        <w:spacing w:after="0" w:line="40" w:lineRule="exact"/>
        <w:rPr>
          <w:sz w:val="24"/>
          <w:szCs w:val="24"/>
          <w:color w:val="auto"/>
        </w:rPr>
      </w:pPr>
    </w:p>
    <w:p>
      <w:pPr>
        <w:ind w:firstLine="509"/>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63" w:lineRule="exact"/>
        <w:rPr>
          <w:sz w:val="24"/>
          <w:szCs w:val="24"/>
          <w:color w:val="auto"/>
        </w:rPr>
      </w:pPr>
    </w:p>
    <w:p>
      <w:pPr>
        <w:ind w:right="180" w:firstLine="509"/>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48" w:lineRule="exact"/>
        <w:rPr>
          <w:sz w:val="24"/>
          <w:szCs w:val="24"/>
          <w:color w:val="auto"/>
        </w:rPr>
      </w:pPr>
    </w:p>
    <w:p>
      <w:pPr>
        <w:jc w:val="both"/>
        <w:ind w:right="260" w:firstLine="509"/>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028" w:right="339" w:bottom="1440" w:gutter="0" w:footer="0" w:header="0"/>
        </w:sectPr>
      </w:pP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Large accelerated filer</w:t>
      </w:r>
    </w:p>
    <w:p>
      <w:pPr>
        <w:spacing w:after="0" w:line="2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Non-accelerated filer</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10"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63"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3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Accelerated filer</w:t>
      </w:r>
    </w:p>
    <w:p>
      <w:pPr>
        <w:spacing w:after="0" w:line="2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10"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347" w:lineRule="exact"/>
        <w:rPr>
          <w:sz w:val="24"/>
          <w:szCs w:val="24"/>
          <w:color w:val="auto"/>
        </w:rPr>
      </w:pPr>
    </w:p>
    <w:p>
      <w:pPr>
        <w:sectPr>
          <w:pgSz w:w="11900" w:h="16838" w:orient="portrait"/>
          <w:cols w:equalWidth="0" w:num="4">
            <w:col w:w="1780" w:space="460"/>
            <w:col w:w="5680" w:space="720"/>
            <w:col w:w="1760" w:space="600"/>
            <w:col w:w="240"/>
          </w:cols>
          <w:pgMar w:left="320" w:top="1028" w:right="339" w:bottom="1440" w:gutter="0" w:footer="0" w:header="0"/>
          <w:type w:val="continuous"/>
        </w:sectPr>
      </w:pPr>
    </w:p>
    <w:p>
      <w:pPr>
        <w:ind w:right="60" w:firstLine="509"/>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5" w:lineRule="exact"/>
        <w:rPr>
          <w:sz w:val="24"/>
          <w:szCs w:val="24"/>
          <w:color w:val="auto"/>
        </w:rPr>
      </w:pPr>
    </w:p>
    <w:p>
      <w:pPr>
        <w:ind w:left="520"/>
        <w:spacing w:after="0" w:line="184" w:lineRule="exact"/>
        <w:tabs>
          <w:tab w:leader="none" w:pos="8060" w:val="left"/>
          <w:tab w:leader="none" w:pos="870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136" w:lineRule="exact"/>
        <w:rPr>
          <w:sz w:val="24"/>
          <w:szCs w:val="24"/>
          <w:color w:val="auto"/>
        </w:rPr>
      </w:pPr>
    </w:p>
    <w:p>
      <w:pPr>
        <w:ind w:right="120" w:firstLine="509"/>
        <w:spacing w:after="0" w:line="298" w:lineRule="auto"/>
        <w:rPr>
          <w:sz w:val="20"/>
          <w:szCs w:val="20"/>
          <w:color w:val="auto"/>
        </w:rPr>
      </w:pPr>
      <w:r>
        <w:rPr>
          <w:rFonts w:ascii="Times New Roman" w:cs="Times New Roman" w:eastAsia="Times New Roman" w:hAnsi="Times New Roman"/>
          <w:sz w:val="16"/>
          <w:szCs w:val="16"/>
          <w:color w:val="auto"/>
        </w:rPr>
        <w:t>As of May 13, 2026, the registrant had 25,657,625 Class A ordinary shares, $0.0001 par value per share and 10,814,432 Class B ordinary shares, $0.0001 par value per share,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622935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147320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28"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00" w:type="dxa"/>
            <w:vAlign w:val="bottom"/>
            <w:gridSpan w:val="5"/>
          </w:tcPr>
          <w:p>
            <w:pPr>
              <w:ind w:left="4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7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385"/>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3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FINANCIAL INFORMATION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Condensed Financial Statements (Unaudited)</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30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Condensed Balance Sheets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tcBorders>
              <w:left w:val="single" w:sz="8" w:color="0000EE"/>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30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Condensed Statement of Operations and Comprehensive Income</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30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Condensed Statement of Shareholders' Equity</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30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Condensed Statement of Cash Flows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30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Notes to Unaudited Condensed Financial Statements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1480" w:type="dxa"/>
            <w:vAlign w:val="bottom"/>
            <w:tcBorders>
              <w:right w:val="single" w:sz="8" w:color="0000EE"/>
            </w:tcBorders>
            <w:gridSpan w:val="4"/>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30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2020" w:type="dxa"/>
            <w:vAlign w:val="bottom"/>
            <w:gridSpan w:val="5"/>
            <w:shd w:val="clear" w:color="auto" w:fill="0000FF"/>
          </w:tcPr>
          <w:p>
            <w:pPr>
              <w:spacing w:after="0" w:line="20" w:lineRule="exact"/>
              <w:rPr>
                <w:sz w:val="1"/>
                <w:szCs w:val="1"/>
                <w:color w:val="auto"/>
              </w:rPr>
            </w:pPr>
          </w:p>
        </w:tc>
        <w:tc>
          <w:tcPr>
            <w:tcW w:w="2120" w:type="dxa"/>
            <w:vAlign w:val="bottom"/>
            <w:tcBorders>
              <w:left w:val="single" w:sz="8" w:color="0000FF"/>
            </w:tcBorders>
            <w:gridSpan w:val="2"/>
            <w:shd w:val="clear" w:color="auto" w:fill="0000FF"/>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30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2020" w:type="dxa"/>
            <w:vAlign w:val="bottom"/>
            <w:gridSpan w:val="5"/>
            <w:shd w:val="clear" w:color="auto" w:fill="0000FF"/>
          </w:tcPr>
          <w:p>
            <w:pPr>
              <w:spacing w:after="0" w:line="20" w:lineRule="exact"/>
              <w:rPr>
                <w:sz w:val="1"/>
                <w:szCs w:val="1"/>
                <w:color w:val="auto"/>
              </w:rPr>
            </w:pPr>
          </w:p>
        </w:tc>
        <w:tc>
          <w:tcPr>
            <w:tcW w:w="4960" w:type="dxa"/>
            <w:vAlign w:val="bottom"/>
            <w:tcBorders>
              <w:left w:val="single" w:sz="8" w:color="0000FF"/>
            </w:tcBorders>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30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Controls and Procedures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0"/>
        </w:trPr>
        <w:tc>
          <w:tcPr>
            <w:tcW w:w="1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96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60" w:type="dxa"/>
            <w:vAlign w:val="bottom"/>
            <w:gridSpan w:val="2"/>
            <w:vMerge w:val="continue"/>
          </w:tcPr>
          <w:p>
            <w:pPr>
              <w:spacing w:after="0"/>
              <w:rPr>
                <w:sz w:val="24"/>
                <w:szCs w:val="24"/>
                <w:color w:val="auto"/>
              </w:rPr>
            </w:pPr>
          </w:p>
        </w:tc>
        <w:tc>
          <w:tcPr>
            <w:tcW w:w="93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gridSpan w:val="2"/>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96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gridSpan w:val="4"/>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96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30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Risk Factors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96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30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4"/>
            <w:shd w:val="clear" w:color="auto" w:fill="0000FF"/>
          </w:tcPr>
          <w:p>
            <w:pPr>
              <w:spacing w:after="0" w:line="20" w:lineRule="exact"/>
              <w:rPr>
                <w:sz w:val="1"/>
                <w:szCs w:val="1"/>
                <w:color w:val="auto"/>
              </w:rPr>
            </w:pPr>
          </w:p>
        </w:tc>
        <w:tc>
          <w:tcPr>
            <w:tcW w:w="2020" w:type="dxa"/>
            <w:vAlign w:val="bottom"/>
            <w:gridSpan w:val="5"/>
            <w:shd w:val="clear" w:color="auto" w:fill="0000FF"/>
          </w:tcPr>
          <w:p>
            <w:pPr>
              <w:spacing w:after="0" w:line="20" w:lineRule="exact"/>
              <w:rPr>
                <w:sz w:val="1"/>
                <w:szCs w:val="1"/>
                <w:color w:val="auto"/>
              </w:rPr>
            </w:pPr>
          </w:p>
        </w:tc>
        <w:tc>
          <w:tcPr>
            <w:tcW w:w="496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30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4"/>
            <w:shd w:val="clear" w:color="auto" w:fill="0000FF"/>
          </w:tcPr>
          <w:p>
            <w:pPr>
              <w:spacing w:after="0" w:line="20" w:lineRule="exact"/>
              <w:rPr>
                <w:sz w:val="1"/>
                <w:szCs w:val="1"/>
                <w:color w:val="auto"/>
              </w:rPr>
            </w:pPr>
          </w:p>
        </w:tc>
        <w:tc>
          <w:tcPr>
            <w:tcW w:w="6980" w:type="dxa"/>
            <w:vAlign w:val="bottom"/>
            <w:gridSpan w:val="8"/>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30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Mine Safety Disclosures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7540" w:type="dxa"/>
            <w:vAlign w:val="bottom"/>
            <w:gridSpan w:val="11"/>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930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8000" w:type="dxa"/>
            <w:vAlign w:val="bottom"/>
            <w:gridSpan w:val="1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930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Exhibits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Borders>
              <w:top w:val="single" w:sz="8" w:color="0000FF"/>
            </w:tcBorders>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0"/>
        </w:trPr>
        <w:tc>
          <w:tcPr>
            <w:tcW w:w="78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GigCapital8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77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2026</w:t>
            </w:r>
          </w:p>
        </w:tc>
        <w:tc>
          <w:tcPr>
            <w:tcW w:w="2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1,051,434</w:t>
            </w:r>
          </w:p>
        </w:tc>
        <w:tc>
          <w:tcPr>
            <w:tcW w:w="5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1,442,471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181,228</w:t>
            </w: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141,594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1,232,662</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1,584,065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Cash and marketable securities held in Trust Account</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257,522,252</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255,267,683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8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36,187</w:t>
            </w:r>
          </w:p>
        </w:tc>
        <w:tc>
          <w:tcPr>
            <w:tcW w:w="2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53,808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258,791,101</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256,905,556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74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REDEEMABLE ORDINARY SHARES AND SHAREHOLDERS’ EQUITY</w:t>
            </w:r>
          </w:p>
        </w:tc>
        <w:tc>
          <w:tcPr>
            <w:tcW w:w="28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44,780</w:t>
            </w:r>
          </w:p>
        </w:tc>
        <w:tc>
          <w:tcPr>
            <w:tcW w:w="5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132,910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Related party payable</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69,019</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Accrued liabilities</w:t>
            </w:r>
          </w:p>
        </w:tc>
        <w:tc>
          <w:tcPr>
            <w:tcW w:w="28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114,000</w:t>
            </w:r>
          </w:p>
        </w:tc>
        <w:tc>
          <w:tcPr>
            <w:tcW w:w="2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110,870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227,799</w:t>
            </w: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(Note 4)</w:t>
            </w: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7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Class A ordinary shares subject to possible redemption, par value of $0.0001 per share</w:t>
            </w: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200,000,000 shares authorized; 25,300,000 shares at a redemption value of $10.17 per</w:t>
            </w:r>
          </w:p>
        </w:tc>
        <w:tc>
          <w:tcPr>
            <w:tcW w:w="280" w:type="dxa"/>
            <w:vAlign w:val="bottom"/>
          </w:tcPr>
          <w:p>
            <w:pPr>
              <w:spacing w:after="0"/>
              <w:rPr>
                <w:sz w:val="18"/>
                <w:szCs w:val="18"/>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257,422,252</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255,167,683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 and $10.09 per share as of March 31, 2026 and December 31, 2025, respectively</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740" w:type="dxa"/>
            <w:vAlign w:val="bottom"/>
          </w:tcPr>
          <w:p>
            <w:pPr>
              <w:ind w:left="280"/>
              <w:spacing w:after="0" w:line="198" w:lineRule="exact"/>
              <w:rPr>
                <w:sz w:val="20"/>
                <w:szCs w:val="20"/>
                <w:color w:val="auto"/>
              </w:rPr>
            </w:pPr>
            <w:r>
              <w:rPr>
                <w:rFonts w:ascii="Times New Roman" w:cs="Times New Roman" w:eastAsia="Times New Roman" w:hAnsi="Times New Roman"/>
                <w:sz w:val="18"/>
                <w:szCs w:val="18"/>
                <w:color w:val="auto"/>
              </w:rPr>
              <w:t>Preferred shares, par value of $0.0001 per share; 1,000,000 shares authorized; none</w:t>
            </w: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7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issued or outstanding</w:t>
            </w: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7740" w:type="dxa"/>
            <w:vAlign w:val="bottom"/>
            <w:shd w:val="clear" w:color="auto" w:fill="CFF0FC"/>
          </w:tcPr>
          <w:p>
            <w:pPr>
              <w:ind w:left="280"/>
              <w:spacing w:after="0" w:line="198" w:lineRule="exact"/>
              <w:rPr>
                <w:sz w:val="20"/>
                <w:szCs w:val="20"/>
                <w:color w:val="auto"/>
              </w:rPr>
            </w:pPr>
            <w:r>
              <w:rPr>
                <w:rFonts w:ascii="Times New Roman" w:cs="Times New Roman" w:eastAsia="Times New Roman" w:hAnsi="Times New Roman"/>
                <w:sz w:val="18"/>
                <w:szCs w:val="18"/>
                <w:color w:val="auto"/>
              </w:rPr>
              <w:t>Class A ordinary shares, par value of $0.0001 per share; 200,000,000 shares</w:t>
            </w:r>
          </w:p>
        </w:tc>
        <w:tc>
          <w:tcPr>
            <w:tcW w:w="28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authorized; 357,625 issued and outstanding (excludes 25,300,000 shares subject</w:t>
            </w: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74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to possible redemption) as of March 31, 2026 and December 31, 2025</w:t>
            </w:r>
          </w:p>
        </w:tc>
        <w:tc>
          <w:tcPr>
            <w:tcW w:w="28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7740" w:type="dxa"/>
            <w:vAlign w:val="bottom"/>
          </w:tcPr>
          <w:p>
            <w:pPr>
              <w:ind w:left="280"/>
              <w:spacing w:after="0" w:line="198" w:lineRule="exact"/>
              <w:rPr>
                <w:sz w:val="20"/>
                <w:szCs w:val="20"/>
                <w:color w:val="auto"/>
              </w:rPr>
            </w:pPr>
            <w:r>
              <w:rPr>
                <w:rFonts w:ascii="Times New Roman" w:cs="Times New Roman" w:eastAsia="Times New Roman" w:hAnsi="Times New Roman"/>
                <w:sz w:val="18"/>
                <w:szCs w:val="18"/>
                <w:color w:val="auto"/>
              </w:rPr>
              <w:t>Class B ordinary shares, par value of $0.0001 per share; 20,000,000 shares</w:t>
            </w: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authorized; 10,814,432 shares issued and outstanding as of March 31, 2026 and</w:t>
            </w: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7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December 31, 2025</w:t>
            </w: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Retained earnings</w:t>
            </w: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1,139,933</w:t>
            </w: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1,450,734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28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1,141,050</w:t>
            </w:r>
          </w:p>
        </w:tc>
        <w:tc>
          <w:tcPr>
            <w:tcW w:w="2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1,451,851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774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TOTAL LIABILITIES, REDEEMABLE ORDINARY SHARES AND SHAREHOLDERS’</w:t>
            </w:r>
          </w:p>
        </w:tc>
        <w:tc>
          <w:tcPr>
            <w:tcW w:w="28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258,791,101</w:t>
            </w:r>
          </w:p>
        </w:tc>
        <w:tc>
          <w:tcPr>
            <w:tcW w:w="5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256,905,556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774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EQUITY</w:t>
            </w:r>
          </w:p>
        </w:tc>
        <w:tc>
          <w:tcPr>
            <w:tcW w:w="280" w:type="dxa"/>
            <w:vAlign w:val="bottom"/>
            <w:vMerge w:val="continue"/>
          </w:tcPr>
          <w:p>
            <w:pPr>
              <w:spacing w:after="0"/>
              <w:rPr>
                <w:sz w:val="17"/>
                <w:szCs w:val="17"/>
                <w:color w:val="auto"/>
              </w:rPr>
            </w:pPr>
          </w:p>
        </w:tc>
        <w:tc>
          <w:tcPr>
            <w:tcW w:w="1280" w:type="dxa"/>
            <w:vAlign w:val="bottom"/>
            <w:vMerge w:val="continue"/>
          </w:tcPr>
          <w:p>
            <w:pPr>
              <w:spacing w:after="0"/>
              <w:rPr>
                <w:sz w:val="17"/>
                <w:szCs w:val="17"/>
                <w:color w:val="auto"/>
              </w:rPr>
            </w:pPr>
          </w:p>
        </w:tc>
        <w:tc>
          <w:tcPr>
            <w:tcW w:w="500" w:type="dxa"/>
            <w:vAlign w:val="bottom"/>
            <w:gridSpan w:val="2"/>
            <w:vMerge w:val="continue"/>
          </w:tcPr>
          <w:p>
            <w:pPr>
              <w:spacing w:after="0"/>
              <w:rPr>
                <w:sz w:val="17"/>
                <w:szCs w:val="17"/>
                <w:color w:val="auto"/>
              </w:rPr>
            </w:pPr>
          </w:p>
        </w:tc>
        <w:tc>
          <w:tcPr>
            <w:tcW w:w="13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-3496945</wp:posOffset>
            </wp:positionV>
            <wp:extent cx="685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-3496945</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-2639695</wp:posOffset>
            </wp:positionV>
            <wp:extent cx="685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-2639695</wp:posOffset>
            </wp:positionV>
            <wp:extent cx="685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-281940</wp:posOffset>
            </wp:positionV>
            <wp:extent cx="685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-281940</wp:posOffset>
            </wp:positionV>
            <wp:extent cx="685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16"/>
        </w:trPr>
        <w:tc>
          <w:tcPr>
            <w:tcW w:w="9240" w:type="dxa"/>
            <w:vAlign w:val="bottom"/>
          </w:tcPr>
          <w:p>
            <w:pPr>
              <w:jc w:val="center"/>
              <w:ind w:left="1910"/>
              <w:spacing w:after="0"/>
              <w:rPr>
                <w:sz w:val="20"/>
                <w:szCs w:val="20"/>
                <w:color w:val="auto"/>
              </w:rPr>
            </w:pPr>
            <w:r>
              <w:rPr>
                <w:rFonts w:ascii="Times New Roman" w:cs="Times New Roman" w:eastAsia="Times New Roman" w:hAnsi="Times New Roman"/>
                <w:sz w:val="18"/>
                <w:szCs w:val="18"/>
                <w:b w:val="1"/>
                <w:bCs w:val="1"/>
                <w:color w:val="auto"/>
              </w:rPr>
              <w:t>GigCapital8 Corp.</w:t>
            </w:r>
          </w:p>
        </w:tc>
        <w:tc>
          <w:tcPr>
            <w:tcW w:w="1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tcPr>
          <w:p>
            <w:pPr>
              <w:jc w:val="center"/>
              <w:ind w:left="1910"/>
              <w:spacing w:after="0"/>
              <w:rPr>
                <w:sz w:val="20"/>
                <w:szCs w:val="20"/>
                <w:color w:val="auto"/>
              </w:rPr>
            </w:pPr>
            <w:r>
              <w:rPr>
                <w:rFonts w:ascii="Times New Roman" w:cs="Times New Roman" w:eastAsia="Times New Roman" w:hAnsi="Times New Roman"/>
                <w:sz w:val="18"/>
                <w:szCs w:val="18"/>
                <w:b w:val="1"/>
                <w:bCs w:val="1"/>
                <w:color w:val="auto"/>
                <w:w w:val="99"/>
              </w:rPr>
              <w:t>Condensed Statement of Operations and Comprehensive Income</w:t>
            </w:r>
          </w:p>
        </w:tc>
        <w:tc>
          <w:tcPr>
            <w:tcW w:w="1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9240" w:type="dxa"/>
            <w:vAlign w:val="bottom"/>
          </w:tcPr>
          <w:p>
            <w:pPr>
              <w:jc w:val="center"/>
              <w:ind w:left="191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0"/>
        </w:trPr>
        <w:tc>
          <w:tcPr>
            <w:tcW w:w="9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2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73"/>
        </w:trPr>
        <w:tc>
          <w:tcPr>
            <w:tcW w:w="9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311,098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24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180" w:type="dxa"/>
            <w:vAlign w:val="bottom"/>
            <w:shd w:val="clear" w:color="auto" w:fill="CFF0FC"/>
          </w:tcPr>
          <w:p>
            <w:pPr>
              <w:spacing w:after="0"/>
              <w:rPr>
                <w:sz w:val="18"/>
                <w:szCs w:val="18"/>
                <w:color w:val="auto"/>
              </w:rPr>
            </w:pPr>
          </w:p>
        </w:tc>
        <w:tc>
          <w:tcPr>
            <w:tcW w:w="18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(311,098)</w:t>
            </w:r>
          </w:p>
        </w:tc>
        <w:tc>
          <w:tcPr>
            <w:tcW w:w="0" w:type="dxa"/>
            <w:vAlign w:val="bottom"/>
          </w:tcPr>
          <w:p>
            <w:pPr>
              <w:spacing w:after="0"/>
              <w:rPr>
                <w:sz w:val="1"/>
                <w:szCs w:val="1"/>
                <w:color w:val="auto"/>
              </w:rPr>
            </w:pPr>
          </w:p>
        </w:tc>
      </w:tr>
      <w:tr>
        <w:trPr>
          <w:trHeight w:val="216"/>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180" w:type="dxa"/>
            <w:vAlign w:val="bottom"/>
            <w:shd w:val="clear" w:color="auto" w:fill="CFF0FC"/>
          </w:tcPr>
          <w:p>
            <w:pPr>
              <w:spacing w:after="0"/>
              <w:rPr>
                <w:sz w:val="18"/>
                <w:szCs w:val="18"/>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and dividend income on marketable securities held in Trust Account</w:t>
            </w:r>
          </w:p>
        </w:tc>
        <w:tc>
          <w:tcPr>
            <w:tcW w:w="1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2,254,569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180" w:type="dxa"/>
            <w:vAlign w:val="bottom"/>
            <w:shd w:val="clear" w:color="auto" w:fill="CFF0FC"/>
          </w:tcPr>
          <w:p>
            <w:pPr>
              <w:spacing w:after="0"/>
              <w:rPr>
                <w:sz w:val="18"/>
                <w:szCs w:val="18"/>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1,943,768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80" w:type="dxa"/>
            <w:vAlign w:val="bottom"/>
          </w:tcPr>
          <w:p>
            <w:pPr>
              <w:spacing w:after="0"/>
              <w:rPr>
                <w:sz w:val="18"/>
                <w:szCs w:val="18"/>
                <w:color w:val="auto"/>
              </w:rPr>
            </w:pPr>
          </w:p>
        </w:tc>
        <w:tc>
          <w:tcPr>
            <w:tcW w:w="1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9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income and comprehensive income</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1,943,768</w:t>
            </w:r>
          </w:p>
        </w:tc>
        <w:tc>
          <w:tcPr>
            <w:tcW w:w="1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9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Net income attributable to Class A ordinary shares subject to possible redemption</w:t>
            </w:r>
          </w:p>
        </w:tc>
        <w:tc>
          <w:tcPr>
            <w:tcW w:w="1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1,348,356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9240" w:type="dxa"/>
            <w:vAlign w:val="bottom"/>
            <w:shd w:val="clear" w:color="auto" w:fill="CFF0FC"/>
          </w:tcPr>
          <w:p>
            <w:pPr>
              <w:spacing w:after="0" w:line="178" w:lineRule="exact"/>
              <w:rPr>
                <w:sz w:val="20"/>
                <w:szCs w:val="20"/>
                <w:color w:val="auto"/>
              </w:rPr>
            </w:pPr>
            <w:r>
              <w:rPr>
                <w:rFonts w:ascii="Times New Roman" w:cs="Times New Roman" w:eastAsia="Times New Roman" w:hAnsi="Times New Roman"/>
                <w:sz w:val="18"/>
                <w:szCs w:val="18"/>
                <w:color w:val="auto"/>
              </w:rPr>
              <w:t>Basic and diluted weighted-average shares outstanding, Class A ordinary shares subject to possible</w:t>
            </w:r>
          </w:p>
        </w:tc>
        <w:tc>
          <w:tcPr>
            <w:tcW w:w="180" w:type="dxa"/>
            <w:vAlign w:val="bottom"/>
            <w:shd w:val="clear" w:color="auto" w:fill="CFF0FC"/>
          </w:tcPr>
          <w:p>
            <w:pPr>
              <w:spacing w:after="0"/>
              <w:rPr>
                <w:sz w:val="15"/>
                <w:szCs w:val="15"/>
                <w:color w:val="auto"/>
              </w:rPr>
            </w:pPr>
          </w:p>
        </w:tc>
        <w:tc>
          <w:tcPr>
            <w:tcW w:w="1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25,300,000</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9240" w:type="dxa"/>
            <w:vAlign w:val="bottom"/>
            <w:tcBorders>
              <w:bottom w:val="single" w:sz="8" w:color="CFF0FC"/>
            </w:tcBorders>
            <w:shd w:val="clear" w:color="auto" w:fill="CFF0FC"/>
          </w:tcPr>
          <w:p>
            <w:pPr>
              <w:ind w:left="140"/>
              <w:spacing w:after="0" w:line="194" w:lineRule="exact"/>
              <w:rPr>
                <w:sz w:val="20"/>
                <w:szCs w:val="20"/>
                <w:color w:val="auto"/>
              </w:rPr>
            </w:pPr>
            <w:r>
              <w:rPr>
                <w:rFonts w:ascii="Times New Roman" w:cs="Times New Roman" w:eastAsia="Times New Roman" w:hAnsi="Times New Roman"/>
                <w:sz w:val="18"/>
                <w:szCs w:val="18"/>
                <w:color w:val="auto"/>
              </w:rPr>
              <w:t>redemption</w:t>
            </w:r>
          </w:p>
        </w:tc>
        <w:tc>
          <w:tcPr>
            <w:tcW w:w="180" w:type="dxa"/>
            <w:vAlign w:val="bottom"/>
            <w:tcBorders>
              <w:bottom w:val="single" w:sz="8" w:color="auto"/>
            </w:tcBorders>
            <w:shd w:val="clear" w:color="auto" w:fill="CFF0FC"/>
          </w:tcPr>
          <w:p>
            <w:pPr>
              <w:spacing w:after="0"/>
              <w:rPr>
                <w:sz w:val="20"/>
                <w:szCs w:val="20"/>
                <w:color w:val="auto"/>
              </w:rPr>
            </w:pPr>
          </w:p>
        </w:tc>
        <w:tc>
          <w:tcPr>
            <w:tcW w:w="1700" w:type="dxa"/>
            <w:vAlign w:val="bottom"/>
            <w:tcBorders>
              <w:bottom w:val="single" w:sz="8" w:color="auto"/>
            </w:tcBorders>
            <w:vMerge w:val="continue"/>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924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Basic and diluted net income per share, Class A ordinary shares subject to possible redemption</w:t>
            </w:r>
          </w:p>
        </w:tc>
        <w:tc>
          <w:tcPr>
            <w:tcW w:w="1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0.05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924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Net income attributable to Class A and B non-redeemable ordinary shares</w:t>
            </w:r>
          </w:p>
        </w:tc>
        <w:tc>
          <w:tcPr>
            <w:tcW w:w="18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595,412</w:t>
            </w:r>
          </w:p>
        </w:tc>
        <w:tc>
          <w:tcPr>
            <w:tcW w:w="12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9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Basic and diluted weighted-average Class A and B non-redeemable ordinary shares outstanding</w:t>
            </w:r>
          </w:p>
        </w:tc>
        <w:tc>
          <w:tcPr>
            <w:tcW w:w="18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11,172,057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924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Basic and diluted net income per share, Class A and B non-redeemable ordinary shares</w:t>
            </w:r>
          </w:p>
        </w:tc>
        <w:tc>
          <w:tcPr>
            <w:tcW w:w="18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0.05</w:t>
            </w:r>
          </w:p>
        </w:tc>
        <w:tc>
          <w:tcPr>
            <w:tcW w:w="12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7059930</wp:posOffset>
            </wp:positionH>
            <wp:positionV relativeFrom="paragraph">
              <wp:posOffset>-1113790</wp:posOffset>
            </wp:positionV>
            <wp:extent cx="7747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-1096645</wp:posOffset>
            </wp:positionV>
            <wp:extent cx="7747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-676275</wp:posOffset>
            </wp:positionV>
            <wp:extent cx="7747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-659130</wp:posOffset>
            </wp:positionV>
            <wp:extent cx="7747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-350520</wp:posOffset>
            </wp:positionV>
            <wp:extent cx="7747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-333375</wp:posOffset>
            </wp:positionV>
            <wp:extent cx="7747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GigCapital8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 of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40" w:type="dxa"/>
            <w:vAlign w:val="bottom"/>
          </w:tcPr>
          <w:p>
            <w:pPr>
              <w:spacing w:after="0"/>
              <w:rPr>
                <w:sz w:val="18"/>
                <w:szCs w:val="18"/>
                <w:color w:val="auto"/>
              </w:rPr>
            </w:pPr>
          </w:p>
        </w:tc>
        <w:tc>
          <w:tcPr>
            <w:tcW w:w="1500" w:type="dxa"/>
            <w:vAlign w:val="bottom"/>
            <w:gridSpan w:val="3"/>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Class A</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Class B</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240" w:type="dxa"/>
            <w:vAlign w:val="bottom"/>
          </w:tcPr>
          <w:p>
            <w:pPr>
              <w:spacing w:after="0"/>
              <w:rPr>
                <w:sz w:val="20"/>
                <w:szCs w:val="20"/>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Ordinary Shares</w:t>
            </w:r>
          </w:p>
        </w:tc>
        <w:tc>
          <w:tcPr>
            <w:tcW w:w="2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680" w:type="dxa"/>
            <w:vAlign w:val="bottom"/>
            <w:tcBorders>
              <w:bottom w:val="single" w:sz="8" w:color="auto"/>
            </w:tcBorders>
            <w:gridSpan w:val="4"/>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Ordinary Shares</w:t>
            </w:r>
          </w:p>
        </w:tc>
        <w:tc>
          <w:tcPr>
            <w:tcW w:w="180" w:type="dxa"/>
            <w:vAlign w:val="bottom"/>
          </w:tcPr>
          <w:p>
            <w:pPr>
              <w:spacing w:after="0"/>
              <w:rPr>
                <w:sz w:val="20"/>
                <w:szCs w:val="20"/>
                <w:color w:val="auto"/>
              </w:rPr>
            </w:pPr>
          </w:p>
        </w:tc>
        <w:tc>
          <w:tcPr>
            <w:tcW w:w="11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4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3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right"/>
              <w:ind w:right="380"/>
              <w:spacing w:after="0" w:line="188" w:lineRule="exact"/>
              <w:rPr>
                <w:sz w:val="20"/>
                <w:szCs w:val="20"/>
                <w:color w:val="auto"/>
              </w:rPr>
            </w:pPr>
            <w:r>
              <w:rPr>
                <w:rFonts w:ascii="Times New Roman" w:cs="Times New Roman" w:eastAsia="Times New Roman" w:hAnsi="Times New Roman"/>
                <w:sz w:val="18"/>
                <w:szCs w:val="18"/>
                <w:b w:val="1"/>
                <w:bCs w:val="1"/>
                <w:color w:val="auto"/>
              </w:rPr>
              <w:t>Paid-In</w:t>
            </w:r>
          </w:p>
        </w:tc>
        <w:tc>
          <w:tcPr>
            <w:tcW w:w="4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gridSpan w:val="3"/>
          </w:tcPr>
          <w:p>
            <w:pPr>
              <w:jc w:val="right"/>
              <w:ind w:right="180"/>
              <w:spacing w:after="0" w:line="188" w:lineRule="exact"/>
              <w:rPr>
                <w:sz w:val="20"/>
                <w:szCs w:val="20"/>
                <w:color w:val="auto"/>
              </w:rPr>
            </w:pPr>
            <w:r>
              <w:rPr>
                <w:rFonts w:ascii="Times New Roman" w:cs="Times New Roman" w:eastAsia="Times New Roman" w:hAnsi="Times New Roman"/>
                <w:sz w:val="18"/>
                <w:szCs w:val="18"/>
                <w:b w:val="1"/>
                <w:bCs w:val="1"/>
                <w:color w:val="auto"/>
              </w:rPr>
              <w:t>Shareholders’</w:t>
            </w:r>
          </w:p>
        </w:tc>
        <w:tc>
          <w:tcPr>
            <w:tcW w:w="0" w:type="dxa"/>
            <w:vAlign w:val="bottom"/>
          </w:tcPr>
          <w:p>
            <w:pPr>
              <w:spacing w:after="0"/>
              <w:rPr>
                <w:sz w:val="1"/>
                <w:szCs w:val="1"/>
                <w:color w:val="auto"/>
              </w:rPr>
            </w:pPr>
          </w:p>
        </w:tc>
      </w:tr>
      <w:tr>
        <w:trPr>
          <w:trHeight w:val="238"/>
        </w:trPr>
        <w:tc>
          <w:tcPr>
            <w:tcW w:w="3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Three Months Ended March 31, 2026</w:t>
            </w:r>
          </w:p>
        </w:tc>
        <w:tc>
          <w:tcPr>
            <w:tcW w:w="8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80" w:type="dxa"/>
            <w:vAlign w:val="bottom"/>
          </w:tcPr>
          <w:p>
            <w:pPr>
              <w:spacing w:after="0"/>
              <w:rPr>
                <w:sz w:val="20"/>
                <w:szCs w:val="20"/>
                <w:color w:val="auto"/>
              </w:rPr>
            </w:pPr>
          </w:p>
        </w:tc>
        <w:tc>
          <w:tcPr>
            <w:tcW w:w="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80" w:type="dxa"/>
            <w:vAlign w:val="bottom"/>
          </w:tcPr>
          <w:p>
            <w:pPr>
              <w:spacing w:after="0"/>
              <w:rPr>
                <w:sz w:val="20"/>
                <w:szCs w:val="20"/>
                <w:color w:val="auto"/>
              </w:rPr>
            </w:pPr>
          </w:p>
        </w:tc>
        <w:tc>
          <w:tcPr>
            <w:tcW w:w="8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80" w:type="dxa"/>
            <w:vAlign w:val="bottom"/>
          </w:tcPr>
          <w:p>
            <w:pPr>
              <w:spacing w:after="0"/>
              <w:rPr>
                <w:sz w:val="20"/>
                <w:szCs w:val="20"/>
                <w:color w:val="auto"/>
              </w:rPr>
            </w:pPr>
          </w:p>
        </w:tc>
        <w:tc>
          <w:tcPr>
            <w:tcW w:w="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Amount</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80" w:type="dxa"/>
            <w:vAlign w:val="bottom"/>
          </w:tcPr>
          <w:p>
            <w:pPr>
              <w:spacing w:after="0"/>
              <w:rPr>
                <w:sz w:val="20"/>
                <w:szCs w:val="20"/>
                <w:color w:val="auto"/>
              </w:rPr>
            </w:pPr>
          </w:p>
        </w:tc>
        <w:tc>
          <w:tcPr>
            <w:tcW w:w="160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Retained Earnings</w:t>
            </w: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240" w:type="dxa"/>
            <w:vAlign w:val="bottom"/>
            <w:tcBorders>
              <w:right w:val="single" w:sz="8" w:color="CFF0FC"/>
            </w:tcBorders>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Balance as of December 31, 2025</w:t>
            </w:r>
          </w:p>
        </w:tc>
        <w:tc>
          <w:tcPr>
            <w:tcW w:w="8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10,814,43</w:t>
            </w:r>
          </w:p>
        </w:tc>
        <w:tc>
          <w:tcPr>
            <w:tcW w:w="1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240" w:type="dxa"/>
            <w:vAlign w:val="bottom"/>
            <w:tcBorders>
              <w:right w:val="single" w:sz="8" w:color="CFF0FC"/>
            </w:tcBorders>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357,625</w:t>
            </w:r>
          </w:p>
        </w:tc>
        <w:tc>
          <w:tcPr>
            <w:tcW w:w="620" w:type="dxa"/>
            <w:vAlign w:val="bottom"/>
            <w:gridSpan w:val="2"/>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36</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jc w:val="right"/>
              <w:ind w:right="274"/>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1,450,734</w:t>
            </w:r>
          </w:p>
        </w:tc>
        <w:tc>
          <w:tcPr>
            <w:tcW w:w="18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1,451,851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Accretion of Class A ordinary shares to</w:t>
            </w: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redemption value</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(2,254,569)</w:t>
            </w:r>
          </w:p>
        </w:tc>
        <w:tc>
          <w:tcPr>
            <w:tcW w:w="440" w:type="dxa"/>
            <w:vAlign w:val="bottom"/>
          </w:tcPr>
          <w:p>
            <w:pPr>
              <w:spacing w:after="0"/>
              <w:rPr>
                <w:sz w:val="20"/>
                <w:szCs w:val="20"/>
                <w:color w:val="auto"/>
              </w:rPr>
            </w:pPr>
          </w:p>
        </w:tc>
        <w:tc>
          <w:tcPr>
            <w:tcW w:w="134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(2,254,569)</w:t>
            </w:r>
          </w:p>
        </w:tc>
        <w:tc>
          <w:tcPr>
            <w:tcW w:w="0" w:type="dxa"/>
            <w:vAlign w:val="bottom"/>
          </w:tcPr>
          <w:p>
            <w:pPr>
              <w:spacing w:after="0"/>
              <w:rPr>
                <w:sz w:val="1"/>
                <w:szCs w:val="1"/>
                <w:color w:val="auto"/>
              </w:rPr>
            </w:pPr>
          </w:p>
        </w:tc>
      </w:tr>
      <w:tr>
        <w:trPr>
          <w:trHeight w:val="198"/>
        </w:trPr>
        <w:tc>
          <w:tcPr>
            <w:tcW w:w="3240" w:type="dxa"/>
            <w:vAlign w:val="bottom"/>
            <w:tcBorders>
              <w:right w:val="single" w:sz="8" w:color="CFF0FC"/>
            </w:tcBorders>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Reclass of negative additional paid-in</w:t>
            </w:r>
          </w:p>
        </w:tc>
        <w:tc>
          <w:tcPr>
            <w:tcW w:w="8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40" w:type="dxa"/>
            <w:vAlign w:val="bottom"/>
            <w:tcBorders>
              <w:right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capital to retained earnings</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2,254,569</w:t>
            </w:r>
          </w:p>
        </w:tc>
        <w:tc>
          <w:tcPr>
            <w:tcW w:w="18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(2,254,569)</w:t>
            </w:r>
          </w:p>
        </w:tc>
        <w:tc>
          <w:tcPr>
            <w:tcW w:w="22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1,943,768</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1,943,768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3240" w:type="dxa"/>
            <w:vAlign w:val="bottom"/>
            <w:tcBorders>
              <w:right w:val="single" w:sz="8" w:color="CFF0FC"/>
            </w:tcBorders>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Balance as of March 31, 2026</w:t>
            </w:r>
          </w:p>
        </w:tc>
        <w:tc>
          <w:tcPr>
            <w:tcW w:w="8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10,814,43</w:t>
            </w:r>
          </w:p>
        </w:tc>
        <w:tc>
          <w:tcPr>
            <w:tcW w:w="1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54"/>
        </w:trPr>
        <w:tc>
          <w:tcPr>
            <w:tcW w:w="3240" w:type="dxa"/>
            <w:vAlign w:val="bottom"/>
            <w:tcBorders>
              <w:right w:val="single" w:sz="8" w:color="CFF0FC"/>
            </w:tcBorders>
            <w:shd w:val="clear" w:color="auto" w:fill="CFF0FC"/>
          </w:tcPr>
          <w:p>
            <w:pPr>
              <w:spacing w:after="0"/>
              <w:rPr>
                <w:sz w:val="22"/>
                <w:szCs w:val="22"/>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357,625</w:t>
            </w:r>
          </w:p>
        </w:tc>
        <w:tc>
          <w:tcPr>
            <w:tcW w:w="180" w:type="dxa"/>
            <w:vAlign w:val="bottom"/>
            <w:shd w:val="clear" w:color="auto" w:fill="CFF0FC"/>
          </w:tcPr>
          <w:p>
            <w:pPr>
              <w:spacing w:after="0"/>
              <w:rPr>
                <w:sz w:val="22"/>
                <w:szCs w:val="22"/>
                <w:color w:val="auto"/>
              </w:rPr>
            </w:pPr>
          </w:p>
        </w:tc>
        <w:tc>
          <w:tcPr>
            <w:tcW w:w="440" w:type="dxa"/>
            <w:vAlign w:val="bottom"/>
            <w:shd w:val="clear" w:color="auto" w:fill="CFF0FC"/>
          </w:tcPr>
          <w:p>
            <w:pPr>
              <w:spacing w:after="0"/>
              <w:rPr>
                <w:sz w:val="22"/>
                <w:szCs w:val="22"/>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36</w:t>
            </w:r>
          </w:p>
        </w:tc>
        <w:tc>
          <w:tcPr>
            <w:tcW w:w="180" w:type="dxa"/>
            <w:vAlign w:val="bottom"/>
            <w:shd w:val="clear" w:color="auto" w:fill="CFF0FC"/>
          </w:tcPr>
          <w:p>
            <w:pPr>
              <w:spacing w:after="0"/>
              <w:rPr>
                <w:sz w:val="22"/>
                <w:szCs w:val="22"/>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jc w:val="right"/>
              <w:ind w:right="274"/>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1,139,933</w:t>
            </w:r>
          </w:p>
        </w:tc>
        <w:tc>
          <w:tcPr>
            <w:tcW w:w="180" w:type="dxa"/>
            <w:vAlign w:val="bottom"/>
            <w:shd w:val="clear" w:color="auto" w:fill="CFF0FC"/>
          </w:tcPr>
          <w:p>
            <w:pPr>
              <w:spacing w:after="0"/>
              <w:rPr>
                <w:sz w:val="22"/>
                <w:szCs w:val="22"/>
                <w:color w:val="auto"/>
              </w:rPr>
            </w:pPr>
          </w:p>
        </w:tc>
        <w:tc>
          <w:tcPr>
            <w:tcW w:w="2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1,141,050</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2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2619375</wp:posOffset>
            </wp:positionH>
            <wp:positionV relativeFrom="paragraph">
              <wp:posOffset>-24765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2619375</wp:posOffset>
            </wp:positionH>
            <wp:positionV relativeFrom="paragraph">
              <wp:posOffset>-7620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-24765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-7620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-24765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-7620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-24765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-7620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-24765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-7620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-24765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-7620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16"/>
        </w:trPr>
        <w:tc>
          <w:tcPr>
            <w:tcW w:w="9020" w:type="dxa"/>
            <w:vAlign w:val="bottom"/>
          </w:tcPr>
          <w:p>
            <w:pPr>
              <w:jc w:val="center"/>
              <w:ind w:left="2130"/>
              <w:spacing w:after="0"/>
              <w:rPr>
                <w:sz w:val="20"/>
                <w:szCs w:val="20"/>
                <w:color w:val="auto"/>
              </w:rPr>
            </w:pPr>
            <w:r>
              <w:rPr>
                <w:rFonts w:ascii="Times New Roman" w:cs="Times New Roman" w:eastAsia="Times New Roman" w:hAnsi="Times New Roman"/>
                <w:sz w:val="18"/>
                <w:szCs w:val="18"/>
                <w:b w:val="1"/>
                <w:bCs w:val="1"/>
                <w:color w:val="auto"/>
              </w:rPr>
              <w:t>GigCapital8 Corp.</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020" w:type="dxa"/>
            <w:vAlign w:val="bottom"/>
          </w:tcPr>
          <w:p>
            <w:pPr>
              <w:jc w:val="center"/>
              <w:ind w:left="2130"/>
              <w:spacing w:after="0"/>
              <w:rPr>
                <w:sz w:val="20"/>
                <w:szCs w:val="20"/>
                <w:color w:val="auto"/>
              </w:rPr>
            </w:pPr>
            <w:r>
              <w:rPr>
                <w:rFonts w:ascii="Times New Roman" w:cs="Times New Roman" w:eastAsia="Times New Roman" w:hAnsi="Times New Roman"/>
                <w:sz w:val="18"/>
                <w:szCs w:val="18"/>
                <w:b w:val="1"/>
                <w:bCs w:val="1"/>
                <w:color w:val="auto"/>
                <w:w w:val="99"/>
              </w:rPr>
              <w:t>Condensed Statement of Cash Flows</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8"/>
        </w:trPr>
        <w:tc>
          <w:tcPr>
            <w:tcW w:w="9020" w:type="dxa"/>
            <w:vAlign w:val="bottom"/>
          </w:tcPr>
          <w:p>
            <w:pPr>
              <w:jc w:val="center"/>
              <w:ind w:left="213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40"/>
        </w:trPr>
        <w:tc>
          <w:tcPr>
            <w:tcW w:w="9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r>
      <w:tr>
        <w:trPr>
          <w:trHeight w:val="173"/>
        </w:trPr>
        <w:tc>
          <w:tcPr>
            <w:tcW w:w="9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2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March 31, 2026</w:t>
            </w:r>
          </w:p>
        </w:tc>
      </w:tr>
      <w:tr>
        <w:trPr>
          <w:trHeight w:val="210"/>
        </w:trPr>
        <w:tc>
          <w:tcPr>
            <w:tcW w:w="90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22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6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90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50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1,943,768</w:t>
            </w:r>
          </w:p>
        </w:tc>
        <w:tc>
          <w:tcPr>
            <w:tcW w:w="120" w:type="dxa"/>
            <w:vAlign w:val="bottom"/>
          </w:tcPr>
          <w:p>
            <w:pPr>
              <w:spacing w:after="0"/>
              <w:rPr>
                <w:sz w:val="18"/>
                <w:szCs w:val="18"/>
                <w:color w:val="auto"/>
              </w:rPr>
            </w:pPr>
          </w:p>
        </w:tc>
      </w:tr>
      <w:tr>
        <w:trPr>
          <w:trHeight w:val="216"/>
        </w:trPr>
        <w:tc>
          <w:tcPr>
            <w:tcW w:w="9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used by operating activities:</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9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and dividends earned on cash and marketable securities held in Trust Account</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(2,254,569)</w:t>
            </w:r>
          </w:p>
        </w:tc>
      </w:tr>
      <w:tr>
        <w:trPr>
          <w:trHeight w:val="216"/>
        </w:trPr>
        <w:tc>
          <w:tcPr>
            <w:tcW w:w="9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Changes in operating liabilities:</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9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(39,634)</w:t>
            </w:r>
          </w:p>
        </w:tc>
      </w:tr>
      <w:tr>
        <w:trPr>
          <w:trHeight w:val="216"/>
        </w:trPr>
        <w:tc>
          <w:tcPr>
            <w:tcW w:w="90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17,621</w:t>
            </w:r>
          </w:p>
        </w:tc>
        <w:tc>
          <w:tcPr>
            <w:tcW w:w="120" w:type="dxa"/>
            <w:vAlign w:val="bottom"/>
            <w:shd w:val="clear" w:color="auto" w:fill="CFF0FC"/>
          </w:tcPr>
          <w:p>
            <w:pPr>
              <w:spacing w:after="0"/>
              <w:rPr>
                <w:sz w:val="18"/>
                <w:szCs w:val="18"/>
                <w:color w:val="auto"/>
              </w:rPr>
            </w:pPr>
          </w:p>
        </w:tc>
      </w:tr>
      <w:tr>
        <w:trPr>
          <w:trHeight w:val="216"/>
        </w:trPr>
        <w:tc>
          <w:tcPr>
            <w:tcW w:w="9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(88,130)</w:t>
            </w:r>
          </w:p>
        </w:tc>
      </w:tr>
      <w:tr>
        <w:trPr>
          <w:trHeight w:val="216"/>
        </w:trPr>
        <w:tc>
          <w:tcPr>
            <w:tcW w:w="90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Related party payable</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26,777</w:t>
            </w:r>
          </w:p>
        </w:tc>
        <w:tc>
          <w:tcPr>
            <w:tcW w:w="120" w:type="dxa"/>
            <w:vAlign w:val="bottom"/>
            <w:shd w:val="clear" w:color="auto" w:fill="CFF0FC"/>
          </w:tcPr>
          <w:p>
            <w:pPr>
              <w:spacing w:after="0"/>
              <w:rPr>
                <w:sz w:val="18"/>
                <w:szCs w:val="18"/>
                <w:color w:val="auto"/>
              </w:rPr>
            </w:pPr>
          </w:p>
        </w:tc>
      </w:tr>
      <w:tr>
        <w:trPr>
          <w:trHeight w:val="216"/>
        </w:trPr>
        <w:tc>
          <w:tcPr>
            <w:tcW w:w="9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liabilities</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3,130</w:t>
            </w:r>
          </w:p>
        </w:tc>
        <w:tc>
          <w:tcPr>
            <w:tcW w:w="120" w:type="dxa"/>
            <w:vAlign w:val="bottom"/>
          </w:tcPr>
          <w:p>
            <w:pPr>
              <w:spacing w:after="0"/>
              <w:rPr>
                <w:sz w:val="18"/>
                <w:szCs w:val="18"/>
                <w:color w:val="auto"/>
              </w:rPr>
            </w:pPr>
          </w:p>
        </w:tc>
      </w:tr>
      <w:tr>
        <w:trPr>
          <w:trHeight w:val="210"/>
        </w:trPr>
        <w:tc>
          <w:tcPr>
            <w:tcW w:w="9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by operating activities</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(391,037)</w:t>
            </w:r>
          </w:p>
        </w:tc>
      </w:tr>
      <w:tr>
        <w:trPr>
          <w:trHeight w:val="20"/>
        </w:trPr>
        <w:tc>
          <w:tcPr>
            <w:tcW w:w="902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09"/>
        </w:trPr>
        <w:tc>
          <w:tcPr>
            <w:tcW w:w="902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 cash</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(391,037)</w:t>
            </w:r>
          </w:p>
        </w:tc>
      </w:tr>
      <w:tr>
        <w:trPr>
          <w:trHeight w:val="216"/>
        </w:trPr>
        <w:tc>
          <w:tcPr>
            <w:tcW w:w="90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at beginning of period</w:t>
            </w:r>
          </w:p>
        </w:tc>
        <w:tc>
          <w:tcPr>
            <w:tcW w:w="2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1,442,471</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9020" w:type="dxa"/>
            <w:vAlign w:val="bottom"/>
          </w:tcPr>
          <w:p>
            <w:pPr>
              <w:spacing w:after="0"/>
              <w:rPr>
                <w:sz w:val="20"/>
                <w:szCs w:val="20"/>
                <w:color w:val="auto"/>
              </w:rPr>
            </w:pPr>
            <w:r>
              <w:rPr>
                <w:rFonts w:ascii="Times New Roman" w:cs="Times New Roman" w:eastAsia="Times New Roman" w:hAnsi="Times New Roman"/>
                <w:sz w:val="18"/>
                <w:szCs w:val="18"/>
                <w:color w:val="auto"/>
              </w:rPr>
              <w:t>Cash at end of period</w:t>
            </w:r>
          </w:p>
        </w:tc>
        <w:tc>
          <w:tcPr>
            <w:tcW w:w="50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1,051,434</w:t>
            </w:r>
          </w:p>
        </w:tc>
        <w:tc>
          <w:tcPr>
            <w:tcW w:w="120" w:type="dxa"/>
            <w:vAlign w:val="bottom"/>
          </w:tcPr>
          <w:p>
            <w:pPr>
              <w:spacing w:after="0"/>
              <w:rPr>
                <w:sz w:val="18"/>
                <w:szCs w:val="18"/>
                <w:color w:val="auto"/>
              </w:rPr>
            </w:pPr>
          </w:p>
        </w:tc>
      </w:tr>
      <w:tr>
        <w:trPr>
          <w:trHeight w:val="20"/>
        </w:trPr>
        <w:tc>
          <w:tcPr>
            <w:tcW w:w="9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9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9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Supplemental non-cash disclosure:</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9020" w:type="dxa"/>
            <w:vAlign w:val="bottom"/>
          </w:tcPr>
          <w:p>
            <w:pPr>
              <w:spacing w:after="0"/>
              <w:rPr>
                <w:sz w:val="20"/>
                <w:szCs w:val="20"/>
                <w:color w:val="auto"/>
              </w:rPr>
            </w:pPr>
            <w:r>
              <w:rPr>
                <w:rFonts w:ascii="Times New Roman" w:cs="Times New Roman" w:eastAsia="Times New Roman" w:hAnsi="Times New Roman"/>
                <w:sz w:val="18"/>
                <w:szCs w:val="18"/>
                <w:color w:val="auto"/>
              </w:rPr>
              <w:t>Accretion of Class A ordinary shares to redemption value</w:t>
            </w:r>
          </w:p>
        </w:tc>
        <w:tc>
          <w:tcPr>
            <w:tcW w:w="50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2,254,569</w:t>
            </w:r>
          </w:p>
        </w:tc>
        <w:tc>
          <w:tcPr>
            <w:tcW w:w="120" w:type="dxa"/>
            <w:vAlign w:val="bottom"/>
          </w:tcPr>
          <w:p>
            <w:pPr>
              <w:spacing w:after="0"/>
              <w:rPr>
                <w:sz w:val="18"/>
                <w:szCs w:val="18"/>
                <w:color w:val="auto"/>
              </w:rPr>
            </w:pPr>
          </w:p>
        </w:tc>
      </w:tr>
      <w:tr>
        <w:trPr>
          <w:trHeight w:val="20"/>
        </w:trPr>
        <w:tc>
          <w:tcPr>
            <w:tcW w:w="9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7059930</wp:posOffset>
            </wp:positionH>
            <wp:positionV relativeFrom="paragraph">
              <wp:posOffset>-890905</wp:posOffset>
            </wp:positionV>
            <wp:extent cx="7747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-607695</wp:posOffset>
            </wp:positionV>
            <wp:extent cx="7747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GigCapital8 Corp.</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Basis of Presentation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Organization and General</w:t>
      </w:r>
    </w:p>
    <w:p>
      <w:pPr>
        <w:spacing w:after="0" w:line="121" w:lineRule="exact"/>
        <w:rPr>
          <w:sz w:val="20"/>
          <w:szCs w:val="20"/>
          <w:color w:val="auto"/>
        </w:rPr>
      </w:pPr>
    </w:p>
    <w:p>
      <w:pPr>
        <w:jc w:val="both"/>
        <w:ind w:firstLine="666"/>
        <w:spacing w:after="0" w:line="258" w:lineRule="auto"/>
        <w:rPr>
          <w:sz w:val="20"/>
          <w:szCs w:val="20"/>
          <w:color w:val="auto"/>
        </w:rPr>
      </w:pPr>
      <w:r>
        <w:rPr>
          <w:rFonts w:ascii="Times New Roman" w:cs="Times New Roman" w:eastAsia="Times New Roman" w:hAnsi="Times New Roman"/>
          <w:sz w:val="18"/>
          <w:szCs w:val="18"/>
          <w:color w:val="auto"/>
        </w:rPr>
        <w:t>GigCapital8 Corp. (the “Company”) was incorporated as a Cayman Islands exempted company on June 30, 2025. The Company was formed for the purpose of effecting a merger, capital share exchange, asset acquisition, share purchase, reorganization or similar business combination with one or more businesses (the “Business Combination”). The Company is an “emerging growth company,” as defined in Section 2(a) of the Securities Act of 1933, as amended (the “Securities Act”), as modified by the Jumpstart Our Business Startups Act of 2012 (the “JOBS Act”). The Company’s sponsor is GigAcquisitions8 Corp., a Cayman Islands exempted company (the “Sponsor”).</w:t>
      </w:r>
    </w:p>
    <w:p>
      <w:pPr>
        <w:spacing w:after="0" w:line="183" w:lineRule="exact"/>
        <w:rPr>
          <w:sz w:val="20"/>
          <w:szCs w:val="20"/>
          <w:color w:val="auto"/>
        </w:rPr>
      </w:pPr>
    </w:p>
    <w:p>
      <w:pPr>
        <w:jc w:val="both"/>
        <w:ind w:firstLine="666"/>
        <w:spacing w:after="0" w:line="258" w:lineRule="auto"/>
        <w:rPr>
          <w:sz w:val="20"/>
          <w:szCs w:val="20"/>
          <w:color w:val="auto"/>
        </w:rPr>
      </w:pPr>
      <w:r>
        <w:rPr>
          <w:rFonts w:ascii="Times New Roman" w:cs="Times New Roman" w:eastAsia="Times New Roman" w:hAnsi="Times New Roman"/>
          <w:sz w:val="18"/>
          <w:szCs w:val="18"/>
          <w:color w:val="auto"/>
        </w:rPr>
        <w:t>As of March 31, 2026, the Company had not commenced any operations. All activity for the period from June 30, 2025 (date of inception) through March 31, 2026 relates to the Company’s formation and the initial public offering (the “Offering”), as described below, and identifying a target Business Combination, as described below. The Company will not generate any operating revenues until after completion of the Business Combination, at the earliest. The Company will generate non-operating income in the form of interest and dividend income on cash, cash equivalents and marketable securities from the proceeds received from the Offering. The Company has selected December 31 as its fiscal year end.</w:t>
      </w:r>
    </w:p>
    <w:p>
      <w:pPr>
        <w:spacing w:after="0" w:line="183"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On September 30, 2025, the Securities and Exchange Commission (the “SEC”) declared the Company’s Registration Statement on Form S-1 (File No. 333-289479) (the “Registration Statement”), as amended, in connection with the Offering, effective.</w:t>
      </w:r>
    </w:p>
    <w:p>
      <w:pPr>
        <w:spacing w:after="0" w:line="162"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Company entered into an underwriting agreement with D. Boral Capital LLC (the “Underwriter”) on October 3, 2025 to conduct the Offering of 22,000,000 units (the “Units”) in the amount of $220.0 million in gross proceeds, with a 45-day option provided to the Underwriter to purchase up to 3,300,000 additional Units solely to cover over-allotments, if any, in the amount of up to $33.0 million in additional gross proceeds. Each Unit consists of one of the Company’s Class A ordinary shares, $0.0001 par value, and one right to receive one-fifth (1/5) of one Class A ordinary share upon the consummation of an initial Business Combination.</w:t>
      </w:r>
    </w:p>
    <w:p>
      <w:pPr>
        <w:spacing w:after="0" w:line="183"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On October 7, 2025, the Company consummated the Offering of 25,300,000 Units, including the issuance of 3,300,000 Units as a result of the Underwriter’s exercise in full of their over-allotment option. The Units were sold at a price of $10.00 per Unit, generating gross proceeds to the Company of $253,000,000.</w:t>
      </w:r>
    </w:p>
    <w:p>
      <w:pPr>
        <w:spacing w:after="0" w:line="176"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Certain institutional accredited investors (none of which are affiliated with any member of management, the Sponsor or any other investor (the “non-managing investors”)) purchased an aggregate of (a) 2,964,203 Class B ordinary shares (the “Private Investor Shares”) at a purchase price per Class B ordinary share of $0.023254, and (b) an aggregate of 262,425 private placement units consisting of one Class A ordinary share and one right to receive one-fifth (1/5) of one Class A ordinary share upon consummation of the initial Business Combination at a price of $9.7374 per unit in a private placement that occurred simultaneously with the completion of the Offering (the “Private Placement Unit”) for an aggregate purchase price of $2,624,266. The Private Investor Shares along with the Founder Shares (as defined below - see Note 4) collectively represent 30% of the outstanding ordinary shares, excluding the private placement shares that are an underlying security to the Private Placement Units. The private placement proceeds will be used to pay for business, legal and accounting due diligence expenses on acquisition targets and continuing general and administration expenses.</w:t>
      </w:r>
    </w:p>
    <w:p>
      <w:pPr>
        <w:spacing w:after="0" w:line="192" w:lineRule="exact"/>
        <w:rPr>
          <w:sz w:val="20"/>
          <w:szCs w:val="20"/>
          <w:color w:val="auto"/>
        </w:rPr>
      </w:pPr>
    </w:p>
    <w:p>
      <w:pPr>
        <w:ind w:right="460" w:firstLine="509"/>
        <w:spacing w:after="0" w:line="282" w:lineRule="auto"/>
        <w:rPr>
          <w:sz w:val="20"/>
          <w:szCs w:val="20"/>
          <w:color w:val="auto"/>
        </w:rPr>
      </w:pPr>
      <w:r>
        <w:rPr>
          <w:rFonts w:ascii="Times New Roman" w:cs="Times New Roman" w:eastAsia="Times New Roman" w:hAnsi="Times New Roman"/>
          <w:sz w:val="18"/>
          <w:szCs w:val="18"/>
          <w:color w:val="auto"/>
        </w:rPr>
        <w:t>Following the closing of the Offering, proceeds in the amount of $253,000,000 from the sale of the Units in the Offering were placed in a trust account (the “Trust Account”) (discussed below).</w:t>
      </w:r>
    </w:p>
    <w:p>
      <w:pPr>
        <w:spacing w:after="0" w:line="162"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Transaction costs amounted to $1,788,054, consisting of $1,025,000 of underwriting fees and $763,054 of offering costs. The Company’s remaining cash after payment of the offering costs is held outside of the Trust Account for working capital purposes.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Trust Account</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funds in the Trust Account will be invested only in U.S. government treasury bills with a maturity of one hundred and eighty-five (185) days or less or in money market funds meeting certain conditions under Rule 2a-7 under the Investment Company Act of 1940 which invest only in direct U.S. government obligations. Funds will remain in the Trust Account until the earlier of (i) the completion of the Business Combination or (ii) the distribution of the Trust Account as described below. The remaining proceeds from the Offering outside the Trust Account may be used to pay for business, legal and accounting due diligence expenses on acquisition targets and continuing general and administrative expenses.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 w:name="page8"/>
    <w:bookmarkEnd w:id="7"/>
    <w:p>
      <w:pPr>
        <w:ind w:firstLine="509"/>
        <w:spacing w:after="0" w:line="255" w:lineRule="auto"/>
        <w:rPr>
          <w:sz w:val="20"/>
          <w:szCs w:val="20"/>
          <w:color w:val="auto"/>
        </w:rPr>
      </w:pPr>
      <w:r>
        <w:rPr>
          <w:rFonts w:ascii="Times New Roman" w:cs="Times New Roman" w:eastAsia="Times New Roman" w:hAnsi="Times New Roman"/>
          <w:sz w:val="18"/>
          <w:szCs w:val="18"/>
          <w:color w:val="auto"/>
        </w:rPr>
        <w:t>The Company’s amended and restated memorandum and articles of association provide that, other than the withdrawal of interest to pay taxes, none of the funds held in the Trust Account will be released until the earlier of: (1) the completion of an initial Business Combination; (2) the redemption of 100% of the outstanding public shares if the Company has not completed an initial Business Combination within 24 months from the closing of the Offering or (3) the redemption of any public shares properly tendered in connection with a shareholder vote to amend the amended and restated memorandum and articles of association (A) to modify the substance or timing of the Company’s obligation to redeem 100% of the Company’s public shares if the Company does not complete its initial Business Combination within the required time period or (B) with respect to any other provision relating to the Company’s pre-business combination activity and related shareholders’ rights.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w:t>
      </w:r>
    </w:p>
    <w:p>
      <w:pPr>
        <w:spacing w:after="0" w:line="229"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The Company’s management has broad discretion with respect to the specific application of the proceeds of the Offering, although substantially all of the proceeds of the Offering are intended to be generally applied toward consummating a Business Combination with (or acquisition of) a Target Business. As used herein, “Target Business” must be with one or more target businesses that together have a fair market value equal to at least 80% of the balance in the Trust Account (less withdrawals to pay taxes, if any, and such withdrawals can only be made from interest and not from the principal held in the Trust Account) at the time the Company signs a definitive agreement in connection with the Business Combination. There is no assurance that the Company will be able to successfully effect a Business Combination.</w:t>
      </w:r>
    </w:p>
    <w:p>
      <w:pPr>
        <w:spacing w:after="0" w:line="187"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The Company, after signing a definitive agreement for a Business Combination, will either (i) seek shareholder approval of the Business Combination at a meeting called for such purpose in connection with which shareholders may seek to redeem their shares, regardless of whether they vote for or against the Business Combination, for cash equal to their pro rata share of the aggregate amount then on deposit in the Trust Account as of two business days prior to the consummation of the initial Business Combination, including interest but less taxes payable, or (ii) provide shareholders with the opportunity to have their shares redeemed by the Company by means of a tender offer (and thereby avoid the need for a shareholder vote) for an amount in cash equal to their pro rata share of the aggregate amount then on deposit in the Trust Account as of two business days prior to commencement of the tender offer, including interest but less taxes payable. The decision as to whether the Company will seek shareholder approval of the Business Combination or will allow shareholders to redeem their shares in a tender offer will be made by the Company, solely in its discretion, and will be based on a variety of factors such as the timing of the transaction and whether the terms of the transaction would otherwise require the Company to seek shareholder approval unless a vote is required by the rules of the Nasdaq Global Market tier of The Nasdaq Stock Market LLC (“Nasdaq”). If the Company seeks shareholder approval, it will complete its Business Combination only if a majority of the outstanding shares are voted in favor of the Business Combination.</w:t>
      </w:r>
    </w:p>
    <w:p>
      <w:pPr>
        <w:spacing w:after="0" w:line="192"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If the Company holds a shareholder vote or there is a tender offer for shares in connection with the Business Combination, a public shareholder will have the right to redeem their shares for an amount in cash equal to their pro rata share of the aggregate amount then on deposit in the Trust Account as of two business days prior to the consummation of the initial Business Combination, including interest but less taxes payable. As a result, such ordinary shares were recorded at redemption amount and classified as temporary equity upon the completion of the Offering.</w:t>
      </w:r>
    </w:p>
    <w:p>
      <w:pPr>
        <w:spacing w:after="0" w:line="180" w:lineRule="exact"/>
        <w:rPr>
          <w:sz w:val="20"/>
          <w:szCs w:val="20"/>
          <w:color w:val="auto"/>
        </w:rPr>
      </w:pPr>
    </w:p>
    <w:p>
      <w:pPr>
        <w:ind w:right="80" w:firstLine="509"/>
        <w:spacing w:after="0" w:line="252" w:lineRule="auto"/>
        <w:rPr>
          <w:sz w:val="20"/>
          <w:szCs w:val="20"/>
          <w:color w:val="auto"/>
        </w:rPr>
      </w:pPr>
      <w:r>
        <w:rPr>
          <w:rFonts w:ascii="Times New Roman" w:cs="Times New Roman" w:eastAsia="Times New Roman" w:hAnsi="Times New Roman"/>
          <w:sz w:val="18"/>
          <w:szCs w:val="18"/>
          <w:color w:val="auto"/>
        </w:rPr>
        <w:t>The Company has 24 months from the closing date of the Offering to complete its initial Business Combination. If the Company does not complete a Business Combination within this period of time, it shall (i) cease all operations except for the purposes of winding up; (ii) as promptly as reasonably possible, but not more than ten business days thereafter, redeem the public shares for a per share pro rata portion of the Trust Account, including interest, but less amounts withdrawn to pay taxes, if any (less up to $100,000 of such net interest to pay dissolution expenses) and (iii) as promptly as possible following such redemption, dissolve and liquidate the balance of the Company’s net assets to its creditors and remaining shareholders, as part of its plan of dissolution and liquidation. The Sponsor and those certain institutional investors participating in the private placement each entered into agreements with the Company, pursuant to which they agreed: (1) to waive their redemption rights with respect to their Founder Shares (as defined below), Private Investor Shares (as defined below), private placement shares and any Class A ordinary shares issuable upon conversion thereof in connection with the consummation of the Company’s initial Business Combination or a tender offer conducted prior to a Business Combination or in connection with it; (2) to waive their rights to liquidating distributions from the Trust Account with respect to their Founder Shares, Private Investor Shares and private placement shares if the Company fails to complete its initial Business Combination within 24 months from the closing of the Offering, although they will be entitled to liquidating distributions from the Trust Account with respect to any public shares they hold if the Company fails to complete its initial Business Combination within the prescribed time frame; and (3) to waive their redemption rights with respect to their Founder Shares, Private Investor Shares and private placement shares in connection with a shareholder vote to approve an amendment to the Company’s amended and restated memorandum and articles of association that would modify the substance or timing of the Company’s obligation to redeem 100% of the Company’s public shares if the Company does not timely complete its initial Business Combination or with respect to any other provision relating to shareholders’ rights or pre-business (per above under Trust Account) combination activity.</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 w:name="page9"/>
    <w:bookmarkEnd w:id="8"/>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In the event of such distribution, it is possible that the per share value of the residual assets remaining available for distribution (including Trust Account assets) will be less than the initial public offering price per unit in the Offering.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229"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As of March 31, 2026, the Company had $1,051,434 in cash and working capital of $1,004,863. Further, the Company has no present revenue, its business plan is dependent on the completion of a Business Combination and it expects to continue to incur significant costs in pursuit of its Business Combination acquisition plans. These conditions raise substantial doubt about the Company’s ability to continue as a going concern. There is no assurance that the Company’s plans to consummate a Business Combination will be successful or successful within the target business acquisition period. The condensed financial statements do not include any adjustments that might result from the outcome of this uncertainty.</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jc w:val="both"/>
        <w:ind w:firstLine="666"/>
        <w:spacing w:after="0" w:line="258" w:lineRule="auto"/>
        <w:rPr>
          <w:sz w:val="20"/>
          <w:szCs w:val="20"/>
          <w:color w:val="auto"/>
        </w:rPr>
      </w:pPr>
      <w:r>
        <w:rPr>
          <w:rFonts w:ascii="Times New Roman" w:cs="Times New Roman" w:eastAsia="Times New Roman" w:hAnsi="Times New Roman"/>
          <w:sz w:val="18"/>
          <w:szCs w:val="18"/>
          <w:color w:val="auto"/>
        </w:rPr>
        <w:t>The accompanying unaudited condensed interim financial statements of the Company have been prepared in conformity with accounting principles generally accepted in the United States of America (“GAAP”) and pursuant to the rules and regulations of the SEC and reflect all adjustments, consisting only of normal recurring adjustments, which are, in the opinion of management, necessary for a fair presentation of the financial position as of March 31, 2026, and the results of operations and cash flows for the period presented. Certain information and disclosures normally included in unaudited condensed financial statements prepared in accordance with GAAP have been condensed or omitted pursuant to such rules and regulations.</w:t>
      </w:r>
    </w:p>
    <w:p>
      <w:pPr>
        <w:spacing w:after="0" w:line="75" w:lineRule="exact"/>
        <w:rPr>
          <w:sz w:val="20"/>
          <w:szCs w:val="20"/>
          <w:color w:val="auto"/>
        </w:rPr>
      </w:pPr>
    </w:p>
    <w:p>
      <w:pPr>
        <w:jc w:val="both"/>
        <w:ind w:firstLine="666"/>
        <w:spacing w:after="0" w:line="261" w:lineRule="auto"/>
        <w:rPr>
          <w:sz w:val="20"/>
          <w:szCs w:val="20"/>
          <w:color w:val="auto"/>
        </w:rPr>
      </w:pPr>
      <w:r>
        <w:rPr>
          <w:rFonts w:ascii="Times New Roman" w:cs="Times New Roman" w:eastAsia="Times New Roman" w:hAnsi="Times New Roman"/>
          <w:sz w:val="18"/>
          <w:szCs w:val="18"/>
          <w:color w:val="auto"/>
        </w:rPr>
        <w:t>The accompanying unaudited condensed interim financial statements should be read in conjunction with the audited financial statements and notes thereto included in the Annual Report on Form 10-K for the period from June 30, 2025 (date of inception) through December 31, 2025, which was filed with the SEC on March 31, 2026. The results of operations for the interim period presented are not necessarily indicative of the results to be expected for the year ending December 31, 2026 or for any future interim periods.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w:t>
      </w:r>
    </w:p>
    <w:p>
      <w:pPr>
        <w:spacing w:after="0" w:line="121" w:lineRule="exact"/>
        <w:rPr>
          <w:sz w:val="20"/>
          <w:szCs w:val="20"/>
          <w:color w:val="auto"/>
        </w:rPr>
      </w:pPr>
    </w:p>
    <w:p>
      <w:pPr>
        <w:jc w:val="both"/>
        <w:ind w:firstLine="666"/>
        <w:spacing w:after="0" w:line="255" w:lineRule="auto"/>
        <w:rPr>
          <w:sz w:val="20"/>
          <w:szCs w:val="20"/>
          <w:color w:val="auto"/>
        </w:rPr>
      </w:pPr>
      <w:r>
        <w:rPr>
          <w:rFonts w:ascii="Times New Roman" w:cs="Times New Roman" w:eastAsia="Times New Roman" w:hAnsi="Times New Roman"/>
          <w:sz w:val="18"/>
          <w:szCs w:val="18"/>
          <w:color w:val="auto"/>
        </w:rPr>
        <w:t>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an accounting standard is issued or revised and it has different application dates for public or private companies, the Company, as an emerging growth company, can adopt the new or revised accounting standard at the time private companies adopt the new or revised standard.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Per Ordinary Share</w:t>
      </w:r>
    </w:p>
    <w:p>
      <w:pPr>
        <w:spacing w:after="0" w:line="121" w:lineRule="exact"/>
        <w:rPr>
          <w:sz w:val="20"/>
          <w:szCs w:val="20"/>
          <w:color w:val="auto"/>
        </w:rPr>
      </w:pPr>
    </w:p>
    <w:p>
      <w:pPr>
        <w:ind w:right="200" w:firstLine="509"/>
        <w:spacing w:after="0" w:line="255" w:lineRule="auto"/>
        <w:rPr>
          <w:sz w:val="20"/>
          <w:szCs w:val="20"/>
          <w:color w:val="auto"/>
        </w:rPr>
      </w:pPr>
      <w:r>
        <w:rPr>
          <w:rFonts w:ascii="Times New Roman" w:cs="Times New Roman" w:eastAsia="Times New Roman" w:hAnsi="Times New Roman"/>
          <w:sz w:val="18"/>
          <w:szCs w:val="18"/>
          <w:color w:val="auto"/>
        </w:rPr>
        <w:t>The Company complies with accounting and disclosure requirements of Accounting Standards Codification (“ASC”) Topic 260, “Earnings Per Share.” Net income per share is computed by dividing net income by the weighted-average number of ordinary shares outstanding during the period. The weighted-average ordinary shares are reduced for the effect of the Class B ordinary shares that are subject to forfeiture. The Company’s condensed statement of operations and comprehensive income include a presentation of net income per share subject to redemption in a manner similar to the two-class method of income (loss) per share. With respect to the accretion of the Class A ordinary shares subject to possible redemption and consistent with ASC 480-10-S99-3A, the Company treated accretion in the same manner as a dividend paid to the shareholders in the calculation of the net income per ordinary share. As a result, diluted net income per share is the same as basic net income per share for the periods presented.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jc w:val="both"/>
        <w:ind w:firstLine="666"/>
        <w:spacing w:after="0" w:line="266" w:lineRule="auto"/>
        <w:rPr>
          <w:sz w:val="20"/>
          <w:szCs w:val="20"/>
          <w:color w:val="auto"/>
        </w:rPr>
      </w:pPr>
      <w:r>
        <w:rPr>
          <w:rFonts w:ascii="Times New Roman" w:cs="Times New Roman" w:eastAsia="Times New Roman" w:hAnsi="Times New Roman"/>
          <w:sz w:val="18"/>
          <w:szCs w:val="18"/>
          <w:color w:val="auto"/>
        </w:rPr>
        <w:t>The Company considers all short-term investments with a maturity of three months or less when purchased to be cash equivalents. The Company maintains cash balances that at times may be uninsured or in deposit accounts that exceed Federal Deposit Insurance Corporation limits. The Company maintains its cash deposits with major financial institutions.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Marketable Securities Held in Trust Account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9" w:name="page10"/>
    <w:bookmarkEnd w:id="9"/>
    <w:p>
      <w:pPr>
        <w:jc w:val="both"/>
        <w:ind w:firstLine="666"/>
        <w:spacing w:after="0" w:line="258" w:lineRule="auto"/>
        <w:rPr>
          <w:sz w:val="20"/>
          <w:szCs w:val="20"/>
          <w:color w:val="auto"/>
        </w:rPr>
      </w:pPr>
      <w:r>
        <w:rPr>
          <w:rFonts w:ascii="Times New Roman" w:cs="Times New Roman" w:eastAsia="Times New Roman" w:hAnsi="Times New Roman"/>
          <w:sz w:val="18"/>
          <w:szCs w:val="18"/>
          <w:color w:val="auto"/>
        </w:rPr>
        <w:t>As of March 31, 2026 and December 31, 2025, the assets held in the Trust Account consisted of money market funds investing in U.S. Treasury securities and cash. The Company’s investments held in the Trust Account are classified as trading securities. Trading securities are presented on the condensed balance sheets at fair value at the end of each reporting period. Gains and losses resulting from the change in fair value of these securities are included in investment income on marketable securities held in the Trust Account in the accompanying condensed statement of operations and comprehensive income. The estimated fair values of investments held in the Trust Account are determined using available market information.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21" w:lineRule="exact"/>
        <w:rPr>
          <w:sz w:val="20"/>
          <w:szCs w:val="20"/>
          <w:color w:val="auto"/>
        </w:rPr>
      </w:pPr>
    </w:p>
    <w:p>
      <w:pPr>
        <w:jc w:val="both"/>
        <w:ind w:firstLine="666"/>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of a cash account and the Trust Account held in financial institutions, which at times, may exceed federally insured limits. The Company has not experienced losses on these accounts and management believes the Company is not exposed to significant risks on such accounts.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Offering Costs</w:t>
      </w:r>
    </w:p>
    <w:p>
      <w:pPr>
        <w:spacing w:after="0" w:line="121" w:lineRule="exact"/>
        <w:rPr>
          <w:sz w:val="20"/>
          <w:szCs w:val="20"/>
          <w:color w:val="auto"/>
        </w:rPr>
      </w:pPr>
    </w:p>
    <w:p>
      <w:pPr>
        <w:jc w:val="both"/>
        <w:ind w:firstLine="666"/>
        <w:spacing w:after="0" w:line="258" w:lineRule="auto"/>
        <w:rPr>
          <w:sz w:val="20"/>
          <w:szCs w:val="20"/>
          <w:color w:val="auto"/>
        </w:rPr>
      </w:pPr>
      <w:r>
        <w:rPr>
          <w:rFonts w:ascii="Times New Roman" w:cs="Times New Roman" w:eastAsia="Times New Roman" w:hAnsi="Times New Roman"/>
          <w:sz w:val="18"/>
          <w:szCs w:val="18"/>
          <w:color w:val="auto"/>
        </w:rPr>
        <w:t>The Company complies with the requirements of ASC 340-10-S99-1 and the SEC's Staff Accounting Bulletin (“SAB”) Topic 5A – “Expenses of Offering.” Offering costs in the amount of $1,788,054 consist principally of professional and registration fees incurred that are related to the Offering. Offering costs were allocated to the separable financial instruments issued in the Offering based on a relative fair value basis, compared to total proceeds received. Offering costs allocated to the public shares were charged to temporary equity and offering costs allocated to the public rights (as discussed in Note 3) were charged to shareholders’ equity upon the completion of the Offering.</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Ordinary Shares Subject to Possible Redemption</w:t>
      </w:r>
    </w:p>
    <w:p>
      <w:pPr>
        <w:spacing w:after="0" w:line="121" w:lineRule="exact"/>
        <w:rPr>
          <w:sz w:val="20"/>
          <w:szCs w:val="20"/>
          <w:color w:val="auto"/>
        </w:rPr>
      </w:pPr>
    </w:p>
    <w:p>
      <w:pPr>
        <w:jc w:val="both"/>
        <w:ind w:firstLine="666"/>
        <w:spacing w:after="0" w:line="254" w:lineRule="auto"/>
        <w:rPr>
          <w:sz w:val="20"/>
          <w:szCs w:val="20"/>
          <w:color w:val="auto"/>
        </w:rPr>
      </w:pPr>
      <w:r>
        <w:rPr>
          <w:rFonts w:ascii="Times New Roman" w:cs="Times New Roman" w:eastAsia="Times New Roman" w:hAnsi="Times New Roman"/>
          <w:sz w:val="18"/>
          <w:szCs w:val="18"/>
          <w:color w:val="auto"/>
        </w:rPr>
        <w:t>Conditionally redeemable ordinary shares (including ordinary shares that feature redemption rights that are either within the control of the holder or subject to redemption upon the occurrence of uncertain events not solely within the Company’s control) are classified as temporary equity. At all other times, ordinary shares are classified as shareholders’ equity. The Company’s Class A ordinary shares feature certain redemption rights that are considered to be outside of the Company’s control and subject to occurrence of uncertain future events. Accordingly, as of March 31, 2026 and December 31, 2025, Class A ordinary shares subject to possible redemption are presented at redemption value as temporary equity, outside of the shareholders’ equity section of the Company’s condensed balance sheets. Immediately upon the closing of the Offering, the Company recognized the accretion from initial book value to redemption value. The change in the carrying value of redeemable ordinary shares resulted in charges against additional paid-in capital. As of March 31, 2026 and December 31, 2025, 25,300,000 Class A ordinary shares were issued and outstanding and subject to possible redemption.</w:t>
      </w:r>
    </w:p>
    <w:p>
      <w:pPr>
        <w:spacing w:after="0" w:line="84"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As of March 31, 2026 and December 31, 2025, the Class A ordinary shares subject to possible redemption reflected on the condensed balance sheets are reconciled in the following table:</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Gross proceeds</w:t>
            </w:r>
          </w:p>
        </w:tc>
        <w:tc>
          <w:tcPr>
            <w:tcW w:w="52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253,000,000</w:t>
            </w:r>
          </w:p>
        </w:tc>
        <w:tc>
          <w:tcPr>
            <w:tcW w:w="120" w:type="dxa"/>
            <w:vAlign w:val="bottom"/>
            <w:shd w:val="clear" w:color="auto" w:fill="CFF0FC"/>
          </w:tcPr>
          <w:p>
            <w:pPr>
              <w:spacing w:after="0"/>
              <w:rPr>
                <w:sz w:val="18"/>
                <w:szCs w:val="18"/>
                <w:color w:val="auto"/>
              </w:rPr>
            </w:pPr>
          </w:p>
        </w:tc>
      </w:tr>
      <w:tr>
        <w:trPr>
          <w:trHeight w:val="216"/>
        </w:trPr>
        <w:tc>
          <w:tcPr>
            <w:tcW w:w="9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w:t>
            </w:r>
          </w:p>
        </w:tc>
        <w:tc>
          <w:tcPr>
            <w:tcW w:w="5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2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Proceeds allocated to public rights</w:t>
            </w:r>
          </w:p>
        </w:tc>
        <w:tc>
          <w:tcPr>
            <w:tcW w:w="52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(10,626,000)</w:t>
            </w:r>
          </w:p>
        </w:tc>
      </w:tr>
      <w:tr>
        <w:trPr>
          <w:trHeight w:val="216"/>
        </w:trPr>
        <w:tc>
          <w:tcPr>
            <w:tcW w:w="9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Ordinary share issuance costs</w:t>
            </w:r>
          </w:p>
        </w:tc>
        <w:tc>
          <w:tcPr>
            <w:tcW w:w="520" w:type="dxa"/>
            <w:vAlign w:val="bottom"/>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(1,712,956)</w:t>
            </w:r>
          </w:p>
        </w:tc>
      </w:tr>
      <w:tr>
        <w:trPr>
          <w:trHeight w:val="216"/>
        </w:trPr>
        <w:tc>
          <w:tcPr>
            <w:tcW w:w="92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Plus:</w:t>
            </w:r>
          </w:p>
        </w:tc>
        <w:tc>
          <w:tcPr>
            <w:tcW w:w="5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9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Accretion of carrying value to redemption value</w:t>
            </w:r>
          </w:p>
        </w:tc>
        <w:tc>
          <w:tcPr>
            <w:tcW w:w="5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14,506,639</w:t>
            </w:r>
          </w:p>
        </w:tc>
        <w:tc>
          <w:tcPr>
            <w:tcW w:w="120" w:type="dxa"/>
            <w:vAlign w:val="bottom"/>
          </w:tcPr>
          <w:p>
            <w:pPr>
              <w:spacing w:after="0"/>
              <w:rPr>
                <w:sz w:val="18"/>
                <w:szCs w:val="18"/>
                <w:color w:val="auto"/>
              </w:rPr>
            </w:pPr>
          </w:p>
        </w:tc>
      </w:tr>
      <w:tr>
        <w:trPr>
          <w:trHeight w:val="210"/>
        </w:trPr>
        <w:tc>
          <w:tcPr>
            <w:tcW w:w="92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Class A ordinary shares subject to possible redemption, December 31, 2025</w:t>
            </w:r>
          </w:p>
        </w:tc>
        <w:tc>
          <w:tcPr>
            <w:tcW w:w="5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255,167,683</w:t>
            </w:r>
          </w:p>
        </w:tc>
        <w:tc>
          <w:tcPr>
            <w:tcW w:w="120" w:type="dxa"/>
            <w:vAlign w:val="bottom"/>
            <w:shd w:val="clear" w:color="auto" w:fill="CFF0FC"/>
          </w:tcPr>
          <w:p>
            <w:pPr>
              <w:spacing w:after="0"/>
              <w:rPr>
                <w:sz w:val="18"/>
                <w:szCs w:val="18"/>
                <w:color w:val="auto"/>
              </w:rPr>
            </w:pPr>
          </w:p>
        </w:tc>
      </w:tr>
      <w:tr>
        <w:trPr>
          <w:trHeight w:val="216"/>
        </w:trPr>
        <w:tc>
          <w:tcPr>
            <w:tcW w:w="9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Accretion of carrying value to redemption value</w:t>
            </w:r>
          </w:p>
        </w:tc>
        <w:tc>
          <w:tcPr>
            <w:tcW w:w="5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2,254,569</w:t>
            </w:r>
          </w:p>
        </w:tc>
        <w:tc>
          <w:tcPr>
            <w:tcW w:w="120" w:type="dxa"/>
            <w:vAlign w:val="bottom"/>
          </w:tcPr>
          <w:p>
            <w:pPr>
              <w:spacing w:after="0"/>
              <w:rPr>
                <w:sz w:val="18"/>
                <w:szCs w:val="18"/>
                <w:color w:val="auto"/>
              </w:rPr>
            </w:pPr>
          </w:p>
        </w:tc>
      </w:tr>
      <w:tr>
        <w:trPr>
          <w:trHeight w:val="250"/>
        </w:trPr>
        <w:tc>
          <w:tcPr>
            <w:tcW w:w="924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Class A ordinary shares subject to possible redemption, March 31, 2026</w:t>
            </w:r>
          </w:p>
        </w:tc>
        <w:tc>
          <w:tcPr>
            <w:tcW w:w="520" w:type="dxa"/>
            <w:vAlign w:val="bottom"/>
            <w:tcBorders>
              <w:bottom w:val="single" w:sz="8" w:color="auto"/>
            </w:tcBorders>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257,422,252</w:t>
            </w:r>
          </w:p>
        </w:tc>
        <w:tc>
          <w:tcPr>
            <w:tcW w:w="12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Instruments</w:t>
      </w:r>
    </w:p>
    <w:p>
      <w:pPr>
        <w:spacing w:after="0" w:line="12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The fair value of the Company’s assets and liabilities approximates the carrying amounts represented in the condensed balance sheets.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jc w:val="both"/>
        <w:ind w:right="20" w:firstLine="666"/>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the Company’s management to make estimates and assumptions that affect the reported amounts of assets and liabilities and disclosure of contingent assets and liabilities at the date of the financial statements and the reported amounts of expenses during the reporting period. Actual results could differ from those estimates.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121"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that engage in business activities from which it may recognize revenues and incur expenses, and for which separate financial information is available that is regularly evaluated by the Company’s chief operating decision maker (“CODM”), or group, in deciding how to allocate resources and assess performance.</w:t>
      </w:r>
    </w:p>
    <w:p>
      <w:pPr>
        <w:spacing w:after="0" w:line="68"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The Company’s CODM has been identified as the Chief Executive Officer, who reviews the operating results for the Company as a whole to make decisions about allocating resources and assessing financial performance. Accordingly, management has determined that the Company only has one reportable segment.</w:t>
      </w:r>
    </w:p>
    <w:p>
      <w:pPr>
        <w:spacing w:after="0" w:line="68"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The CODM assesses performance for the single segment and decides how to allocate resources based on net income (loss) that also is reported on the statement of operations and comprehensive income. The key measures of segment profit (loss) reviewed by the CODM are general and administrative expenses. General and administrative expenses are reviewed and monitored by the CODM to manage and forecast cash to ensure enough capital is available to complete a Business Combination within the Business Combination period. The CODM also reviews general and administrative expenses to manage, maintain and enforce all contractual agreements to ensure costs are aligned with all agreements and budget.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19" w:lineRule="exact"/>
        <w:rPr>
          <w:sz w:val="20"/>
          <w:szCs w:val="20"/>
          <w:color w:val="auto"/>
        </w:rPr>
      </w:pPr>
    </w:p>
    <w:p>
      <w:pPr>
        <w:jc w:val="both"/>
        <w:ind w:firstLine="666"/>
        <w:spacing w:after="0" w:line="257" w:lineRule="auto"/>
        <w:rPr>
          <w:sz w:val="20"/>
          <w:szCs w:val="20"/>
          <w:color w:val="auto"/>
        </w:rPr>
      </w:pPr>
      <w:r>
        <w:rPr>
          <w:rFonts w:ascii="Times New Roman" w:cs="Times New Roman" w:eastAsia="Times New Roman" w:hAnsi="Times New Roman"/>
          <w:sz w:val="18"/>
          <w:szCs w:val="18"/>
          <w:color w:val="auto"/>
        </w:rPr>
        <w:t>The Company follows the asset and liability method of accounting for income taxes under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(“ASC 740”). Deferred tax assets and liabilities are recognized for the estimated future tax consequences attributable to differences between the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included the enactment date. Valuation allowances are established, when necessary, to reduce deferred tax assets to the amount expected to be realized.</w:t>
      </w:r>
    </w:p>
    <w:p>
      <w:pPr>
        <w:spacing w:after="0" w:line="184"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ASC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 Company recognizes accrued interest and penalties related to unrecognized tax benefits as income tax expense. There were no unrecognized tax benefits and no amounts accrued for interest and penalties as of March 31, 2026 and December 31, 2025. The Company is currently not aware of any issues under review that could result in significant payments, accruals or material deviation from its position.</w:t>
      </w:r>
    </w:p>
    <w:p>
      <w:pPr>
        <w:spacing w:after="0" w:line="183" w:lineRule="exact"/>
        <w:rPr>
          <w:sz w:val="20"/>
          <w:szCs w:val="20"/>
          <w:color w:val="auto"/>
        </w:rPr>
      </w:pPr>
    </w:p>
    <w:p>
      <w:pPr>
        <w:jc w:val="both"/>
        <w:ind w:right="240" w:firstLine="509"/>
        <w:spacing w:after="0" w:line="266" w:lineRule="auto"/>
        <w:rPr>
          <w:sz w:val="20"/>
          <w:szCs w:val="20"/>
          <w:color w:val="auto"/>
        </w:rPr>
      </w:pPr>
      <w:r>
        <w:rPr>
          <w:rFonts w:ascii="Times New Roman" w:cs="Times New Roman" w:eastAsia="Times New Roman" w:hAnsi="Times New Roman"/>
          <w:sz w:val="18"/>
          <w:szCs w:val="18"/>
          <w:color w:val="auto"/>
        </w:rPr>
        <w:t>The Company is considered to be an exempted Cayman Islands company with no connection to any other taxable jurisdiction and is presently not subject to income taxes or income tax filing requirements in the Cayman Islands, and the Company believes it is presently not subject to income taxes or income tax filing requirements in the United States.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Rights</w:t>
      </w:r>
    </w:p>
    <w:p>
      <w:pPr>
        <w:spacing w:after="0" w:line="229"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The Company accounted for the public and private placement rights issued in connection with the Offering and the private placement in accordance with the guidance contained in ASC Topic 815, “Derivatives and Hedging.” Accordingly, the Company evaluated and classified the rights under equity treatment at their assigned value.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21" w:lineRule="exact"/>
        <w:rPr>
          <w:sz w:val="20"/>
          <w:szCs w:val="20"/>
          <w:color w:val="auto"/>
        </w:rPr>
      </w:pPr>
    </w:p>
    <w:p>
      <w:pPr>
        <w:ind w:right="540" w:firstLine="509"/>
        <w:spacing w:after="0" w:line="282" w:lineRule="auto"/>
        <w:rPr>
          <w:sz w:val="20"/>
          <w:szCs w:val="20"/>
          <w:color w:val="auto"/>
        </w:rPr>
      </w:pPr>
      <w:r>
        <w:rPr>
          <w:rFonts w:ascii="Times New Roman" w:cs="Times New Roman" w:eastAsia="Times New Roman" w:hAnsi="Times New Roman"/>
          <w:sz w:val="18"/>
          <w:szCs w:val="18"/>
          <w:color w:val="auto"/>
        </w:rPr>
        <w:t>The Company does not believe that any recently issued, but not yet effective, accounting pronouncements, if currently adopted, would have a material effect on the Company’s condensed financial statements.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3. Offering</w:t>
      </w:r>
    </w:p>
    <w:p>
      <w:pPr>
        <w:spacing w:after="0" w:line="229" w:lineRule="exact"/>
        <w:rPr>
          <w:sz w:val="20"/>
          <w:szCs w:val="20"/>
          <w:color w:val="auto"/>
        </w:rPr>
      </w:pPr>
    </w:p>
    <w:p>
      <w:pPr>
        <w:jc w:val="both"/>
        <w:ind w:right="260" w:firstLine="509"/>
        <w:spacing w:after="0" w:line="266" w:lineRule="auto"/>
        <w:rPr>
          <w:sz w:val="20"/>
          <w:szCs w:val="20"/>
          <w:color w:val="auto"/>
        </w:rPr>
      </w:pPr>
      <w:r>
        <w:rPr>
          <w:rFonts w:ascii="Times New Roman" w:cs="Times New Roman" w:eastAsia="Times New Roman" w:hAnsi="Times New Roman"/>
          <w:sz w:val="18"/>
          <w:szCs w:val="18"/>
          <w:color w:val="auto"/>
        </w:rPr>
        <w:t>On October 7, 2025, the Company completed the Offering whereby the Company sold 25,300,000 Units at a price of $10.00 per Unit. Each Unit consists of one of the Company’s Class A ordinary shares, $0.0001 par value and one right to receive one-fifth (1/5) of one Class A ordinary share upon consummation of the initial Business Combination.</w:t>
      </w:r>
    </w:p>
    <w:p>
      <w:pPr>
        <w:spacing w:after="0" w:line="176"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The Company will not issue fractional shares in connection with an exchange of rights. Fractional shares will either be rounded down to the nearest whole share or otherwise determined by the board of directors as provided by Cayman Islands laws. As a result, the holder must hold rights in multiples of five in order to receive shares for all of the rights upon closing of an initial Business Combination.</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paid an underwriting discount of $0.0405 per Unit to the Underwriter at the closing of the Offering.</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non-managing investors purchased an aggregate of (a) 2,964,203 Class B ordinary shares at a purchase price per Class B ordinary share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$0.023254, and (b) an aggregate of 262,425 Private Placement Units consisting of one Class A ordinary share and one right to receive one-fifth (1/5) of one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Class A ordinary share upon consummation of the initial Business Combination at a price of $9.7374 per Private Placement Unit in a private placement that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occurred simultaneously with the completion of the Offering for an aggregate purchase price of $2,624,266. The Private Investor Shares along with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Founder Shares collectively represent approximately 30% of the outstanding ordinary shares upon completion of the Offering, excluding the private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placement shares that are an underlying security to the Private Placement Units. The private placement proceeds will be used to pay for business, legal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accounting due diligence expenses on acquisition targets and continuing general and administration expenses.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Related Party Transactions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Founder Shares</w:t>
      </w:r>
    </w:p>
    <w:p>
      <w:pPr>
        <w:spacing w:after="0" w:line="121"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On June 30, 2025 (date of inception), one Class B ordinary share that was allotted to Harneys Fiduciary (Cayman) Limited (“Harneys Fiduciary”) upon the Company’s formation was transferred by Harneys Fiduciary to the Sponsor and 8,099,613 Class B ordinary shares (the 8,099,614 Class B ordinary shares collectively are the “Founder Shares”) were issued to the Sponsor for an aggregate purchase price of $25,000. On July 18, 2025, the Sponsor surrendered 249,385 Class B ordinary shares to the Company (which were cancelled) for no consideration, with the resulting 7,850,229 Founder Shares paid at a purchase price of $0.00318 per share.</w:t>
      </w:r>
    </w:p>
    <w:p>
      <w:pPr>
        <w:spacing w:after="0" w:line="75"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On October 3, 2025, the Sponsor transferred 5,000 Founder Shares to its Chief Financial Officer, solely in consideration of future services. The 5,000 Founder Shares granted to the Chief Financial Officer are subject to forfeiture back to the Sponsor in the event the Chief Financial Officer resigns or is removed for cause prior to consummation of an initial Business Combination.</w:t>
      </w:r>
    </w:p>
    <w:p>
      <w:pPr>
        <w:spacing w:after="0" w:line="68"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At the consummation of the Offering the Sponsor sold 375,397 Founder Shares in the aggregate to four board members (“Insiders”) at an aggregate price of $9,244, or $0.02462 per share, and 1,416,665 Founder Shares to Lynrock Lake Master Fund LP (“Lynrock”) at an aggregate price of $13,130. Following the sale of Founder Shares, the Sponsor holds 6,053,167 Founder Shares and the price paid by the Sponsor for the 6,053,167 Founder Shares which it retained is $2,626, or $0.000434 per share. The Class B ordinary shares owned by the Sponsor, Insiders, Lynrock and non-managing investors represents 30% of the Company’s issued and outstanding Class A and Class B ordinary shares after the Offering, excluding the private placement shares that are an underlying security to the Private Placement Units.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 Units</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Simultaneously with the closing of the Offering, the Sponsor, Insiders and Lynrock purchased from the Company 95,200 Private Placement Units at a price of $9.7374 per Private Placement Unit pursuant to a Unit Purchase Agreement. In addition, as discussed in Note 3, the non-managing investors purchased 262,425 Private Placement Units at a price of $9.7374 per Private Placement Unit. Each five rights included in the Private Placement Units entitle the holder thereof to receive one Class A ordinary share upon the consummation of the initial Business Combination. The Company will not issue fractional shares in connection with an exchange of rights. Fractional shares will either be rounded down to the nearest whole share or otherwise determined by the board of directors as provided by Cayman Islands laws. As a result, the holder must hold rights in multiples of five in order to receive shares for all of their rights upon closing of an initial Business Combination. If the Company is unable to complete an initial Business Combination within the required time period and, as a result, the Company redeems the public shares for the funds held in the Trust Account, holders of rights will not receive any of such funds for their rights and the rights will expire worthless.</w:t>
      </w:r>
    </w:p>
    <w:p>
      <w:pPr>
        <w:spacing w:after="0" w:line="188"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The Company’s Sponsor, Insiders, Lynrock and the non-managing investors have each agreed not to transfer, assign or sell any of their respective Founder Shares, Private Investor Shares, Private Placement Units or underlying securities to the Private Placement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12" w:name="page13"/>
    <w:bookmarkEnd w:id="12"/>
    <w:p>
      <w:pPr>
        <w:ind w:right="40"/>
        <w:spacing w:after="0" w:line="254" w:lineRule="auto"/>
        <w:rPr>
          <w:sz w:val="20"/>
          <w:szCs w:val="20"/>
          <w:color w:val="auto"/>
        </w:rPr>
      </w:pPr>
      <w:r>
        <w:rPr>
          <w:rFonts w:ascii="Times New Roman" w:cs="Times New Roman" w:eastAsia="Times New Roman" w:hAnsi="Times New Roman"/>
          <w:sz w:val="18"/>
          <w:szCs w:val="18"/>
          <w:color w:val="auto"/>
        </w:rPr>
        <w:t>Units that they may hold from the date of the Offering until the date that is (i) in the case of the Founder Shares and the Private Investor Shares, the earlier of (A) 6 months after the date of the consummation of the Company’s initial Business Combination or (B) subsequent to the Company’s initial Business Combination, (x) the date on which the last sale price of the Company’s Class A ordinary shares equals or exceeds $11.50 per share (as adjusted for share splits, share dividends, reorganizations, recapitalizations and the like) for any 20 trading days within any 30-trading day period commencing at least 90 days after the Company’s initial Business Combination, or (y) the date on which the Company consummates a liquidation, merger, share exchange or other similar transaction after the Company’s initial Business Combination which results in all of the Company’s shareholders having the right to exchange their ordinary shares for cash, securities or other property, and (ii) in the case of the Private Placement Units (and its underlying securities), until 30 days after the completion of the Company’s initial Business Combination.</w:t>
      </w:r>
    </w:p>
    <w:p>
      <w:pPr>
        <w:spacing w:after="0" w:line="192"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If the Company does not complete a Business Combination, then a portion of the proceeds from the sale of the Private Investor Shares and Private Placement Units will be part of the liquidating distribution to the public shareholders.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w:t>
      </w:r>
    </w:p>
    <w:p>
      <w:pPr>
        <w:spacing w:after="0" w:line="121"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The Company’s Sponsor, Insiders, Lynrock and the non-managing investors and their permitted transferees are entitled to registration rights pursuant to a registration rights agreement signed on the date of the prospectus for the Offering with respect to their respective Founder Shares, Private Investor Shares, Private Placement Units or the underlying securities to the Private Placement Units. These holders will be entitled to make up to three demands, excluding short form registration demands, that the Company register such securities for sale under the Securities Act. In addition, these holders will have “piggy-back” registration rights to include their securities in other registration statements filed by the Company. The Company will bear the expenses incurred in connection with the filing of any such registration statements. There will be no penalties associated with delays in registering the securities under the proposed registration rights agreement.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Administrative Services Agreement and Other Agreements</w:t>
      </w:r>
    </w:p>
    <w:p>
      <w:pPr>
        <w:spacing w:after="0" w:line="121"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The Company has agreed to pay $30,000 a month for office space, administrative services and secretarial support to an affiliate of the Sponsor, GigManagement, LLC. Services commenced on October 7, 2025, the date the securities were first listed on Nasdaq, and will terminate upon the earlier of the consummation by the Company of a Business Combination or the liquidation of the Company</w:t>
      </w:r>
      <w:r>
        <w:rPr>
          <w:rFonts w:ascii="Times New Roman" w:cs="Times New Roman" w:eastAsia="Times New Roman" w:hAnsi="Times New Roman"/>
          <w:sz w:val="16"/>
          <w:szCs w:val="16"/>
          <w:color w:val="auto"/>
        </w:rPr>
        <w: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Shareholders’ Equity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Shares</w:t>
      </w:r>
    </w:p>
    <w:p>
      <w:pPr>
        <w:spacing w:after="0" w:line="121" w:lineRule="exact"/>
        <w:rPr>
          <w:sz w:val="20"/>
          <w:szCs w:val="20"/>
          <w:color w:val="auto"/>
        </w:rPr>
      </w:pPr>
    </w:p>
    <w:p>
      <w:pPr>
        <w:ind w:right="700" w:firstLine="509"/>
        <w:spacing w:after="0" w:line="266" w:lineRule="auto"/>
        <w:rPr>
          <w:sz w:val="20"/>
          <w:szCs w:val="20"/>
          <w:color w:val="auto"/>
        </w:rPr>
      </w:pPr>
      <w:r>
        <w:rPr>
          <w:rFonts w:ascii="Times New Roman" w:cs="Times New Roman" w:eastAsia="Times New Roman" w:hAnsi="Times New Roman"/>
          <w:sz w:val="18"/>
          <w:szCs w:val="18"/>
          <w:color w:val="auto"/>
        </w:rPr>
        <w:t>The Company is authorized to issue 1,000,000 preferred shares with such designations, voting and other rights and preferences as may be determined from time to time by the Board of Directors. As of March 31, 2026 and December 31, 2025, there were no preferred shares issued and outstanding.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A Ordinary Shares</w:t>
      </w:r>
    </w:p>
    <w:p>
      <w:pPr>
        <w:spacing w:after="0" w:line="121" w:lineRule="exact"/>
        <w:rPr>
          <w:sz w:val="20"/>
          <w:szCs w:val="20"/>
          <w:color w:val="auto"/>
        </w:rPr>
      </w:pPr>
    </w:p>
    <w:p>
      <w:pPr>
        <w:ind w:right="320" w:firstLine="509"/>
        <w:spacing w:after="0" w:line="266" w:lineRule="auto"/>
        <w:rPr>
          <w:sz w:val="20"/>
          <w:szCs w:val="20"/>
          <w:color w:val="auto"/>
        </w:rPr>
      </w:pPr>
      <w:r>
        <w:rPr>
          <w:rFonts w:ascii="Times New Roman" w:cs="Times New Roman" w:eastAsia="Times New Roman" w:hAnsi="Times New Roman"/>
          <w:sz w:val="18"/>
          <w:szCs w:val="18"/>
          <w:color w:val="auto"/>
        </w:rPr>
        <w:t>The Company is authorized to issue 200,000,000 Class A ordinary shares with a par value of $0.0001 per share. As of March 31, 2026 and December 31, 2025, there were 25,657,625 Class A ordinary shares issued and outstanding, of which 25,300,000 Class A ordinary shares are subject to possible redemption.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B Ordinary Shares</w:t>
      </w:r>
    </w:p>
    <w:p>
      <w:pPr>
        <w:spacing w:after="0" w:line="121"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The Company is authorized to issue 20,000,000 Class B ordinary shares with a par value of $0.0001 per share. As of March 31, 2026 and December 31, 2025, there were 10,814,432 Class B ordinary shares issued and outstanding.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Rights</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Except in cases where the Company is not the surviving company in an initial Business Combination, each holder of a right will automatically receive one-fifth (1/5) of one Class A ordinary share upon consummation of an initial Business Combination. In the event the Company is not the surviving company upon completion of an initial Business Combination, each holder of a right will be required to affirmatively convert his, her or its rights in order to receive the one-fifth (1/5) of a Class A ordinary share of the new entity underlying each right upon consummation of the initial Business Combination. The Company will not issue fractional shares in connection with an exchange of rights. Fractional shares will either be rounded down to the nearest whole share or otherwise determined by the board of directors as provided by Cayman Islands laws. As a result, each holder must hold rights in multiples of five in order to receive shares for all of the rights upon closing of an initial Business Combination. If the Company is unable to</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3" w:name="page14"/>
    <w:bookmarkEnd w:id="13"/>
    <w:p>
      <w:pPr>
        <w:ind w:right="80"/>
        <w:spacing w:after="0" w:line="266" w:lineRule="auto"/>
        <w:rPr>
          <w:sz w:val="20"/>
          <w:szCs w:val="20"/>
          <w:color w:val="auto"/>
        </w:rPr>
      </w:pPr>
      <w:r>
        <w:rPr>
          <w:rFonts w:ascii="Times New Roman" w:cs="Times New Roman" w:eastAsia="Times New Roman" w:hAnsi="Times New Roman"/>
          <w:sz w:val="18"/>
          <w:szCs w:val="18"/>
          <w:color w:val="auto"/>
        </w:rPr>
        <w:t>complete an initial Business Combination within the required time period and redeems the public shares for the funds held in the Trust Account, holders of rights will not receive any of such funds for their rights and the rights will expire worthless. As of March 31, 2026 and December 31, 2025, there were 25,657,625 rights outstanding.</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public rights have been classified within shareholders’ equity and will not require remeasurement after issuance.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Included in the outstanding Class B ordinary shares are 5,000 Founder Shares issued to Ms. Marshall, the Company’s Chief Financial Officer, solely in consideration of future services pursuant to the Grant of Insider Shares Agreement dated September 26, 2025 between the Company and Ms. Marshall. The 5,000 Founder Shares issued to Ms. Marshall are subject to forfeiture as described in Note 4. If an initial Business Combination occurs and the 5,000 Founder Shares have not been previously forfeited, the fair value of the Class B ordinary shares on the date the shares were granted will be recognized as stock-based compensation in the Company’s condensed statement of operations and comprehensive income when the completion of the Business Combination becomes probable.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Fair Value Instruments</w:t>
      </w:r>
    </w:p>
    <w:p>
      <w:pPr>
        <w:spacing w:after="0" w:line="12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 The following fair value hierarchy is used to classify assets and liabilities based on the observable inputs and unobservable inputs used in order to value the assets and liabilities:</w:t>
      </w:r>
    </w:p>
    <w:p>
      <w:pPr>
        <w:spacing w:after="0" w:line="187"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Level 1: 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spacing w:after="0" w:line="162" w:lineRule="exact"/>
        <w:rPr>
          <w:sz w:val="20"/>
          <w:szCs w:val="20"/>
          <w:color w:val="auto"/>
        </w:rPr>
      </w:pPr>
    </w:p>
    <w:p>
      <w:pPr>
        <w:ind w:right="540" w:firstLine="509"/>
        <w:spacing w:after="0" w:line="282" w:lineRule="auto"/>
        <w:rPr>
          <w:sz w:val="20"/>
          <w:szCs w:val="20"/>
          <w:color w:val="auto"/>
        </w:rPr>
      </w:pPr>
      <w:r>
        <w:rPr>
          <w:rFonts w:ascii="Times New Roman" w:cs="Times New Roman" w:eastAsia="Times New Roman" w:hAnsi="Times New Roman"/>
          <w:sz w:val="18"/>
          <w:szCs w:val="18"/>
          <w:color w:val="auto"/>
        </w:rPr>
        <w:t>Level 2: Observable inputs other than Level 1 inputs. Examples of Level 2 inputs include quoted prices in active markets for similar assets or liabilities and quoted prices for identical assets or liabilities in markets that are not active.</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3: Unobservable inputs which are supported by little or no market activity and which are significant to the fair value of the assets or liabilities.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information about the Company’s assets that are measured at fair value on a recurring basis as of March 31, 2026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 and indicates the fair value hierarchy of the valuation inputs the Company utilized to determine such fair value:</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60" w:type="dxa"/>
            <w:vAlign w:val="bottom"/>
          </w:tcPr>
          <w:p>
            <w:pPr>
              <w:spacing w:after="0"/>
              <w:rPr>
                <w:sz w:val="15"/>
                <w:szCs w:val="15"/>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Level</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10"/>
        </w:trPr>
        <w:tc>
          <w:tcPr>
            <w:tcW w:w="57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160" w:type="dxa"/>
            <w:vAlign w:val="bottom"/>
            <w:shd w:val="clear" w:color="auto" w:fill="CFF0FC"/>
          </w:tcPr>
          <w:p>
            <w:pPr>
              <w:spacing w:after="0"/>
              <w:rPr>
                <w:sz w:val="18"/>
                <w:szCs w:val="18"/>
                <w:color w:val="auto"/>
              </w:rPr>
            </w:pPr>
          </w:p>
        </w:tc>
        <w:tc>
          <w:tcPr>
            <w:tcW w:w="166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4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Cash and marketable securities held in Trust Account</w:t>
            </w:r>
          </w:p>
        </w:tc>
        <w:tc>
          <w:tcPr>
            <w:tcW w:w="1820" w:type="dxa"/>
            <w:vAlign w:val="bottom"/>
            <w:gridSpan w:val="2"/>
          </w:tcPr>
          <w:p>
            <w:pPr>
              <w:jc w:val="right"/>
              <w:ind w:right="708"/>
              <w:spacing w:after="0"/>
              <w:rPr>
                <w:sz w:val="20"/>
                <w:szCs w:val="20"/>
                <w:color w:val="auto"/>
              </w:rPr>
            </w:pPr>
            <w:r>
              <w:rPr>
                <w:rFonts w:ascii="Times New Roman" w:cs="Times New Roman" w:eastAsia="Times New Roman" w:hAnsi="Times New Roman"/>
                <w:sz w:val="18"/>
                <w:szCs w:val="18"/>
                <w:color w:val="auto"/>
              </w:rPr>
              <w:t>1</w:t>
            </w: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257,522,252</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255,267,683</w:t>
            </w:r>
          </w:p>
        </w:tc>
        <w:tc>
          <w:tcPr>
            <w:tcW w:w="120" w:type="dxa"/>
            <w:vAlign w:val="bottom"/>
          </w:tcPr>
          <w:p>
            <w:pPr>
              <w:spacing w:after="0"/>
              <w:rPr>
                <w:sz w:val="18"/>
                <w:szCs w:val="18"/>
                <w:color w:val="auto"/>
              </w:rPr>
            </w:pPr>
          </w:p>
        </w:tc>
      </w:tr>
      <w:tr>
        <w:trPr>
          <w:trHeight w:val="20"/>
        </w:trPr>
        <w:tc>
          <w:tcPr>
            <w:tcW w:w="5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other financial assets or liabilities measured on a recurring basis as of March 31, 2026 and December 31, 2025.</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320" w:firstLine="509"/>
        <w:spacing w:after="0" w:line="258" w:lineRule="auto"/>
        <w:rPr>
          <w:sz w:val="20"/>
          <w:szCs w:val="20"/>
          <w:color w:val="auto"/>
        </w:rPr>
      </w:pPr>
      <w:r>
        <w:rPr>
          <w:rFonts w:ascii="Times New Roman" w:cs="Times New Roman" w:eastAsia="Times New Roman" w:hAnsi="Times New Roman"/>
          <w:sz w:val="18"/>
          <w:szCs w:val="18"/>
          <w:color w:val="auto"/>
        </w:rPr>
        <w:t>References in this report (the “Quarterly Report”) to “we,” “us,” “our” or the “Company” refer to GigCapital8 Corp. References to our “management” or our “management team” refer to our officers and directors, and references to the “Sponsor” refer to GigAcquisitions8 Corp. The following discussion and analysis of the Company’s financial condition and results of operations should be read in conjunction with the condensed financial statements and the notes thereto contained elsewhere in this Quarterly Report. Certain information contained in the discussion and analysis set forth below includes forward-looking statements that involve risks and uncertainties.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2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This Quarterly Report includes “forward-looking statements” within the meaning of Section 27A of the Securities Act of 1933, as amended (the “Securities Act”) and Section 21E of the Securities Exchange Act of 1934, as amended (the “Exchange Act”) that are not historical facts and involve risks and uncertainties that could cause actual results to differ materially from those expected and projected. All statements, other than statements of historical fact included in this Quarterly Report including, without limitation, statements in this “Management’s Discussion and Analysis of Financial Condition and Results of Operations” regarding the Company’s financial position, business strategy and the plans and objectives of management for future operations, are forward-looking statements. Words such as “expect,” “believe,” “anticipate,” “intend,” “estimate,” “seek,” “may,” “might,” “plan,” “possible,” “potential,” “should, “would” and similar words and expressions are intended to identify such forward-looking statements. Such forward-looking statements relate to future events or future performance, but reflect management’s current beliefs, based on information currently available. A number of factors could cause actual events, performance or results to differ materially from the events, performance and results discussed in the forward-looking statements. For information identifying important factors that could cause actual results to differ materially from those anticipated in the forward-looking statements, please refer to the Risk Factors section of the Company’s final prospectus for our initial public offering filed with the U.S. Securities and Exchange Commission (the “SEC”). The Company’s securities filings can be accessed on the EDGAR section of the SEC’s website at www.sec.gov. Except as expressly required by applicable securities law, the Company disclaims any intention or obligation to update or revise any forward-looking statements whether as a result of new information, future events or otherwise.</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We are a newly organized Private-to-Public Equity (PPE) company, also known as a blank check company or special purpose acquisition company (“SPAC”), incorporated in the Cayman Islands and formed by an affiliate of the serial SPAC GigCapital Global, for the purpose of acquiring, engaging in a share exchange, share reconstruction and amalgamation with, purchasing all or substantially all of the assets of, or engaging in any other similar business combination with one or more businesses or entities. We have not selected any specific business combination target.</w:t>
      </w:r>
    </w:p>
    <w:p>
      <w:pPr>
        <w:spacing w:after="0" w:line="72"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intend to effectuate our initial business combination using cash from the proceeds of our Offering and the sale of the Private Placement Units, the sale of the Private Investor Shares, our common equity or any preferred equity that we may create in accordance with the terms of our charter documents, debt, or a combination of cash, common or preferred equity and debt. The public units sold in the Offering each consist of one Class A ordinary share of the Company and one right to receive one-fifth (1/5) of one Class A ordinary share upon the consummation of the initial business combination.</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issuance of additional ordinary shares or the creation of one or more classes of preferred shares during our initial business combination:</w:t>
      </w:r>
    </w:p>
    <w:p>
      <w:pPr>
        <w:spacing w:after="0" w:line="117" w:lineRule="exact"/>
        <w:rPr>
          <w:sz w:val="20"/>
          <w:szCs w:val="20"/>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significantly dilute the equity interest of investors in the Offering who would not have pre-emption rights in respect of any such issue;</w:t>
      </w:r>
    </w:p>
    <w:p>
      <w:pPr>
        <w:spacing w:after="0" w:line="117" w:lineRule="exact"/>
        <w:rPr>
          <w:rFonts w:ascii="Times New Roman" w:cs="Times New Roman" w:eastAsia="Times New Roman" w:hAnsi="Times New Roman"/>
          <w:sz w:val="18"/>
          <w:szCs w:val="18"/>
          <w:color w:val="auto"/>
        </w:rPr>
      </w:pPr>
    </w:p>
    <w:p>
      <w:pPr>
        <w:ind w:left="1020" w:right="3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subordinate the rights of holders of ordinary shares if the rights, preferences, designations and limitations attaching to the preference shares are senior to those afforded our ordinary shares;</w:t>
      </w:r>
    </w:p>
    <w:p>
      <w:pPr>
        <w:spacing w:after="0" w:line="53"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could cause a change in control if a substantial number of ordinary shares are issued, which may affect, among other things, our ability to use our net operating loss carry forwards, if any, and could result in the resignation or removal of our present officers and directors;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have the effect of delaying or preventing a change of control of us by diluting the share ownership or voting rights of a person seeking to obtain control of us;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adversely affect prevailing market prices for our public shares.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Similarly, if we issue debt securities or otherwise incur significant indebtedness, it could result in: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5" w:name="page16"/>
    <w:bookmarkEnd w:id="15"/>
    <w:p>
      <w:pPr>
        <w:ind w:left="1020" w:right="6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and foreclosure on our assets if our operating revenues after our initial business combination are insufficient to repay our debt obligations;</w:t>
      </w:r>
    </w:p>
    <w:p>
      <w:pPr>
        <w:spacing w:after="0" w:line="53"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acceleration of our obligations to repay the indebtedness even if we make all principal and interest payments when due if we breach certain covenants that require the maintenance of certain financial ratios or reserves without a waiver or renegotiation of that covenant;</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immediate payment of all principal and accrued interest, if any, if the debt is payable on demand;</w:t>
      </w:r>
    </w:p>
    <w:p>
      <w:pPr>
        <w:spacing w:after="0" w:line="117"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obtain necessary additional financing if any document governing such debt contains covenants restricting our ability to obtain such financing while the debt security is outstanding;</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pay dividends on our ordinary shares;</w:t>
      </w:r>
    </w:p>
    <w:p>
      <w:pPr>
        <w:spacing w:after="0" w:line="117"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using a substantial portion of our cash flow to pay principal and interest on our debt, which will reduce the funds available for dividends on our ordinary shares if declared, expenses, capital expenditures, acquisitions and other general corporate purposes;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our flexibility in planning for and reacting to changes in our business and in the industry in which we operate;</w:t>
      </w:r>
    </w:p>
    <w:p>
      <w:pPr>
        <w:spacing w:after="0" w:line="117" w:lineRule="exact"/>
        <w:rPr>
          <w:rFonts w:ascii="Times New Roman" w:cs="Times New Roman" w:eastAsia="Times New Roman" w:hAnsi="Times New Roman"/>
          <w:sz w:val="18"/>
          <w:szCs w:val="18"/>
          <w:color w:val="auto"/>
        </w:rPr>
      </w:pPr>
    </w:p>
    <w:p>
      <w:pPr>
        <w:ind w:left="1020" w:right="38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vulnerability to adverse changes in general economic, industry and competitive conditions and adverse changes in government regulation; and</w:t>
      </w:r>
    </w:p>
    <w:p>
      <w:pPr>
        <w:spacing w:after="0" w:line="53"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our ability to borrow additional amounts for expenses, capital expenditures, acquisitions, debt service requirements, execution of our strategy and other purposes and other disadvantages compared to our competitors who have less debt.</w:t>
      </w:r>
    </w:p>
    <w:p>
      <w:pPr>
        <w:spacing w:after="0" w:line="162"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We expect to incur significant costs in the pursuit of our acquisition plans. We cannot assure you that our plans to raise capital or to complete our initial business combination will be successful.</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We have neither engaged in any operations nor generated any revenues to date. Our only activities since inception have been organizational activities, those necessary to prepare for the Offering and to identify a target business for the business combination. We do not expect to generate any operating revenues until after completion of our initial business combination. We expect to generate non-operating income in the form of interest and dividend income on cash and marketable securities from proceeds raised during the Offering. We expect to incur increased expenses as a result of being a public company (for legal, financial reporting, accounting and auditing compliance), as well as for due diligence expenses.</w:t>
      </w:r>
    </w:p>
    <w:p>
      <w:pPr>
        <w:spacing w:after="0" w:line="183" w:lineRule="exact"/>
        <w:rPr>
          <w:sz w:val="20"/>
          <w:szCs w:val="20"/>
          <w:color w:val="auto"/>
        </w:rPr>
      </w:pPr>
    </w:p>
    <w:p>
      <w:pPr>
        <w:jc w:val="both"/>
        <w:ind w:firstLine="666"/>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2026, we had net income of $1,943,768, which consisted of interest and dividend income on cash and marketable securities held in the Trust Account and operating account of $2,254,569 and $297, respectively, that were partially offset by operating expenses of $311,098.</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Our liquidity needs have been satisfied to date through: (1) the receipt of $25,000 from the sale of the Founder Shares, (2) the net proceeds of $251,211,946 from the sale of the public units in the Offering, after deducting net offering expenses of approximately $1,788,054, which includes an underwriting discount of $1,025,000, (3) the sale of the Private Placement Units to our insiders for a purchase price of $927,000, and (4) the sale of Private Placement Units and the Private Investor Shares to the non-managing investors for a purchase price of $2,624,266. These transactions resulted in proceeds of $254,788,212 of which $253,000,000 was deposited in the Trust Account.</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6" w:name="page17"/>
    <w:bookmarkEnd w:id="16"/>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As of March 31, 2026, we held cash and marketable securities in the amount of $257,522,252 in the Trust Account. The marketable securities consisted of money market funds meeting certain conditions under Rule 2a-7 under the Investment Company Act of 1940 which invest only in direct U.S. government obligations.</w:t>
      </w:r>
    </w:p>
    <w:p>
      <w:pPr>
        <w:spacing w:after="0" w:line="176"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2026, cash used in operating activities was $391,037, resulting from interest and dividends earned on marketable securities held in the Trust Account of $2,254,569, plus an increase in prepaid expenses and other current assets of $39,634 and a decrease in accounts payable of $88,130. These are partially offset by net income of $1,943,768 and an increase in liabilities of $29,907, due to an increase in related party payable and accrued liabilities and a decease of $17,621 in other assets.</w:t>
      </w:r>
    </w:p>
    <w:p>
      <w:pPr>
        <w:spacing w:after="0" w:line="180"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We intend to use substantially all of the funds held in the Trust Account, including any amounts representing interest earned on the Trust Account (which interest shall be net of taxes payable by us, if any), to acquire a target business or businesses and to pay our expenses relating thereto. We expect the interest earned on the amount in the Trust Account will be sufficient to pay any income taxes. To the extent that our equity or debt is used, in whole or in part, as consideration to complete our initial business combination, the remaining proceeds held in the Trust Account will be used as working capital to finance the operations of the target business or businesses, make other acquisitions and pursue our growth strategies.</w:t>
      </w:r>
    </w:p>
    <w:p>
      <w:pPr>
        <w:spacing w:after="0" w:line="183"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To the extent that our ordinary shares are used in whole or in part as consideration to affect our initial business combination, the remaining proceeds held in the Trust Account as well as any other net proceeds not expended will be used as working capital to finance the operations of the target business or businesses. Such working capital funds could be used in a variety of ways including continuing or expanding the target business’ operations, for strategic acquisitions and for marketing, research and development of existing or new products. Such funds could also be used to repay any operating expenses or finders’ fees which we had incurred prior to the completion of our initial business combination if the funds available to us outside of the Trust Account were insufficient to cover such expenses.</w:t>
      </w:r>
    </w:p>
    <w:p>
      <w:pPr>
        <w:spacing w:after="0" w:line="187"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As of March 31, 2026, we had cash of $1,051,434 held outside the Trust Account. If the proceeds not held in the Trust Account become insufficient to allow us to operate for at least the next 12 months, assuming that a business combination is not consummated during that time, we intend to manage our cash flow through the timing and payment of expenses or, if necessary, raise additional funds from the Sponsor to ensure the proceeds not held in the Trust Account will be sufficient to allow us to operate for at least the next 12 months. In the event that additional financing is required from outside sources, the Company may not be able to raise it on terms acceptable to the Company or at all. Over this time period, we intend to use these funds primarily for identifying and evaluating prospective acquisition candidates, performing business due diligence on prospective target businesses, traveling to and from the offices, plants or similar locations of prospective target businesses, reviewing corporate documents and material agreements of prospective target businesses, selecting the target business to acquire and structuring, negotiating and consummating the business combination.</w:t>
      </w:r>
    </w:p>
    <w:p>
      <w:pPr>
        <w:spacing w:after="0" w:line="192" w:lineRule="exact"/>
        <w:rPr>
          <w:sz w:val="20"/>
          <w:szCs w:val="20"/>
          <w:color w:val="auto"/>
        </w:rPr>
      </w:pPr>
    </w:p>
    <w:p>
      <w:pPr>
        <w:ind w:right="200" w:firstLine="509"/>
        <w:spacing w:after="0" w:line="255" w:lineRule="auto"/>
        <w:rPr>
          <w:sz w:val="20"/>
          <w:szCs w:val="20"/>
          <w:color w:val="auto"/>
        </w:rPr>
      </w:pPr>
      <w:r>
        <w:rPr>
          <w:rFonts w:ascii="Times New Roman" w:cs="Times New Roman" w:eastAsia="Times New Roman" w:hAnsi="Times New Roman"/>
          <w:sz w:val="18"/>
          <w:szCs w:val="18"/>
          <w:color w:val="auto"/>
        </w:rPr>
        <w:t>If our estimates of the costs of undertaking in-depth due diligence and negotiating our initial business combination is less than the actual amount necessary to do so, we may have insufficient funds available to operate our business prior to our initial business combination. Moreover, we may need to obtain additional financing either to consummate our initial business combination or because we become obligated to redeem a significant number of our public shares upon consummation of our initial business combination, in which case we may issue additional securities or incur debt in connection with such business combination. Subject to compliance with applicable securities laws, we would only consummate such financing simultaneously with the consummation of our initial business combination. Following our initial business combination, if cash on hand is insufficient, we may need to obtain additional financing in order to meet our obligations.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121" w:lineRule="exact"/>
        <w:rPr>
          <w:sz w:val="20"/>
          <w:szCs w:val="20"/>
          <w:color w:val="auto"/>
        </w:rPr>
      </w:pPr>
    </w:p>
    <w:p>
      <w:pPr>
        <w:jc w:val="both"/>
        <w:ind w:firstLine="666"/>
        <w:spacing w:after="0" w:line="261" w:lineRule="auto"/>
        <w:rPr>
          <w:sz w:val="20"/>
          <w:szCs w:val="20"/>
          <w:color w:val="auto"/>
        </w:rPr>
      </w:pPr>
      <w:r>
        <w:rPr>
          <w:rFonts w:ascii="Times New Roman" w:cs="Times New Roman" w:eastAsia="Times New Roman" w:hAnsi="Times New Roman"/>
          <w:sz w:val="18"/>
          <w:szCs w:val="18"/>
          <w:color w:val="auto"/>
        </w:rPr>
        <w:t>As of March 31, 2026, we have not entered into any off-balance sheet financing arrangements. We do not participate in transactions that create relationships with unconsolidated entities or financial partnerships, often referred to as variable interest entities, which would have been established for the purpose of facilitating off-balance sheet arrangements. We have not entered into any off-balance sheet financing arrangements, established any special purpose entities, guaranteed any debt or commitments of other entities, or purchased any non-financial assets.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121" w:lineRule="exact"/>
        <w:rPr>
          <w:sz w:val="20"/>
          <w:szCs w:val="20"/>
          <w:color w:val="auto"/>
        </w:rPr>
      </w:pPr>
    </w:p>
    <w:p>
      <w:pPr>
        <w:jc w:val="both"/>
        <w:ind w:firstLine="666"/>
        <w:spacing w:after="0" w:line="266" w:lineRule="auto"/>
        <w:rPr>
          <w:sz w:val="20"/>
          <w:szCs w:val="20"/>
          <w:color w:val="auto"/>
        </w:rPr>
      </w:pPr>
      <w:r>
        <w:rPr>
          <w:rFonts w:ascii="Times New Roman" w:cs="Times New Roman" w:eastAsia="Times New Roman" w:hAnsi="Times New Roman"/>
          <w:sz w:val="18"/>
          <w:szCs w:val="18"/>
          <w:color w:val="auto"/>
        </w:rPr>
        <w:t>As of March 31, 2026, we do not have any long-term debt, capital lease obligations, operating lease obligations or long-term liabilities, other than an agreement to pay GigManagement, LLC a monthly fee of $30,000 for office space, administrative services and secretarial support and an agreement with our Chief Financial Officer to pay a monthly fee of $15,000 for accounting services.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and related disclosures in conformity with GAAP requires management to make estimates and assumptions that affect the reported amounts of assets and liabilities, disclosure of contingent assets and liabilities at the date of the financial statements, and income and expenses during the periods reported. Actual results could materially differ from those estimates. We have identified the following critical accounting policies: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w:t>
      </w:r>
    </w:p>
    <w:p>
      <w:pPr>
        <w:spacing w:after="0" w:line="121"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have elected not to opt out of such extended transition period, which means that when an accounting standard is issued or revised and it has different application dates for public or private companies, we, as an emerging growth company, can adopt the new or revised accounting standard at the time private companies adopt the new or revised standard.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Per Ordinary Share</w:t>
      </w:r>
    </w:p>
    <w:p>
      <w:pPr>
        <w:spacing w:after="0" w:line="121" w:lineRule="exact"/>
        <w:rPr>
          <w:sz w:val="20"/>
          <w:szCs w:val="20"/>
          <w:color w:val="auto"/>
        </w:rPr>
      </w:pPr>
    </w:p>
    <w:p>
      <w:pPr>
        <w:ind w:right="200" w:firstLine="509"/>
        <w:spacing w:after="0" w:line="255" w:lineRule="auto"/>
        <w:rPr>
          <w:sz w:val="20"/>
          <w:szCs w:val="20"/>
          <w:color w:val="auto"/>
        </w:rPr>
      </w:pPr>
      <w:r>
        <w:rPr>
          <w:rFonts w:ascii="Times New Roman" w:cs="Times New Roman" w:eastAsia="Times New Roman" w:hAnsi="Times New Roman"/>
          <w:sz w:val="18"/>
          <w:szCs w:val="18"/>
          <w:color w:val="auto"/>
        </w:rPr>
        <w:t>The Company complies with accounting and disclosure requirements of Accounting Standards Codification (“ASC”) Topic 260, “Earnings Per Share.” Net income per share is computed by dividing net income by the weighted-average number of ordinary shares outstanding during the period. The weighted-average ordinary shares are reduced for the effect of the Class B ordinary shares that are subject to forfeiture. The Company’s condensed statement of operations and comprehensive income include a presentation of net income per share subject to redemption in a manner similar to the two-class method of income (loss) per share. With respect to the accretion of the Class A ordinary shares subject to possible redemption and consistent with ASC 480-10-S99-3A, the Company treated accretion in the same manner as a dividend paid to the shareholders in the calculation of the net income per ordinary share. As a result, diluted net income per share is the same as basic net income per share for the period presented.</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Ordinary Shares subject to possible redemption</w:t>
      </w:r>
    </w:p>
    <w:p>
      <w:pPr>
        <w:spacing w:after="0" w:line="121"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Conditionally redeemable ordinary shares (including ordinary shares that feature redemption rights that are either within the control of the holder or subject to redemption upon the occurrence of uncertain events not solely within our control) are classified as temporary equity. At all other times, ordinary shares are classified as shareholders’ equity. Our Class A ordinary shares feature certain redemption rights that are considered to be outside of our control and subject to occurrence of uncertain future events. Accordingly, as of March 31, 2026 and December 31, 2025, Class A ordinary shares subject to possible redemption are presented at redemption value as temporary equity, outside of the shareholders’ equity section of our balance sheets. As of March 31, 2026 and December 31, 2025, 25,300,000 Class A ordinary shares were issued and outstanding and subject to possible redemption.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March 31, 2026, we were not subject to any market or interest rate risk.</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Disclosure Controls and Procedures</w:t>
      </w:r>
    </w:p>
    <w:p>
      <w:pPr>
        <w:spacing w:after="0" w:line="119"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without limitation, controls and procedures designed to ensure that information required to be disclosed in our reports filed or submitted under the Exchange Act is accumulated and communicated to our management, including our Chief Executive Officer and Chief Financial Officer, to allow timely decisions regarding required disclosure.</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119"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As required by Rules 13a-15 and 15d-15 under the Exchange Act, our Chief Executive Officer and Chief Financial Officer carried out an evaluation of the effectiveness of the design and operation of our disclosure controls and procedures as of March 31,</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8" w:name="page19"/>
    <w:bookmarkEnd w:id="18"/>
    <w:p>
      <w:pPr>
        <w:ind w:right="400"/>
        <w:spacing w:after="0" w:line="282" w:lineRule="auto"/>
        <w:rPr>
          <w:sz w:val="20"/>
          <w:szCs w:val="20"/>
          <w:color w:val="auto"/>
        </w:rPr>
      </w:pPr>
      <w:r>
        <w:rPr>
          <w:rFonts w:ascii="Times New Roman" w:cs="Times New Roman" w:eastAsia="Times New Roman" w:hAnsi="Times New Roman"/>
          <w:sz w:val="18"/>
          <w:szCs w:val="18"/>
          <w:color w:val="auto"/>
        </w:rPr>
        <w:t>2026. Based upon their evaluation, our Chief Executive Officer and Chief Financial Officer concluded that our disclosure controls and procedures (as defined in Rules 13a-15(e) and 15d-15(e) under the Exchange Act) were effective.</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119"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During our most recently completed fiscal quarter, there has been no change in our internal control over financial reporting that has materially affected, or is reasonably likely to materially affect, our internal control over financial reporting.</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Inherent Limitations on Effectiveness of Controls</w:t>
      </w:r>
    </w:p>
    <w:p>
      <w:pPr>
        <w:spacing w:after="0" w:line="119" w:lineRule="exact"/>
        <w:rPr>
          <w:sz w:val="20"/>
          <w:szCs w:val="20"/>
          <w:color w:val="auto"/>
        </w:rPr>
      </w:pPr>
    </w:p>
    <w:p>
      <w:pPr>
        <w:ind w:firstLine="509"/>
        <w:spacing w:after="0" w:line="271" w:lineRule="auto"/>
        <w:rPr>
          <w:sz w:val="20"/>
          <w:szCs w:val="20"/>
          <w:color w:val="auto"/>
        </w:rPr>
      </w:pPr>
      <w:r>
        <w:rPr>
          <w:rFonts w:ascii="Times New Roman" w:cs="Times New Roman" w:eastAsia="Times New Roman" w:hAnsi="Times New Roman"/>
          <w:sz w:val="17"/>
          <w:szCs w:val="17"/>
          <w:color w:val="auto"/>
        </w:rPr>
        <w:t>The effectiveness of any system of internal control over financial reporting, including ours, is subject to inherent limitations, including the exercise of judgment in designing, implementing, operating, and evaluating the controls and procedures, and the inability to eliminate misconduct completely. Accordingly, in designing and evaluating the disclosure controls and procedures, management recognizes that any system of internal control over financial reporting, including ours, no matter how well designed and operated, can only provide reasonable, not absolute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 Moreover,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cannot assure you that such improvements will be sufficient to provide us with effective internal control over financial reporting.</w:t>
      </w:r>
    </w:p>
    <w:p>
      <w:pPr>
        <w:spacing w:after="0" w:line="17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93" w:right="399" w:bottom="1440" w:gutter="0" w:footer="0" w:header="0"/>
        </w:sectPr>
      </w:pPr>
    </w:p>
    <w:bookmarkStart w:id="19" w:name="page20"/>
    <w:bookmarkEnd w:id="1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We are not currently subject to any material legal proceedings, nor, to our knowledge, is any material legal proceeding threatened against us or any of our officers or directors in their corporate capacity.</w:t>
      </w:r>
    </w:p>
    <w:p>
      <w:pPr>
        <w:spacing w:after="0" w:line="26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31" w:lineRule="exact"/>
        <w:rPr>
          <w:sz w:val="20"/>
          <w:szCs w:val="20"/>
          <w:color w:val="auto"/>
        </w:rPr>
      </w:pPr>
    </w:p>
    <w:p>
      <w:pPr>
        <w:jc w:val="both"/>
        <w:ind w:left="760" w:firstLine="749"/>
        <w:spacing w:after="0" w:line="255" w:lineRule="auto"/>
        <w:rPr>
          <w:sz w:val="20"/>
          <w:szCs w:val="20"/>
          <w:color w:val="auto"/>
        </w:rPr>
      </w:pPr>
      <w:r>
        <w:rPr>
          <w:rFonts w:ascii="Times New Roman" w:cs="Times New Roman" w:eastAsia="Times New Roman" w:hAnsi="Times New Roman"/>
          <w:sz w:val="18"/>
          <w:szCs w:val="18"/>
          <w:color w:val="auto"/>
        </w:rPr>
        <w:t>The statements in this section describe the known material risks to our business and should be considered carefully. As of March 31, 2026, there have been no material changes in risk factors previously disclosed in our Annual Report on Form 10-K for the fiscal year ended December 31, 2025.</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Founder and Consulting Shares</w:t>
      </w:r>
    </w:p>
    <w:p>
      <w:pPr>
        <w:spacing w:after="0" w:line="227"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On June 30, 2025 (date of inception), one Class B ordinary share that was allotted to Harneys Fiduciary upon the Company’s formation was transferred by Harneys Fiduciary to the Sponsor and the Founder Shares were issued to the Sponsor for an aggregate purchase price of $25,000. On July 18, 2025, the Sponsor surrendered 249,385 Class B ordinary shares to the Company (which were cancelled) for no consideration, with the resulting 7,850,229 Founder Shares paid for at a purchase price of $0.00318 per share. On October 3, 2025, the Sponsor transferred 5,000 Founder Shares to its Chief Financial Officer, solely in consideration of future services. The 5,000 Founder Shares granted to the Chief Financial Officer are subject to forfeiture back to the Sponsor in the event the Chief Financial Officer resigns or is removed for cause prior to consummation of an initial Business Combination.</w:t>
      </w:r>
    </w:p>
    <w:p>
      <w:pPr>
        <w:spacing w:after="0" w:line="187"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At the consummation of the Offering the Sponsor sold 375,397 Founder Shares in the aggregate the Insiders at an aggregate price of $9,244, and 1,416,665 Founder Shares to Lynrock at an aggregate price of $13,130. Following this sale of Founders Shares, the Sponsor holds 6,053,167 Founder Shares, and the price paid by the Sponsor for the 6,053,167 Founder Shares which it retained was $2,626, or $0.000434 per share. The Class B ordinary shares owned by the Sponsor, Insiders, Lynrock and non-managing investors represent 30% of the Company’s issued and outstanding Class A and Class B ordinary shares after the Offering, excluding the private placement shares that are an underlying security to the Private Placement Units.</w:t>
      </w:r>
    </w:p>
    <w:p>
      <w:pPr>
        <w:spacing w:after="0" w:line="183" w:lineRule="exact"/>
        <w:rPr>
          <w:sz w:val="20"/>
          <w:szCs w:val="20"/>
          <w:color w:val="auto"/>
        </w:rPr>
      </w:pPr>
    </w:p>
    <w:p>
      <w:pPr>
        <w:jc w:val="both"/>
        <w:ind w:right="100" w:firstLine="509"/>
        <w:spacing w:after="0" w:line="266" w:lineRule="auto"/>
        <w:rPr>
          <w:sz w:val="20"/>
          <w:szCs w:val="20"/>
          <w:color w:val="auto"/>
        </w:rPr>
      </w:pPr>
      <w:r>
        <w:rPr>
          <w:rFonts w:ascii="Times New Roman" w:cs="Times New Roman" w:eastAsia="Times New Roman" w:hAnsi="Times New Roman"/>
          <w:sz w:val="18"/>
          <w:szCs w:val="18"/>
          <w:color w:val="auto"/>
        </w:rPr>
        <w:t>The shares issued to the Sponsor, Chief Financial Officer, Insiders and Lynrock were issued pursuant to the exemption from registration contained in Section 4(a)(2) of the Securities Act. Each holder of the Founder Shares is an “accredited investor” as such term is defined in Rule 501(a) of Regulation D under the Securities Act.</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Private Investor Shares and Private Placement Units</w:t>
      </w:r>
    </w:p>
    <w:p>
      <w:pPr>
        <w:spacing w:after="0" w:line="119"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Certain institutional accredited investors (none of which are affiliated with any member of management, the Sponsor or any other investor (the “non-managing investors”)) purchased an aggregate of (a) 2,964,203 Private Investor Shares at a purchase price per Class B ordinary share of $0.023254, and (b) an aggregate of 262,425 Private Placement Units at a price of $9.7374 per unit for an aggregate purchase price of $2,624,266.</w:t>
      </w:r>
    </w:p>
    <w:p>
      <w:pPr>
        <w:spacing w:after="0" w:line="176"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Private Investor Shares and Private Placement Units were issued pursuant to the exemption from registration contained in Section 4(a)(2) of the Securities Act. The institutional investors are each an “accredited investor” as such term is defined in Rule 501(a) of Regulation D under the Securities Act.</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Proceeds</w:t>
      </w:r>
    </w:p>
    <w:p>
      <w:pPr>
        <w:spacing w:after="0" w:line="119"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On September 30, 2025, the Registration Statement (File No. 333-289479), as amended, relating to the Offering of the Company was declared effective by the SEC.</w:t>
      </w:r>
    </w:p>
    <w:p>
      <w:pPr>
        <w:spacing w:after="0" w:line="54" w:lineRule="exact"/>
        <w:rPr>
          <w:sz w:val="20"/>
          <w:szCs w:val="20"/>
          <w:color w:val="auto"/>
        </w:rPr>
      </w:pPr>
    </w:p>
    <w:p>
      <w:pPr>
        <w:jc w:val="both"/>
        <w:ind w:right="100" w:firstLine="509"/>
        <w:spacing w:after="0" w:line="266" w:lineRule="auto"/>
        <w:rPr>
          <w:sz w:val="20"/>
          <w:szCs w:val="20"/>
          <w:color w:val="auto"/>
        </w:rPr>
      </w:pPr>
      <w:r>
        <w:rPr>
          <w:rFonts w:ascii="Times New Roman" w:cs="Times New Roman" w:eastAsia="Times New Roman" w:hAnsi="Times New Roman"/>
          <w:sz w:val="18"/>
          <w:szCs w:val="18"/>
          <w:color w:val="auto"/>
        </w:rPr>
        <w:t>The Company entered into an underwriting agreement with the Underwriter on October 3, 2025 to conduct the Offering of 22,000,000 Units in the amount of $220.0 million in gross proceeds, with a 45-day option provided to the Underwriter to purchase up to 3,300,000 additional Units solely to cover over-allotments, if any, in the amount of up to $33.0 million in additional gross proceeds.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0" w:name="page21"/>
    <w:bookmarkEnd w:id="20"/>
    <w:p>
      <w:pPr>
        <w:ind w:right="300"/>
        <w:spacing w:after="0" w:line="282" w:lineRule="auto"/>
        <w:rPr>
          <w:sz w:val="20"/>
          <w:szCs w:val="20"/>
          <w:color w:val="auto"/>
        </w:rPr>
      </w:pPr>
      <w:r>
        <w:rPr>
          <w:rFonts w:ascii="Times New Roman" w:cs="Times New Roman" w:eastAsia="Times New Roman" w:hAnsi="Times New Roman"/>
          <w:sz w:val="18"/>
          <w:szCs w:val="18"/>
          <w:color w:val="auto"/>
        </w:rPr>
        <w:t>Each Unit consists of one of the Company’s Class A ordinary shares, $0.0001 par value, and one right to receive one-fifth (1/5) of one Class A ordinary share upon the consummation of an initial Business Combination.</w:t>
      </w:r>
    </w:p>
    <w:p>
      <w:pPr>
        <w:spacing w:after="0" w:line="54"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On October 7, 2025, the Company consummated the Offering of 25,300,000 Units, including the issuance of 3,300,000 Units as a result of the Underwriter’s exercise in full of their over-allotment option. The Units were sold at a price of $10.00 per Unit, generating gross proceeds to the Company of $253,000,000.</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March 31, 2026, we had cash of $1,051,434 for working capital purposes.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5440" w:type="dxa"/>
            <w:vAlign w:val="bottom"/>
            <w:gridSpan w:val="9"/>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9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spacing w:after="0"/>
              <w:rPr>
                <w:sz w:val="15"/>
                <w:szCs w:val="15"/>
                <w:color w:val="auto"/>
              </w:rPr>
            </w:pPr>
          </w:p>
        </w:tc>
        <w:tc>
          <w:tcPr>
            <w:tcW w:w="5440" w:type="dxa"/>
            <w:vAlign w:val="bottom"/>
            <w:tcBorders>
              <w:bottom w:val="single" w:sz="8" w:color="auto"/>
            </w:tcBorders>
            <w:gridSpan w:val="9"/>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92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4"/>
                <w:szCs w:val="14"/>
                <w:color w:val="auto"/>
              </w:rPr>
            </w:pPr>
          </w:p>
        </w:tc>
        <w:tc>
          <w:tcPr>
            <w:tcW w:w="10200" w:type="dxa"/>
            <w:vAlign w:val="bottom"/>
            <w:gridSpan w:val="16"/>
          </w:tcPr>
          <w:p>
            <w:pPr>
              <w:spacing w:after="0" w:line="169" w:lineRule="exact"/>
              <w:rPr>
                <w:rFonts w:ascii="Times New Roman" w:cs="Times New Roman" w:eastAsia="Times New Roman" w:hAnsi="Times New Roman"/>
                <w:sz w:val="18"/>
                <w:szCs w:val="18"/>
                <w:color w:val="0000FF"/>
              </w:rPr>
            </w:pPr>
            <w:hyperlink r:id="rId68">
              <w:r>
                <w:rPr>
                  <w:rFonts w:ascii="Times New Roman" w:cs="Times New Roman" w:eastAsia="Times New Roman" w:hAnsi="Times New Roman"/>
                  <w:sz w:val="18"/>
                  <w:szCs w:val="18"/>
                  <w:color w:val="0000FF"/>
                </w:rPr>
                <w:t>Amended and Restated Memorandum and Articles of Association</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1460" w:type="dxa"/>
            <w:vAlign w:val="bottom"/>
            <w:tcBorders>
              <w:right w:val="single" w:sz="8" w:color="0000EE"/>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7"/>
                <w:szCs w:val="17"/>
                <w:color w:val="auto"/>
              </w:rPr>
            </w:pPr>
          </w:p>
        </w:tc>
        <w:tc>
          <w:tcPr>
            <w:tcW w:w="10200" w:type="dxa"/>
            <w:vAlign w:val="bottom"/>
            <w:gridSpan w:val="16"/>
          </w:tcPr>
          <w:p>
            <w:pPr>
              <w:spacing w:after="0" w:line="196" w:lineRule="exact"/>
              <w:rPr>
                <w:rFonts w:ascii="Times New Roman" w:cs="Times New Roman" w:eastAsia="Times New Roman" w:hAnsi="Times New Roman"/>
                <w:sz w:val="18"/>
                <w:szCs w:val="18"/>
                <w:color w:val="0000FF"/>
              </w:rPr>
            </w:pPr>
            <w:hyperlink r:id="rId69">
              <w:r>
                <w:rPr>
                  <w:rFonts w:ascii="Times New Roman" w:cs="Times New Roman" w:eastAsia="Times New Roman" w:hAnsi="Times New Roman"/>
                  <w:sz w:val="18"/>
                  <w:szCs w:val="18"/>
                  <w:color w:val="0000FF"/>
                </w:rPr>
                <w:t>Specimen Unit Certificate</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17"/>
                <w:szCs w:val="17"/>
                <w:color w:val="auto"/>
              </w:rPr>
            </w:pPr>
          </w:p>
        </w:tc>
        <w:tc>
          <w:tcPr>
            <w:tcW w:w="10200" w:type="dxa"/>
            <w:vAlign w:val="bottom"/>
            <w:gridSpan w:val="16"/>
          </w:tcPr>
          <w:p>
            <w:pPr>
              <w:spacing w:after="0" w:line="196" w:lineRule="exact"/>
              <w:rPr>
                <w:rFonts w:ascii="Times New Roman" w:cs="Times New Roman" w:eastAsia="Times New Roman" w:hAnsi="Times New Roman"/>
                <w:sz w:val="18"/>
                <w:szCs w:val="18"/>
                <w:color w:val="0000FF"/>
              </w:rPr>
            </w:pPr>
            <w:hyperlink r:id="rId70">
              <w:r>
                <w:rPr>
                  <w:rFonts w:ascii="Times New Roman" w:cs="Times New Roman" w:eastAsia="Times New Roman" w:hAnsi="Times New Roman"/>
                  <w:sz w:val="18"/>
                  <w:szCs w:val="18"/>
                  <w:color w:val="0000FF"/>
                </w:rPr>
                <w:t>Specimen Class A Ordinary Share Certificate</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060" w:type="dxa"/>
            <w:vAlign w:val="bottom"/>
            <w:tcBorders>
              <w:right w:val="single" w:sz="8" w:color="0000EE"/>
            </w:tcBorders>
            <w:gridSpan w:val="2"/>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17"/>
                <w:szCs w:val="17"/>
                <w:color w:val="auto"/>
              </w:rPr>
            </w:pPr>
          </w:p>
        </w:tc>
        <w:tc>
          <w:tcPr>
            <w:tcW w:w="10200" w:type="dxa"/>
            <w:vAlign w:val="bottom"/>
            <w:gridSpan w:val="16"/>
          </w:tcPr>
          <w:p>
            <w:pPr>
              <w:spacing w:after="0" w:line="196" w:lineRule="exact"/>
              <w:rPr>
                <w:rFonts w:ascii="Times New Roman" w:cs="Times New Roman" w:eastAsia="Times New Roman" w:hAnsi="Times New Roman"/>
                <w:sz w:val="18"/>
                <w:szCs w:val="18"/>
                <w:color w:val="0000FF"/>
              </w:rPr>
            </w:pPr>
            <w:hyperlink r:id="rId71">
              <w:r>
                <w:rPr>
                  <w:rFonts w:ascii="Times New Roman" w:cs="Times New Roman" w:eastAsia="Times New Roman" w:hAnsi="Times New Roman"/>
                  <w:sz w:val="18"/>
                  <w:szCs w:val="18"/>
                  <w:color w:val="0000FF"/>
                </w:rPr>
                <w:t>Specimen Right Certificate</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tcBorders>
              <w:right w:val="single" w:sz="8" w:color="0000EE"/>
            </w:tcBorders>
            <w:gridSpan w:val="2"/>
            <w:shd w:val="clear" w:color="auto" w:fill="0000FF"/>
          </w:tcPr>
          <w:p>
            <w:pPr>
              <w:spacing w:after="0" w:line="20" w:lineRule="exact"/>
              <w:rPr>
                <w:sz w:val="1"/>
                <w:szCs w:val="1"/>
                <w:color w:val="auto"/>
              </w:rPr>
            </w:pPr>
          </w:p>
        </w:tc>
        <w:tc>
          <w:tcPr>
            <w:tcW w:w="3000" w:type="dxa"/>
            <w:vAlign w:val="bottom"/>
            <w:gridSpan w:val="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17"/>
                <w:szCs w:val="17"/>
                <w:color w:val="auto"/>
              </w:rPr>
            </w:pPr>
          </w:p>
        </w:tc>
        <w:tc>
          <w:tcPr>
            <w:tcW w:w="10200" w:type="dxa"/>
            <w:vAlign w:val="bottom"/>
            <w:gridSpan w:val="16"/>
          </w:tcPr>
          <w:p>
            <w:pPr>
              <w:spacing w:after="0" w:line="196" w:lineRule="exact"/>
              <w:rPr>
                <w:rFonts w:ascii="Times New Roman" w:cs="Times New Roman" w:eastAsia="Times New Roman" w:hAnsi="Times New Roman"/>
                <w:sz w:val="18"/>
                <w:szCs w:val="18"/>
                <w:color w:val="0000FF"/>
              </w:rPr>
            </w:pPr>
            <w:hyperlink r:id="rId72">
              <w:r>
                <w:rPr>
                  <w:rFonts w:ascii="Times New Roman" w:cs="Times New Roman" w:eastAsia="Times New Roman" w:hAnsi="Times New Roman"/>
                  <w:sz w:val="18"/>
                  <w:szCs w:val="18"/>
                  <w:color w:val="0000FF"/>
                </w:rPr>
                <w:t>Rights Agreement, dated October 3, 2025, by and between the Company and Continental Stock Transfer &amp; Trust Company</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060" w:type="dxa"/>
            <w:vAlign w:val="bottom"/>
            <w:gridSpan w:val="5"/>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640" w:type="dxa"/>
            <w:vAlign w:val="bottom"/>
            <w:shd w:val="clear" w:color="auto" w:fill="0000FF"/>
          </w:tcPr>
          <w:p>
            <w:pPr>
              <w:spacing w:after="0" w:line="20" w:lineRule="exact"/>
              <w:rPr>
                <w:sz w:val="1"/>
                <w:szCs w:val="1"/>
                <w:color w:val="auto"/>
              </w:rPr>
            </w:pPr>
          </w:p>
        </w:tc>
        <w:tc>
          <w:tcPr>
            <w:tcW w:w="420" w:type="dxa"/>
            <w:vAlign w:val="bottom"/>
            <w:tcBorders>
              <w:right w:val="single" w:sz="8" w:color="0000EE"/>
            </w:tcBorders>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7"/>
                <w:szCs w:val="17"/>
                <w:color w:val="auto"/>
              </w:rPr>
            </w:pPr>
          </w:p>
        </w:tc>
        <w:tc>
          <w:tcPr>
            <w:tcW w:w="10200" w:type="dxa"/>
            <w:vAlign w:val="bottom"/>
            <w:gridSpan w:val="16"/>
          </w:tcPr>
          <w:p>
            <w:pPr>
              <w:spacing w:after="0" w:line="196" w:lineRule="exact"/>
              <w:rPr>
                <w:rFonts w:ascii="Times New Roman" w:cs="Times New Roman" w:eastAsia="Times New Roman" w:hAnsi="Times New Roman"/>
                <w:sz w:val="18"/>
                <w:szCs w:val="18"/>
                <w:color w:val="0000FF"/>
              </w:rPr>
            </w:pPr>
            <w:hyperlink r:id="rId73">
              <w:r>
                <w:rPr>
                  <w:rFonts w:ascii="Times New Roman" w:cs="Times New Roman" w:eastAsia="Times New Roman" w:hAnsi="Times New Roman"/>
                  <w:sz w:val="18"/>
                  <w:szCs w:val="18"/>
                  <w:color w:val="0000FF"/>
                </w:rPr>
                <w:t>Insider Letter Agreement, dated October 3, 2025, by and between the Company and GigAcquisitions8 Corp., each of its officers and</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060" w:type="dxa"/>
            <w:vAlign w:val="bottom"/>
            <w:gridSpan w:val="5"/>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640" w:type="dxa"/>
            <w:vAlign w:val="bottom"/>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16"/>
          </w:tcPr>
          <w:p>
            <w:pPr>
              <w:spacing w:after="0" w:line="196" w:lineRule="exact"/>
              <w:rPr>
                <w:rFonts w:ascii="Times New Roman" w:cs="Times New Roman" w:eastAsia="Times New Roman" w:hAnsi="Times New Roman"/>
                <w:sz w:val="18"/>
                <w:szCs w:val="18"/>
                <w:color w:val="0000FF"/>
              </w:rPr>
            </w:pPr>
            <w:hyperlink r:id="rId73">
              <w:r>
                <w:rPr>
                  <w:rFonts w:ascii="Times New Roman" w:cs="Times New Roman" w:eastAsia="Times New Roman" w:hAnsi="Times New Roman"/>
                  <w:sz w:val="18"/>
                  <w:szCs w:val="18"/>
                  <w:color w:val="0000FF"/>
                </w:rPr>
                <w:t>directors, D. Boral Capital LLC, and certain other security holders named therein</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060" w:type="dxa"/>
            <w:vAlign w:val="bottom"/>
            <w:gridSpan w:val="5"/>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17"/>
                <w:szCs w:val="17"/>
                <w:color w:val="auto"/>
              </w:rPr>
            </w:pPr>
          </w:p>
        </w:tc>
        <w:tc>
          <w:tcPr>
            <w:tcW w:w="10200" w:type="dxa"/>
            <w:vAlign w:val="bottom"/>
            <w:gridSpan w:val="16"/>
          </w:tcPr>
          <w:p>
            <w:pPr>
              <w:spacing w:after="0" w:line="196" w:lineRule="exact"/>
              <w:rPr>
                <w:rFonts w:ascii="Times New Roman" w:cs="Times New Roman" w:eastAsia="Times New Roman" w:hAnsi="Times New Roman"/>
                <w:sz w:val="18"/>
                <w:szCs w:val="18"/>
                <w:color w:val="0000FF"/>
              </w:rPr>
            </w:pPr>
            <w:hyperlink r:id="rId74">
              <w:r>
                <w:rPr>
                  <w:rFonts w:ascii="Times New Roman" w:cs="Times New Roman" w:eastAsia="Times New Roman" w:hAnsi="Times New Roman"/>
                  <w:sz w:val="18"/>
                  <w:szCs w:val="18"/>
                  <w:color w:val="0000FF"/>
                </w:rPr>
                <w:t>Registration Rights Agreement, dated October 3, 2025, by and among the Company, the Sponsor, and certain other security holders named</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060" w:type="dxa"/>
            <w:vAlign w:val="bottom"/>
            <w:gridSpan w:val="5"/>
            <w:shd w:val="clear" w:color="auto" w:fill="0000FF"/>
          </w:tcPr>
          <w:p>
            <w:pPr>
              <w:spacing w:after="0" w:line="20" w:lineRule="exact"/>
              <w:rPr>
                <w:sz w:val="1"/>
                <w:szCs w:val="1"/>
                <w:color w:val="auto"/>
              </w:rPr>
            </w:pPr>
          </w:p>
        </w:tc>
        <w:tc>
          <w:tcPr>
            <w:tcW w:w="3500" w:type="dxa"/>
            <w:vAlign w:val="bottom"/>
            <w:gridSpan w:val="2"/>
            <w:shd w:val="clear" w:color="auto" w:fill="0000FF"/>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16"/>
          </w:tcPr>
          <w:p>
            <w:pPr>
              <w:spacing w:after="0" w:line="196" w:lineRule="exact"/>
              <w:rPr>
                <w:rFonts w:ascii="Times New Roman" w:cs="Times New Roman" w:eastAsia="Times New Roman" w:hAnsi="Times New Roman"/>
                <w:sz w:val="18"/>
                <w:szCs w:val="18"/>
                <w:color w:val="0000FF"/>
              </w:rPr>
            </w:pPr>
            <w:hyperlink r:id="rId74">
              <w:r>
                <w:rPr>
                  <w:rFonts w:ascii="Times New Roman" w:cs="Times New Roman" w:eastAsia="Times New Roman" w:hAnsi="Times New Roman"/>
                  <w:sz w:val="18"/>
                  <w:szCs w:val="18"/>
                  <w:color w:val="0000FF"/>
                </w:rPr>
                <w:t>therein</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20" w:type="dxa"/>
            <w:vAlign w:val="bottom"/>
            <w:tcBorders>
              <w:right w:val="single" w:sz="8" w:color="0000EE"/>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60" w:type="dxa"/>
            <w:vAlign w:val="bottom"/>
            <w:gridSpan w:val="5"/>
          </w:tcPr>
          <w:p>
            <w:pPr>
              <w:spacing w:after="0" w:line="20" w:lineRule="exact"/>
              <w:rPr>
                <w:sz w:val="1"/>
                <w:szCs w:val="1"/>
                <w:color w:val="auto"/>
              </w:rPr>
            </w:pPr>
          </w:p>
        </w:tc>
        <w:tc>
          <w:tcPr>
            <w:tcW w:w="3500" w:type="dxa"/>
            <w:vAlign w:val="bottom"/>
            <w:gridSpan w:val="2"/>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17"/>
                <w:szCs w:val="17"/>
                <w:color w:val="auto"/>
              </w:rPr>
            </w:pPr>
          </w:p>
        </w:tc>
        <w:tc>
          <w:tcPr>
            <w:tcW w:w="10200" w:type="dxa"/>
            <w:vAlign w:val="bottom"/>
            <w:gridSpan w:val="16"/>
          </w:tcPr>
          <w:p>
            <w:pPr>
              <w:spacing w:after="0" w:line="196" w:lineRule="exact"/>
              <w:rPr>
                <w:rFonts w:ascii="Times New Roman" w:cs="Times New Roman" w:eastAsia="Times New Roman" w:hAnsi="Times New Roman"/>
                <w:sz w:val="18"/>
                <w:szCs w:val="18"/>
                <w:color w:val="0000FF"/>
              </w:rPr>
            </w:pPr>
            <w:hyperlink r:id="rId75">
              <w:r>
                <w:rPr>
                  <w:rFonts w:ascii="Times New Roman" w:cs="Times New Roman" w:eastAsia="Times New Roman" w:hAnsi="Times New Roman"/>
                  <w:sz w:val="18"/>
                  <w:szCs w:val="18"/>
                  <w:color w:val="0000FF"/>
                </w:rPr>
                <w:t>Investment Management Trust Agreement, dated October 3, 2025, by and between the Company and Continental Stock Transfer &amp; Trust</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4060" w:type="dxa"/>
            <w:vAlign w:val="bottom"/>
            <w:gridSpan w:val="5"/>
            <w:shd w:val="clear" w:color="auto" w:fill="0000FF"/>
          </w:tcPr>
          <w:p>
            <w:pPr>
              <w:spacing w:after="0" w:line="20" w:lineRule="exact"/>
              <w:rPr>
                <w:sz w:val="1"/>
                <w:szCs w:val="1"/>
                <w:color w:val="auto"/>
              </w:rPr>
            </w:pPr>
          </w:p>
        </w:tc>
        <w:tc>
          <w:tcPr>
            <w:tcW w:w="3500" w:type="dxa"/>
            <w:vAlign w:val="bottom"/>
            <w:gridSpan w:val="2"/>
            <w:shd w:val="clear" w:color="auto" w:fill="0000FF"/>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16"/>
          </w:tcPr>
          <w:p>
            <w:pPr>
              <w:spacing w:after="0" w:line="196" w:lineRule="exact"/>
              <w:rPr>
                <w:rFonts w:ascii="Times New Roman" w:cs="Times New Roman" w:eastAsia="Times New Roman" w:hAnsi="Times New Roman"/>
                <w:sz w:val="18"/>
                <w:szCs w:val="18"/>
                <w:color w:val="0000FF"/>
              </w:rPr>
            </w:pPr>
            <w:hyperlink r:id="rId75">
              <w:r>
                <w:rPr>
                  <w:rFonts w:ascii="Times New Roman" w:cs="Times New Roman" w:eastAsia="Times New Roman" w:hAnsi="Times New Roman"/>
                  <w:sz w:val="18"/>
                  <w:szCs w:val="18"/>
                  <w:color w:val="0000FF"/>
                </w:rPr>
                <w:t>Company</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60" w:type="dxa"/>
            <w:vAlign w:val="bottom"/>
            <w:gridSpan w:val="5"/>
          </w:tcPr>
          <w:p>
            <w:pPr>
              <w:spacing w:after="0" w:line="20" w:lineRule="exact"/>
              <w:rPr>
                <w:sz w:val="1"/>
                <w:szCs w:val="1"/>
                <w:color w:val="auto"/>
              </w:rPr>
            </w:pPr>
          </w:p>
        </w:tc>
        <w:tc>
          <w:tcPr>
            <w:tcW w:w="3500" w:type="dxa"/>
            <w:vAlign w:val="bottom"/>
            <w:gridSpan w:val="2"/>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17"/>
                <w:szCs w:val="17"/>
                <w:color w:val="auto"/>
              </w:rPr>
            </w:pPr>
          </w:p>
        </w:tc>
        <w:tc>
          <w:tcPr>
            <w:tcW w:w="10200" w:type="dxa"/>
            <w:vAlign w:val="bottom"/>
            <w:gridSpan w:val="16"/>
          </w:tcPr>
          <w:p>
            <w:pPr>
              <w:spacing w:after="0" w:line="196" w:lineRule="exact"/>
              <w:rPr>
                <w:rFonts w:ascii="Times New Roman" w:cs="Times New Roman" w:eastAsia="Times New Roman" w:hAnsi="Times New Roman"/>
                <w:sz w:val="18"/>
                <w:szCs w:val="18"/>
                <w:color w:val="0000FF"/>
              </w:rPr>
            </w:pPr>
            <w:hyperlink r:id="rId76">
              <w:r>
                <w:rPr>
                  <w:rFonts w:ascii="Times New Roman" w:cs="Times New Roman" w:eastAsia="Times New Roman" w:hAnsi="Times New Roman"/>
                  <w:sz w:val="18"/>
                  <w:szCs w:val="18"/>
                  <w:color w:val="0000FF"/>
                </w:rPr>
                <w:t>Administrative Services Agreement, dated October 3, 2025, by and between the Company and GigManagement, LLC</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gridSpan w:val="3"/>
            <w:shd w:val="clear" w:color="auto" w:fill="0000FF"/>
          </w:tcPr>
          <w:p>
            <w:pPr>
              <w:spacing w:after="0" w:line="20" w:lineRule="exact"/>
              <w:rPr>
                <w:sz w:val="1"/>
                <w:szCs w:val="1"/>
                <w:color w:val="auto"/>
              </w:rPr>
            </w:pPr>
          </w:p>
        </w:tc>
        <w:tc>
          <w:tcPr>
            <w:tcW w:w="4060" w:type="dxa"/>
            <w:vAlign w:val="bottom"/>
            <w:gridSpan w:val="5"/>
            <w:shd w:val="clear" w:color="auto" w:fill="0000FF"/>
          </w:tcPr>
          <w:p>
            <w:pPr>
              <w:spacing w:after="0" w:line="20" w:lineRule="exact"/>
              <w:rPr>
                <w:sz w:val="1"/>
                <w:szCs w:val="1"/>
                <w:color w:val="auto"/>
              </w:rPr>
            </w:pPr>
          </w:p>
        </w:tc>
        <w:tc>
          <w:tcPr>
            <w:tcW w:w="3500" w:type="dxa"/>
            <w:vAlign w:val="bottom"/>
            <w:gridSpan w:val="2"/>
            <w:shd w:val="clear" w:color="auto" w:fill="0000FF"/>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17"/>
                <w:szCs w:val="17"/>
                <w:color w:val="auto"/>
              </w:rPr>
            </w:pPr>
          </w:p>
        </w:tc>
        <w:tc>
          <w:tcPr>
            <w:tcW w:w="102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Rules 13a-14(a) and 15d-14(a) under the Securities Exchange Act of 1934, as</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right w:val="single" w:sz="8" w:color="0000FF"/>
            </w:tcBorders>
            <w:gridSpan w:val="3"/>
            <w:shd w:val="clear" w:color="auto" w:fill="0000FF"/>
          </w:tcPr>
          <w:p>
            <w:pPr>
              <w:spacing w:after="0" w:line="20" w:lineRule="exact"/>
              <w:rPr>
                <w:sz w:val="1"/>
                <w:szCs w:val="1"/>
                <w:color w:val="auto"/>
              </w:rPr>
            </w:pPr>
          </w:p>
        </w:tc>
        <w:tc>
          <w:tcPr>
            <w:tcW w:w="4060" w:type="dxa"/>
            <w:vAlign w:val="bottom"/>
            <w:gridSpan w:val="5"/>
            <w:shd w:val="clear" w:color="auto" w:fill="0000FF"/>
          </w:tcPr>
          <w:p>
            <w:pPr>
              <w:spacing w:after="0" w:line="20" w:lineRule="exact"/>
              <w:rPr>
                <w:sz w:val="1"/>
                <w:szCs w:val="1"/>
                <w:color w:val="auto"/>
              </w:rPr>
            </w:pPr>
          </w:p>
        </w:tc>
        <w:tc>
          <w:tcPr>
            <w:tcW w:w="4640" w:type="dxa"/>
            <w:vAlign w:val="bottom"/>
            <w:gridSpan w:val="5"/>
            <w:shd w:val="clear" w:color="auto" w:fill="0000FF"/>
          </w:tcPr>
          <w:p>
            <w:pPr>
              <w:spacing w:after="0" w:line="20" w:lineRule="exact"/>
              <w:rPr>
                <w:sz w:val="1"/>
                <w:szCs w:val="1"/>
                <w:color w:val="auto"/>
              </w:rPr>
            </w:pPr>
          </w:p>
        </w:tc>
        <w:tc>
          <w:tcPr>
            <w:tcW w:w="420" w:type="dxa"/>
            <w:vAlign w:val="bottom"/>
            <w:tcBorders>
              <w:left w:val="single" w:sz="8" w:color="0000FF"/>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gridSpan w:val="3"/>
            <w:shd w:val="clear" w:color="auto" w:fill="0000FF"/>
          </w:tcPr>
          <w:p>
            <w:pPr>
              <w:spacing w:after="0" w:line="20" w:lineRule="exact"/>
              <w:rPr>
                <w:sz w:val="1"/>
                <w:szCs w:val="1"/>
                <w:color w:val="auto"/>
              </w:rPr>
            </w:pPr>
          </w:p>
        </w:tc>
        <w:tc>
          <w:tcPr>
            <w:tcW w:w="4060" w:type="dxa"/>
            <w:vAlign w:val="bottom"/>
            <w:gridSpan w:val="5"/>
            <w:shd w:val="clear" w:color="auto" w:fill="0000FF"/>
          </w:tcPr>
          <w:p>
            <w:pPr>
              <w:spacing w:after="0" w:line="20" w:lineRule="exact"/>
              <w:rPr>
                <w:sz w:val="1"/>
                <w:szCs w:val="1"/>
                <w:color w:val="auto"/>
              </w:rPr>
            </w:pPr>
          </w:p>
        </w:tc>
        <w:tc>
          <w:tcPr>
            <w:tcW w:w="4640" w:type="dxa"/>
            <w:vAlign w:val="bottom"/>
            <w:gridSpan w:val="5"/>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17"/>
                <w:szCs w:val="17"/>
                <w:color w:val="auto"/>
              </w:rPr>
            </w:pPr>
          </w:p>
        </w:tc>
        <w:tc>
          <w:tcPr>
            <w:tcW w:w="102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15d-14(a) under the Securities Exchange Act of 1934, as</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right w:val="single" w:sz="8" w:color="0000FF"/>
            </w:tcBorders>
            <w:gridSpan w:val="3"/>
            <w:shd w:val="clear" w:color="auto" w:fill="0000FF"/>
          </w:tcPr>
          <w:p>
            <w:pPr>
              <w:spacing w:after="0" w:line="20" w:lineRule="exact"/>
              <w:rPr>
                <w:sz w:val="1"/>
                <w:szCs w:val="1"/>
                <w:color w:val="auto"/>
              </w:rPr>
            </w:pPr>
          </w:p>
        </w:tc>
        <w:tc>
          <w:tcPr>
            <w:tcW w:w="8700" w:type="dxa"/>
            <w:vAlign w:val="bottom"/>
            <w:gridSpan w:val="10"/>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gridSpan w:val="3"/>
            <w:shd w:val="clear" w:color="auto" w:fill="0000FF"/>
          </w:tcPr>
          <w:p>
            <w:pPr>
              <w:spacing w:after="0" w:line="20" w:lineRule="exact"/>
              <w:rPr>
                <w:sz w:val="1"/>
                <w:szCs w:val="1"/>
                <w:color w:val="auto"/>
              </w:rPr>
            </w:pPr>
          </w:p>
        </w:tc>
        <w:tc>
          <w:tcPr>
            <w:tcW w:w="4060" w:type="dxa"/>
            <w:vAlign w:val="bottom"/>
            <w:gridSpan w:val="5"/>
            <w:shd w:val="clear" w:color="auto" w:fill="0000FF"/>
          </w:tcPr>
          <w:p>
            <w:pPr>
              <w:spacing w:after="0" w:line="20" w:lineRule="exact"/>
              <w:rPr>
                <w:sz w:val="1"/>
                <w:szCs w:val="1"/>
                <w:color w:val="auto"/>
              </w:rPr>
            </w:pPr>
          </w:p>
        </w:tc>
        <w:tc>
          <w:tcPr>
            <w:tcW w:w="5060" w:type="dxa"/>
            <w:vAlign w:val="bottom"/>
            <w:gridSpan w:val="7"/>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17"/>
                <w:szCs w:val="17"/>
                <w:color w:val="auto"/>
              </w:rPr>
            </w:pPr>
          </w:p>
        </w:tc>
        <w:tc>
          <w:tcPr>
            <w:tcW w:w="102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 Adopted Pursuant to Section 906 of the Sarbanes-Oxley</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right w:val="single" w:sz="8" w:color="0000FF"/>
            </w:tcBorders>
            <w:gridSpan w:val="3"/>
            <w:shd w:val="clear" w:color="auto" w:fill="0000FF"/>
          </w:tcPr>
          <w:p>
            <w:pPr>
              <w:spacing w:after="0" w:line="20" w:lineRule="exact"/>
              <w:rPr>
                <w:sz w:val="1"/>
                <w:szCs w:val="1"/>
                <w:color w:val="auto"/>
              </w:rPr>
            </w:pPr>
          </w:p>
        </w:tc>
        <w:tc>
          <w:tcPr>
            <w:tcW w:w="9120" w:type="dxa"/>
            <w:vAlign w:val="bottom"/>
            <w:gridSpan w:val="12"/>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Act of 2002.</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EE"/>
            </w:tcBorders>
            <w:gridSpan w:val="3"/>
            <w:shd w:val="clear" w:color="auto" w:fill="0000FF"/>
          </w:tcPr>
          <w:p>
            <w:pPr>
              <w:spacing w:after="0" w:line="20" w:lineRule="exact"/>
              <w:rPr>
                <w:sz w:val="1"/>
                <w:szCs w:val="1"/>
                <w:color w:val="auto"/>
              </w:rPr>
            </w:pPr>
          </w:p>
        </w:tc>
        <w:tc>
          <w:tcPr>
            <w:tcW w:w="9120" w:type="dxa"/>
            <w:vAlign w:val="bottom"/>
            <w:gridSpan w:val="1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17"/>
                <w:szCs w:val="17"/>
                <w:color w:val="auto"/>
              </w:rPr>
            </w:pPr>
          </w:p>
        </w:tc>
        <w:tc>
          <w:tcPr>
            <w:tcW w:w="102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as Adopted Pursuant to Section 906 of the Sarbanes-Oxley</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20" w:type="dxa"/>
            <w:vAlign w:val="bottom"/>
            <w:gridSpan w:val="15"/>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Act of 2002.</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EE"/>
            </w:tcBorders>
            <w:gridSpan w:val="3"/>
            <w:shd w:val="clear" w:color="auto" w:fill="0000FF"/>
          </w:tcPr>
          <w:p>
            <w:pPr>
              <w:spacing w:after="0" w:line="20" w:lineRule="exact"/>
              <w:rPr>
                <w:sz w:val="1"/>
                <w:szCs w:val="1"/>
                <w:color w:val="auto"/>
              </w:rPr>
            </w:pPr>
          </w:p>
        </w:tc>
        <w:tc>
          <w:tcPr>
            <w:tcW w:w="9300" w:type="dxa"/>
            <w:vAlign w:val="bottom"/>
            <w:gridSpan w:val="1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20" w:type="dxa"/>
            <w:vAlign w:val="bottom"/>
          </w:tcPr>
          <w:p>
            <w:pPr>
              <w:spacing w:after="0"/>
              <w:rPr>
                <w:sz w:val="18"/>
                <w:szCs w:val="18"/>
                <w:color w:val="auto"/>
              </w:rPr>
            </w:pPr>
          </w:p>
        </w:tc>
        <w:tc>
          <w:tcPr>
            <w:tcW w:w="1020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XBRL tags are embedded</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20" w:type="dxa"/>
            <w:vAlign w:val="bottom"/>
          </w:tcPr>
          <w:p>
            <w:pPr>
              <w:spacing w:after="0"/>
              <w:rPr>
                <w:sz w:val="18"/>
                <w:szCs w:val="18"/>
                <w:color w:val="auto"/>
              </w:rPr>
            </w:pPr>
          </w:p>
        </w:tc>
        <w:tc>
          <w:tcPr>
            <w:tcW w:w="1020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20" w:type="dxa"/>
            <w:vAlign w:val="bottom"/>
          </w:tcPr>
          <w:p>
            <w:pPr>
              <w:spacing w:after="0"/>
              <w:rPr>
                <w:sz w:val="18"/>
                <w:szCs w:val="18"/>
                <w:color w:val="auto"/>
              </w:rPr>
            </w:pPr>
          </w:p>
        </w:tc>
        <w:tc>
          <w:tcPr>
            <w:tcW w:w="1020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20" w:type="dxa"/>
            <w:vAlign w:val="bottom"/>
          </w:tcPr>
          <w:p>
            <w:pPr>
              <w:spacing w:after="0"/>
              <w:rPr>
                <w:sz w:val="18"/>
                <w:szCs w:val="18"/>
                <w:color w:val="auto"/>
              </w:rPr>
            </w:pPr>
          </w:p>
        </w:tc>
        <w:tc>
          <w:tcPr>
            <w:tcW w:w="1020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20" w:type="dxa"/>
            <w:vAlign w:val="bottom"/>
          </w:tcPr>
          <w:p>
            <w:pPr>
              <w:spacing w:after="0"/>
              <w:rPr>
                <w:sz w:val="18"/>
                <w:szCs w:val="18"/>
                <w:color w:val="auto"/>
              </w:rPr>
            </w:pPr>
          </w:p>
        </w:tc>
        <w:tc>
          <w:tcPr>
            <w:tcW w:w="1020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20" w:type="dxa"/>
            <w:vAlign w:val="bottom"/>
          </w:tcPr>
          <w:p>
            <w:pPr>
              <w:spacing w:after="0"/>
              <w:rPr>
                <w:sz w:val="18"/>
                <w:szCs w:val="18"/>
                <w:color w:val="auto"/>
              </w:rPr>
            </w:pPr>
          </w:p>
        </w:tc>
        <w:tc>
          <w:tcPr>
            <w:tcW w:w="1020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3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1020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5123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7">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151" w:lineRule="exact"/>
        <w:rPr>
          <w:sz w:val="20"/>
          <w:szCs w:val="20"/>
          <w:color w:val="auto"/>
        </w:rPr>
      </w:pPr>
    </w:p>
    <w:p>
      <w:pPr>
        <w:ind w:right="140" w:firstLine="8"/>
        <w:spacing w:after="0" w:line="266" w:lineRule="auto"/>
        <w:tabs>
          <w:tab w:leader="none" w:pos="1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is deemed not filed for purposes of Section 18 of the Securities Exchange Act of 1934, as amended (“Exchange Act”), or otherwise subject to the liability of that section, nor shall it be deemed incorporated by reference into any filing under the Securities Act of 1933, as amended, or the Exchange Act.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1" w:name="page22"/>
    <w:bookmarkEnd w:id="21"/>
    <w:p>
      <w:pPr>
        <w:ind w:left="-8" w:firstLine="8"/>
        <w:spacing w:after="0" w:line="266" w:lineRule="auto"/>
        <w:tabs>
          <w:tab w:leader="none" w:pos="217"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with that certain Current Report on Form 8-K filed with the Securities and Exchange Commission on October 9, 2025, and incorporated herein by reference.</w:t>
      </w:r>
    </w:p>
    <w:p>
      <w:pPr>
        <w:ind w:left="-8" w:right="100" w:firstLine="8"/>
        <w:spacing w:after="0" w:line="282" w:lineRule="auto"/>
        <w:tabs>
          <w:tab w:leader="none" w:pos="30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with that certain Registration Statement on Form S-1, as amended, filed with the Securities and Exchange Commission on September 30, 2025, and incorporated herein by reference.</w:t>
      </w:r>
    </w:p>
    <w:p>
      <w:pPr>
        <w:spacing w:after="0" w:line="378"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484505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1026" w:right="359" w:bottom="1440" w:gutter="0" w:footer="0" w:header="0"/>
        </w:sectPr>
      </w:pPr>
    </w:p>
    <w:bookmarkStart w:id="22" w:name="page23"/>
    <w:bookmarkEnd w:id="22"/>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GigCapital8 Corp.</w:t>
      </w:r>
    </w:p>
    <w:p>
      <w:pPr>
        <w:spacing w:after="0" w:line="225" w:lineRule="exact"/>
        <w:rPr>
          <w:sz w:val="20"/>
          <w:szCs w:val="20"/>
          <w:color w:val="auto"/>
        </w:rPr>
      </w:pPr>
    </w:p>
    <w:p>
      <w:pPr>
        <w:spacing w:after="0"/>
        <w:tabs>
          <w:tab w:leader="none" w:pos="5640" w:val="left"/>
          <w:tab w:leader="none" w:pos="7920" w:val="left"/>
        </w:tabs>
        <w:rPr>
          <w:sz w:val="20"/>
          <w:szCs w:val="20"/>
          <w:color w:val="auto"/>
        </w:rPr>
      </w:pPr>
      <w:r>
        <w:rPr>
          <w:rFonts w:ascii="Times New Roman" w:cs="Times New Roman" w:eastAsia="Times New Roman" w:hAnsi="Times New Roman"/>
          <w:sz w:val="18"/>
          <w:szCs w:val="18"/>
          <w:color w:val="auto"/>
        </w:rPr>
        <w:t>Date: May 13,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Dr. Avi S. Katz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17145</wp:posOffset>
            </wp:positionV>
            <wp:extent cx="332613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0">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21" w:lineRule="exact"/>
        <w:rPr>
          <w:sz w:val="20"/>
          <w:szCs w:val="20"/>
          <w:color w:val="auto"/>
        </w:rPr>
      </w:pPr>
    </w:p>
    <w:p>
      <w:pPr>
        <w:jc w:val="center"/>
        <w:ind w:left="5980"/>
        <w:spacing w:after="0"/>
        <w:rPr>
          <w:sz w:val="20"/>
          <w:szCs w:val="20"/>
          <w:color w:val="auto"/>
        </w:rPr>
      </w:pPr>
      <w:r>
        <w:rPr>
          <w:rFonts w:ascii="Times New Roman" w:cs="Times New Roman" w:eastAsia="Times New Roman" w:hAnsi="Times New Roman"/>
          <w:sz w:val="18"/>
          <w:szCs w:val="18"/>
          <w:b w:val="1"/>
          <w:bCs w:val="1"/>
          <w:color w:val="auto"/>
        </w:rPr>
        <w:t>Dr. Avi S. Katz</w:t>
      </w:r>
    </w:p>
    <w:p>
      <w:pPr>
        <w:spacing w:after="0" w:line="9" w:lineRule="exact"/>
        <w:rPr>
          <w:sz w:val="20"/>
          <w:szCs w:val="20"/>
          <w:color w:val="auto"/>
        </w:rPr>
      </w:pPr>
    </w:p>
    <w:p>
      <w:pPr>
        <w:jc w:val="center"/>
        <w:ind w:left="5980"/>
        <w:spacing w:after="0"/>
        <w:rPr>
          <w:sz w:val="20"/>
          <w:szCs w:val="20"/>
          <w:color w:val="auto"/>
        </w:rPr>
      </w:pPr>
      <w:r>
        <w:rPr>
          <w:rFonts w:ascii="Times New Roman" w:cs="Times New Roman" w:eastAsia="Times New Roman" w:hAnsi="Times New Roman"/>
          <w:sz w:val="18"/>
          <w:szCs w:val="18"/>
          <w:b w:val="1"/>
          <w:bCs w:val="1"/>
          <w:color w:val="auto"/>
        </w:rPr>
        <w:t>Chief Executive Officer and Chairman</w:t>
      </w:r>
    </w:p>
    <w:p>
      <w:pPr>
        <w:spacing w:after="0" w:line="9" w:lineRule="exact"/>
        <w:rPr>
          <w:sz w:val="20"/>
          <w:szCs w:val="20"/>
          <w:color w:val="auto"/>
        </w:rPr>
      </w:pPr>
    </w:p>
    <w:p>
      <w:pPr>
        <w:jc w:val="center"/>
        <w:ind w:left="598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7" w:lineRule="exact"/>
        <w:rPr>
          <w:sz w:val="20"/>
          <w:szCs w:val="20"/>
          <w:color w:val="auto"/>
        </w:rPr>
      </w:pPr>
    </w:p>
    <w:p>
      <w:pPr>
        <w:spacing w:after="0"/>
        <w:tabs>
          <w:tab w:leader="none" w:pos="5640" w:val="left"/>
          <w:tab w:leader="none" w:pos="7700" w:val="left"/>
        </w:tabs>
        <w:rPr>
          <w:sz w:val="20"/>
          <w:szCs w:val="20"/>
          <w:color w:val="auto"/>
        </w:rPr>
      </w:pPr>
      <w:r>
        <w:rPr>
          <w:rFonts w:ascii="Times New Roman" w:cs="Times New Roman" w:eastAsia="Times New Roman" w:hAnsi="Times New Roman"/>
          <w:sz w:val="18"/>
          <w:szCs w:val="18"/>
          <w:color w:val="auto"/>
        </w:rPr>
        <w:t>Date: May 13,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Christine M. Marshall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17145</wp:posOffset>
            </wp:positionV>
            <wp:extent cx="332613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1">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21" w:lineRule="exact"/>
        <w:rPr>
          <w:sz w:val="20"/>
          <w:szCs w:val="20"/>
          <w:color w:val="auto"/>
        </w:rPr>
      </w:pPr>
    </w:p>
    <w:p>
      <w:pPr>
        <w:jc w:val="center"/>
        <w:ind w:left="5980"/>
        <w:spacing w:after="0"/>
        <w:rPr>
          <w:sz w:val="20"/>
          <w:szCs w:val="20"/>
          <w:color w:val="auto"/>
        </w:rPr>
      </w:pPr>
      <w:r>
        <w:rPr>
          <w:rFonts w:ascii="Times New Roman" w:cs="Times New Roman" w:eastAsia="Times New Roman" w:hAnsi="Times New Roman"/>
          <w:sz w:val="18"/>
          <w:szCs w:val="18"/>
          <w:b w:val="1"/>
          <w:bCs w:val="1"/>
          <w:color w:val="auto"/>
        </w:rPr>
        <w:t>Christine M. Marshall</w:t>
      </w:r>
    </w:p>
    <w:p>
      <w:pPr>
        <w:spacing w:after="0" w:line="9" w:lineRule="exact"/>
        <w:rPr>
          <w:sz w:val="20"/>
          <w:szCs w:val="20"/>
          <w:color w:val="auto"/>
        </w:rPr>
      </w:pPr>
    </w:p>
    <w:p>
      <w:pPr>
        <w:jc w:val="center"/>
        <w:ind w:left="598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jc w:val="center"/>
        <w:ind w:left="5980"/>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p>
      <w:pPr>
        <w:spacing w:after="0" w:line="200" w:lineRule="exact"/>
        <w:rPr>
          <w:sz w:val="20"/>
          <w:szCs w:val="20"/>
          <w:color w:val="auto"/>
        </w:rPr>
      </w:pPr>
    </w:p>
    <w:p>
      <w:pPr>
        <w:spacing w:after="0" w:line="223"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981" w:right="779" w:bottom="1440" w:gutter="0" w:footer="0" w:header="0"/>
        </w:sectPr>
      </w:pPr>
    </w:p>
    <w:bookmarkStart w:id="23" w:name="page24"/>
    <w:bookmarkEnd w:id="2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Dr. Avi S. Katz, certify that:</w:t>
      </w:r>
    </w:p>
    <w:p>
      <w:pPr>
        <w:spacing w:after="0" w:line="117" w:lineRule="exact"/>
        <w:rPr>
          <w:sz w:val="20"/>
          <w:szCs w:val="20"/>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GigCapital8 Corp.;</w:t>
      </w:r>
    </w:p>
    <w:p>
      <w:pPr>
        <w:spacing w:after="0" w:line="117" w:lineRule="exact"/>
        <w:rPr>
          <w:rFonts w:ascii="Times New Roman" w:cs="Times New Roman" w:eastAsia="Times New Roman" w:hAnsi="Times New Roman"/>
          <w:sz w:val="18"/>
          <w:szCs w:val="18"/>
          <w:color w:val="auto"/>
        </w:rPr>
      </w:pPr>
    </w:p>
    <w:p>
      <w:pPr>
        <w:jc w:val="both"/>
        <w:ind w:left="1020" w:right="20" w:hanging="503"/>
        <w:spacing w:after="0" w:line="266"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1020" w:right="500" w:hanging="503"/>
        <w:spacing w:after="0" w:line="312" w:lineRule="auto"/>
        <w:tabs>
          <w:tab w:leader="none" w:pos="10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1" w:lineRule="exact"/>
        <w:rPr>
          <w:rFonts w:ascii="Times New Roman" w:cs="Times New Roman" w:eastAsia="Times New Roman" w:hAnsi="Times New Roman"/>
          <w:sz w:val="17"/>
          <w:szCs w:val="17"/>
          <w:color w:val="auto"/>
        </w:rPr>
      </w:pPr>
    </w:p>
    <w:p>
      <w:pPr>
        <w:ind w:left="1020" w:right="540" w:hanging="503"/>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54" w:lineRule="exact"/>
        <w:rPr>
          <w:sz w:val="20"/>
          <w:szCs w:val="20"/>
          <w:color w:val="auto"/>
        </w:rPr>
      </w:pPr>
    </w:p>
    <w:p>
      <w:pPr>
        <w:ind w:left="2040" w:right="100" w:hanging="508"/>
        <w:spacing w:after="0" w:line="266" w:lineRule="auto"/>
        <w:rPr>
          <w:sz w:val="20"/>
          <w:szCs w:val="20"/>
          <w:color w:val="auto"/>
        </w:rPr>
      </w:pPr>
      <w:r>
        <w:rPr>
          <w:rFonts w:ascii="Times New Roman" w:cs="Times New Roman" w:eastAsia="Times New Roman" w:hAnsi="Times New Roman"/>
          <w:sz w:val="18"/>
          <w:szCs w:val="18"/>
          <w:color w:val="auto"/>
        </w:rPr>
        <w:t>1.1.1.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1.1.2. [Paragraph intentionally omitted in accordance with Exchange Act Rule 13a-14];</w:t>
      </w:r>
    </w:p>
    <w:p>
      <w:pPr>
        <w:spacing w:after="0" w:line="117" w:lineRule="exact"/>
        <w:rPr>
          <w:sz w:val="20"/>
          <w:szCs w:val="20"/>
          <w:color w:val="auto"/>
        </w:rPr>
      </w:pPr>
    </w:p>
    <w:p>
      <w:pPr>
        <w:jc w:val="both"/>
        <w:ind w:left="2040" w:right="220" w:hanging="508"/>
        <w:spacing w:after="0" w:line="266" w:lineRule="auto"/>
        <w:rPr>
          <w:sz w:val="20"/>
          <w:szCs w:val="20"/>
          <w:color w:val="auto"/>
        </w:rPr>
      </w:pPr>
      <w:r>
        <w:rPr>
          <w:rFonts w:ascii="Times New Roman" w:cs="Times New Roman" w:eastAsia="Times New Roman" w:hAnsi="Times New Roman"/>
          <w:sz w:val="18"/>
          <w:szCs w:val="18"/>
          <w:color w:val="auto"/>
        </w:rPr>
        <w:t>1.1.3.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8" w:lineRule="exact"/>
        <w:rPr>
          <w:sz w:val="20"/>
          <w:szCs w:val="20"/>
          <w:color w:val="auto"/>
        </w:rPr>
      </w:pPr>
    </w:p>
    <w:p>
      <w:pPr>
        <w:ind w:left="2040" w:right="280" w:hanging="508"/>
        <w:spacing w:after="0" w:line="266" w:lineRule="auto"/>
        <w:rPr>
          <w:sz w:val="20"/>
          <w:szCs w:val="20"/>
          <w:color w:val="auto"/>
        </w:rPr>
      </w:pPr>
      <w:r>
        <w:rPr>
          <w:rFonts w:ascii="Times New Roman" w:cs="Times New Roman" w:eastAsia="Times New Roman" w:hAnsi="Times New Roman"/>
          <w:sz w:val="18"/>
          <w:szCs w:val="18"/>
          <w:color w:val="auto"/>
        </w:rPr>
        <w:t>1.1.4.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sz w:val="20"/>
          <w:szCs w:val="20"/>
          <w:color w:val="auto"/>
        </w:rPr>
      </w:pPr>
    </w:p>
    <w:p>
      <w:pPr>
        <w:ind w:left="1020" w:right="460" w:hanging="503"/>
        <w:spacing w:after="0" w:line="266"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8" w:lineRule="exact"/>
        <w:rPr>
          <w:sz w:val="20"/>
          <w:szCs w:val="20"/>
          <w:color w:val="auto"/>
        </w:rPr>
      </w:pPr>
    </w:p>
    <w:p>
      <w:pPr>
        <w:ind w:left="2040" w:right="460" w:hanging="508"/>
        <w:spacing w:after="0" w:line="266" w:lineRule="auto"/>
        <w:rPr>
          <w:sz w:val="20"/>
          <w:szCs w:val="20"/>
          <w:color w:val="auto"/>
        </w:rPr>
      </w:pPr>
      <w:r>
        <w:rPr>
          <w:rFonts w:ascii="Times New Roman" w:cs="Times New Roman" w:eastAsia="Times New Roman" w:hAnsi="Times New Roman"/>
          <w:sz w:val="18"/>
          <w:szCs w:val="18"/>
          <w:color w:val="auto"/>
        </w:rPr>
        <w:t>1.1.1.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8" w:lineRule="exact"/>
        <w:rPr>
          <w:sz w:val="20"/>
          <w:szCs w:val="20"/>
          <w:color w:val="auto"/>
        </w:rPr>
      </w:pPr>
    </w:p>
    <w:p>
      <w:pPr>
        <w:ind w:left="2040" w:right="20" w:hanging="508"/>
        <w:spacing w:after="0" w:line="282" w:lineRule="auto"/>
        <w:rPr>
          <w:sz w:val="20"/>
          <w:szCs w:val="20"/>
          <w:color w:val="auto"/>
        </w:rPr>
      </w:pPr>
      <w:r>
        <w:rPr>
          <w:rFonts w:ascii="Times New Roman" w:cs="Times New Roman" w:eastAsia="Times New Roman" w:hAnsi="Times New Roman"/>
          <w:sz w:val="18"/>
          <w:szCs w:val="18"/>
          <w:color w:val="auto"/>
        </w:rPr>
        <w:t>1.1.2. 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tabs>
          <w:tab w:leader="none" w:pos="5680" w:val="left"/>
          <w:tab w:leader="none" w:pos="7940" w:val="left"/>
        </w:tabs>
        <w:rPr>
          <w:sz w:val="20"/>
          <w:szCs w:val="20"/>
          <w:color w:val="auto"/>
        </w:rPr>
      </w:pPr>
      <w:r>
        <w:rPr>
          <w:rFonts w:ascii="Times New Roman" w:cs="Times New Roman" w:eastAsia="Times New Roman" w:hAnsi="Times New Roman"/>
          <w:sz w:val="18"/>
          <w:szCs w:val="18"/>
          <w:color w:val="auto"/>
        </w:rPr>
        <w:t>Date: May 13,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Dr. Avi S. Katz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3">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21"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Dr. Avi S. Katz</w:t>
      </w:r>
    </w:p>
    <w:p>
      <w:pPr>
        <w:spacing w:after="0" w:line="9"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747395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4" w:name="page25"/>
    <w:bookmarkEnd w:id="2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Christine M. Marshall, certify that:</w:t>
      </w:r>
    </w:p>
    <w:p>
      <w:pPr>
        <w:spacing w:after="0" w:line="117" w:lineRule="exact"/>
        <w:rPr>
          <w:sz w:val="20"/>
          <w:szCs w:val="20"/>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GigCapital8 Corp.;</w:t>
      </w:r>
    </w:p>
    <w:p>
      <w:pPr>
        <w:spacing w:after="0" w:line="117" w:lineRule="exact"/>
        <w:rPr>
          <w:rFonts w:ascii="Times New Roman" w:cs="Times New Roman" w:eastAsia="Times New Roman" w:hAnsi="Times New Roman"/>
          <w:sz w:val="18"/>
          <w:szCs w:val="18"/>
          <w:color w:val="auto"/>
        </w:rPr>
      </w:pPr>
    </w:p>
    <w:p>
      <w:pPr>
        <w:jc w:val="both"/>
        <w:ind w:left="1020" w:right="20" w:hanging="503"/>
        <w:spacing w:after="0" w:line="266"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1020" w:right="500" w:hanging="503"/>
        <w:spacing w:after="0" w:line="312" w:lineRule="auto"/>
        <w:tabs>
          <w:tab w:leader="none" w:pos="10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1" w:lineRule="exact"/>
        <w:rPr>
          <w:rFonts w:ascii="Times New Roman" w:cs="Times New Roman" w:eastAsia="Times New Roman" w:hAnsi="Times New Roman"/>
          <w:sz w:val="17"/>
          <w:szCs w:val="17"/>
          <w:color w:val="auto"/>
        </w:rPr>
      </w:pPr>
    </w:p>
    <w:p>
      <w:pPr>
        <w:ind w:left="1020" w:right="54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54" w:lineRule="exact"/>
        <w:rPr>
          <w:sz w:val="20"/>
          <w:szCs w:val="20"/>
          <w:color w:val="auto"/>
        </w:rPr>
      </w:pPr>
    </w:p>
    <w:p>
      <w:pPr>
        <w:ind w:left="2040" w:right="100" w:hanging="508"/>
        <w:spacing w:after="0" w:line="266" w:lineRule="auto"/>
        <w:rPr>
          <w:sz w:val="20"/>
          <w:szCs w:val="20"/>
          <w:color w:val="auto"/>
        </w:rPr>
      </w:pPr>
      <w:r>
        <w:rPr>
          <w:rFonts w:ascii="Times New Roman" w:cs="Times New Roman" w:eastAsia="Times New Roman" w:hAnsi="Times New Roman"/>
          <w:sz w:val="18"/>
          <w:szCs w:val="18"/>
          <w:color w:val="auto"/>
        </w:rPr>
        <w:t>1.1.1.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1.1.2. [Paragraph intentionally omitted in accordance with Exchange Act Rule 13a-14];</w:t>
      </w:r>
    </w:p>
    <w:p>
      <w:pPr>
        <w:spacing w:after="0" w:line="117" w:lineRule="exact"/>
        <w:rPr>
          <w:sz w:val="20"/>
          <w:szCs w:val="20"/>
          <w:color w:val="auto"/>
        </w:rPr>
      </w:pPr>
    </w:p>
    <w:p>
      <w:pPr>
        <w:jc w:val="both"/>
        <w:ind w:left="2040" w:right="220" w:hanging="508"/>
        <w:spacing w:after="0" w:line="266" w:lineRule="auto"/>
        <w:rPr>
          <w:sz w:val="20"/>
          <w:szCs w:val="20"/>
          <w:color w:val="auto"/>
        </w:rPr>
      </w:pPr>
      <w:r>
        <w:rPr>
          <w:rFonts w:ascii="Times New Roman" w:cs="Times New Roman" w:eastAsia="Times New Roman" w:hAnsi="Times New Roman"/>
          <w:sz w:val="18"/>
          <w:szCs w:val="18"/>
          <w:color w:val="auto"/>
        </w:rPr>
        <w:t>1.1.3.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8" w:lineRule="exact"/>
        <w:rPr>
          <w:sz w:val="20"/>
          <w:szCs w:val="20"/>
          <w:color w:val="auto"/>
        </w:rPr>
      </w:pPr>
    </w:p>
    <w:p>
      <w:pPr>
        <w:ind w:left="2040" w:right="280" w:hanging="508"/>
        <w:spacing w:after="0" w:line="266" w:lineRule="auto"/>
        <w:rPr>
          <w:sz w:val="20"/>
          <w:szCs w:val="20"/>
          <w:color w:val="auto"/>
        </w:rPr>
      </w:pPr>
      <w:r>
        <w:rPr>
          <w:rFonts w:ascii="Times New Roman" w:cs="Times New Roman" w:eastAsia="Times New Roman" w:hAnsi="Times New Roman"/>
          <w:sz w:val="18"/>
          <w:szCs w:val="18"/>
          <w:color w:val="auto"/>
        </w:rPr>
        <w:t>1.1.4.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sz w:val="20"/>
          <w:szCs w:val="20"/>
          <w:color w:val="auto"/>
        </w:rPr>
      </w:pPr>
    </w:p>
    <w:p>
      <w:pPr>
        <w:ind w:left="1020" w:right="460" w:hanging="503"/>
        <w:spacing w:after="0" w:line="266"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8" w:lineRule="exact"/>
        <w:rPr>
          <w:sz w:val="20"/>
          <w:szCs w:val="20"/>
          <w:color w:val="auto"/>
        </w:rPr>
      </w:pPr>
    </w:p>
    <w:p>
      <w:pPr>
        <w:ind w:left="2040" w:right="460" w:hanging="508"/>
        <w:spacing w:after="0" w:line="266" w:lineRule="auto"/>
        <w:rPr>
          <w:sz w:val="20"/>
          <w:szCs w:val="20"/>
          <w:color w:val="auto"/>
        </w:rPr>
      </w:pPr>
      <w:r>
        <w:rPr>
          <w:rFonts w:ascii="Times New Roman" w:cs="Times New Roman" w:eastAsia="Times New Roman" w:hAnsi="Times New Roman"/>
          <w:sz w:val="18"/>
          <w:szCs w:val="18"/>
          <w:color w:val="auto"/>
        </w:rPr>
        <w:t>1.1.1.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8" w:lineRule="exact"/>
        <w:rPr>
          <w:sz w:val="20"/>
          <w:szCs w:val="20"/>
          <w:color w:val="auto"/>
        </w:rPr>
      </w:pPr>
    </w:p>
    <w:p>
      <w:pPr>
        <w:ind w:left="2040" w:right="20" w:hanging="508"/>
        <w:spacing w:after="0" w:line="282" w:lineRule="auto"/>
        <w:rPr>
          <w:sz w:val="20"/>
          <w:szCs w:val="20"/>
          <w:color w:val="auto"/>
        </w:rPr>
      </w:pPr>
      <w:r>
        <w:rPr>
          <w:rFonts w:ascii="Times New Roman" w:cs="Times New Roman" w:eastAsia="Times New Roman" w:hAnsi="Times New Roman"/>
          <w:sz w:val="18"/>
          <w:szCs w:val="18"/>
          <w:color w:val="auto"/>
        </w:rPr>
        <w:t>1.1.2. 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tabs>
          <w:tab w:leader="none" w:pos="5680" w:val="left"/>
          <w:tab w:leader="none" w:pos="7700" w:val="left"/>
        </w:tabs>
        <w:rPr>
          <w:sz w:val="20"/>
          <w:szCs w:val="20"/>
          <w:color w:val="auto"/>
        </w:rPr>
      </w:pPr>
      <w:r>
        <w:rPr>
          <w:rFonts w:ascii="Times New Roman" w:cs="Times New Roman" w:eastAsia="Times New Roman" w:hAnsi="Times New Roman"/>
          <w:sz w:val="18"/>
          <w:szCs w:val="18"/>
          <w:color w:val="auto"/>
        </w:rPr>
        <w:t>Date: May 13,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Christine M. Marshall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5">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21"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8"/>
          <w:szCs w:val="18"/>
          <w:b w:val="1"/>
          <w:bCs w:val="1"/>
          <w:color w:val="auto"/>
        </w:rPr>
        <w:t>Christine M. Marshall</w:t>
      </w:r>
    </w:p>
    <w:p>
      <w:pPr>
        <w:spacing w:after="0" w:line="9"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747395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5" w:name="page26"/>
    <w:bookmarkEnd w:id="2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18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GigCapital8 Corp. on Form 10-Q for the period ended March 31, 2026 as filed with the Securities and Exchange Commission on the date hereof (the “Report”), I certify, pursuant to 18 U.S.C. § 1350, as adopted pursuant to § 906 of the Sarbanes-Oxley Act of 2002, that:</w:t>
      </w:r>
    </w:p>
    <w:p>
      <w:pPr>
        <w:spacing w:after="0" w:line="68" w:lineRule="exact"/>
        <w:rPr>
          <w:sz w:val="20"/>
          <w:szCs w:val="20"/>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020" w:right="62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162" w:lineRule="exact"/>
        <w:rPr>
          <w:sz w:val="20"/>
          <w:szCs w:val="20"/>
          <w:color w:val="auto"/>
        </w:rPr>
      </w:pPr>
    </w:p>
    <w:p>
      <w:pPr>
        <w:spacing w:after="0"/>
        <w:tabs>
          <w:tab w:leader="none" w:pos="6540" w:val="left"/>
          <w:tab w:leader="none" w:pos="8380" w:val="left"/>
        </w:tabs>
        <w:rPr>
          <w:sz w:val="20"/>
          <w:szCs w:val="20"/>
          <w:color w:val="auto"/>
        </w:rPr>
      </w:pPr>
      <w:r>
        <w:rPr>
          <w:rFonts w:ascii="Times New Roman" w:cs="Times New Roman" w:eastAsia="Times New Roman" w:hAnsi="Times New Roman"/>
          <w:sz w:val="18"/>
          <w:szCs w:val="18"/>
          <w:color w:val="auto"/>
        </w:rPr>
        <w:t>Date: May 13,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Dr. Avi S. Katz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4377055</wp:posOffset>
            </wp:positionH>
            <wp:positionV relativeFrom="paragraph">
              <wp:posOffset>17145</wp:posOffset>
            </wp:positionV>
            <wp:extent cx="276034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7">
                      <a:extLst>
                        <a:ext uri="{28A0092B-C50C-407E-A947-70E740481C1C}"/>
                      </a:extLst>
                    </a:blip>
                    <a:srcRect/>
                    <a:stretch>
                      <a:fillRect/>
                    </a:stretch>
                  </pic:blipFill>
                  <pic:spPr bwMode="auto">
                    <a:xfrm>
                      <a:off x="0" y="0"/>
                      <a:ext cx="2760345" cy="8255"/>
                    </a:xfrm>
                    <a:prstGeom prst="rect">
                      <a:avLst/>
                    </a:prstGeom>
                    <a:noFill/>
                  </pic:spPr>
                </pic:pic>
              </a:graphicData>
            </a:graphic>
          </wp:anchor>
        </w:drawing>
      </w:r>
    </w:p>
    <w:p>
      <w:pPr>
        <w:spacing w:after="0" w:line="21" w:lineRule="exact"/>
        <w:rPr>
          <w:sz w:val="20"/>
          <w:szCs w:val="20"/>
          <w:color w:val="auto"/>
        </w:rPr>
      </w:pPr>
    </w:p>
    <w:p>
      <w:pPr>
        <w:jc w:val="center"/>
        <w:ind w:left="6860"/>
        <w:spacing w:after="0"/>
        <w:rPr>
          <w:sz w:val="20"/>
          <w:szCs w:val="20"/>
          <w:color w:val="auto"/>
        </w:rPr>
      </w:pPr>
      <w:r>
        <w:rPr>
          <w:rFonts w:ascii="Times New Roman" w:cs="Times New Roman" w:eastAsia="Times New Roman" w:hAnsi="Times New Roman"/>
          <w:sz w:val="18"/>
          <w:szCs w:val="18"/>
          <w:b w:val="1"/>
          <w:bCs w:val="1"/>
          <w:color w:val="auto"/>
        </w:rPr>
        <w:t>Dr. Avi S. Katz</w:t>
      </w:r>
    </w:p>
    <w:p>
      <w:pPr>
        <w:spacing w:after="0" w:line="9" w:lineRule="exact"/>
        <w:rPr>
          <w:sz w:val="20"/>
          <w:szCs w:val="20"/>
          <w:color w:val="auto"/>
        </w:rPr>
      </w:pPr>
    </w:p>
    <w:p>
      <w:pPr>
        <w:jc w:val="center"/>
        <w:ind w:left="686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747395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6" w:name="page27"/>
    <w:bookmarkEnd w:id="2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18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GigCapital8 Corp. on Form 10-Q for the period ended March 31, 2026 as filed with the Securities and Exchange Commission on the date hereof (the “Report”), I certify, pursuant to 18 U.S.C. § 1350, as adopted pursuant to § 906 of the Sarbanes-Oxley Act of 2002, that:</w:t>
      </w:r>
    </w:p>
    <w:p>
      <w:pPr>
        <w:spacing w:after="0" w:line="68" w:lineRule="exact"/>
        <w:rPr>
          <w:sz w:val="20"/>
          <w:szCs w:val="20"/>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020" w:right="62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162" w:lineRule="exact"/>
        <w:rPr>
          <w:sz w:val="20"/>
          <w:szCs w:val="20"/>
          <w:color w:val="auto"/>
        </w:rPr>
      </w:pPr>
    </w:p>
    <w:p>
      <w:pPr>
        <w:spacing w:after="0"/>
        <w:tabs>
          <w:tab w:leader="none" w:pos="6540" w:val="left"/>
          <w:tab w:leader="none" w:pos="8140" w:val="left"/>
        </w:tabs>
        <w:rPr>
          <w:sz w:val="20"/>
          <w:szCs w:val="20"/>
          <w:color w:val="auto"/>
        </w:rPr>
      </w:pPr>
      <w:r>
        <w:rPr>
          <w:rFonts w:ascii="Times New Roman" w:cs="Times New Roman" w:eastAsia="Times New Roman" w:hAnsi="Times New Roman"/>
          <w:sz w:val="18"/>
          <w:szCs w:val="18"/>
          <w:color w:val="auto"/>
        </w:rPr>
        <w:t>Date: May 13,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Christine M. Marshall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4377055</wp:posOffset>
            </wp:positionH>
            <wp:positionV relativeFrom="paragraph">
              <wp:posOffset>17145</wp:posOffset>
            </wp:positionV>
            <wp:extent cx="276034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9">
                      <a:extLst>
                        <a:ext uri="{28A0092B-C50C-407E-A947-70E740481C1C}"/>
                      </a:extLst>
                    </a:blip>
                    <a:srcRect/>
                    <a:stretch>
                      <a:fillRect/>
                    </a:stretch>
                  </pic:blipFill>
                  <pic:spPr bwMode="auto">
                    <a:xfrm>
                      <a:off x="0" y="0"/>
                      <a:ext cx="2760345" cy="8255"/>
                    </a:xfrm>
                    <a:prstGeom prst="rect">
                      <a:avLst/>
                    </a:prstGeom>
                    <a:noFill/>
                  </pic:spPr>
                </pic:pic>
              </a:graphicData>
            </a:graphic>
          </wp:anchor>
        </w:drawing>
      </w:r>
    </w:p>
    <w:p>
      <w:pPr>
        <w:spacing w:after="0" w:line="21" w:lineRule="exact"/>
        <w:rPr>
          <w:sz w:val="20"/>
          <w:szCs w:val="20"/>
          <w:color w:val="auto"/>
        </w:rPr>
      </w:pPr>
    </w:p>
    <w:p>
      <w:pPr>
        <w:ind w:left="8200"/>
        <w:spacing w:after="0"/>
        <w:rPr>
          <w:sz w:val="20"/>
          <w:szCs w:val="20"/>
          <w:color w:val="auto"/>
        </w:rPr>
      </w:pPr>
      <w:r>
        <w:rPr>
          <w:rFonts w:ascii="Times New Roman" w:cs="Times New Roman" w:eastAsia="Times New Roman" w:hAnsi="Times New Roman"/>
          <w:sz w:val="18"/>
          <w:szCs w:val="18"/>
          <w:b w:val="1"/>
          <w:bCs w:val="1"/>
          <w:color w:val="auto"/>
        </w:rPr>
        <w:t>Christine M. Marshall</w:t>
      </w:r>
    </w:p>
    <w:p>
      <w:pPr>
        <w:spacing w:after="0" w:line="9" w:lineRule="exact"/>
        <w:rPr>
          <w:sz w:val="20"/>
          <w:szCs w:val="20"/>
          <w:color w:val="auto"/>
        </w:rPr>
      </w:pPr>
    </w:p>
    <w:p>
      <w:pPr>
        <w:ind w:left="818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747395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7" w:name="page28"/>
    <w:bookmarkEnd w:id="2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1)"/>
      <w:numFmt w:val="decimal"/>
      <w:start w:val="1"/>
    </w:lvl>
  </w:abstractNum>
  <w:abstractNum w:abstractNumId="8">
    <w:nsid w:val="1F16E9E8"/>
    <w:multiLevelType w:val="hybridMultilevel"/>
    <w:lvl w:ilvl="0">
      <w:lvlJc w:val="left"/>
      <w:lvlText w:val="(%1)"/>
      <w:numFmt w:val="decimal"/>
      <w:start w:val="5"/>
    </w:lvl>
  </w:abstractNum>
  <w:abstractNum w:abstractNumId="9">
    <w:nsid w:val="1190CDE7"/>
    <w:multiLevelType w:val="hybridMultilevel"/>
    <w:lvl w:ilvl="0">
      <w:lvlJc w:val="left"/>
      <w:lvlText w:val="(%1)"/>
      <w:numFmt w:val="decimal"/>
      <w:start w:val="1"/>
    </w:lvl>
  </w:abstractNum>
  <w:abstractNum w:abstractNumId="10">
    <w:nsid w:val="66EF438D"/>
    <w:multiLevelType w:val="hybridMultilevel"/>
    <w:lvl w:ilvl="0">
      <w:lvlJc w:val="left"/>
      <w:lvlText w:val="(%1)"/>
      <w:numFmt w:val="decimal"/>
      <w:start w:val="5"/>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77" Type="http://schemas.openxmlformats.org/officeDocument/2006/relationships/image" Target="media/image61.png"/><Relationship Id="rId78" Type="http://schemas.openxmlformats.org/officeDocument/2006/relationships/image" Target="media/image62.png"/><Relationship Id="rId79" Type="http://schemas.openxmlformats.org/officeDocument/2006/relationships/image" Target="media/image63.png"/><Relationship Id="rId80" Type="http://schemas.openxmlformats.org/officeDocument/2006/relationships/image" Target="media/image64.png"/><Relationship Id="rId81" Type="http://schemas.openxmlformats.org/officeDocument/2006/relationships/image" Target="media/image65.png"/><Relationship Id="rId82" Type="http://schemas.openxmlformats.org/officeDocument/2006/relationships/image" Target="media/image66.png"/><Relationship Id="rId83" Type="http://schemas.openxmlformats.org/officeDocument/2006/relationships/image" Target="media/image67.png"/><Relationship Id="rId84" Type="http://schemas.openxmlformats.org/officeDocument/2006/relationships/image" Target="media/image68.png"/><Relationship Id="rId85" Type="http://schemas.openxmlformats.org/officeDocument/2006/relationships/image" Target="media/image69.png"/><Relationship Id="rId86" Type="http://schemas.openxmlformats.org/officeDocument/2006/relationships/image" Target="media/image70.png"/><Relationship Id="rId87" Type="http://schemas.openxmlformats.org/officeDocument/2006/relationships/image" Target="media/image71.png"/><Relationship Id="rId88" Type="http://schemas.openxmlformats.org/officeDocument/2006/relationships/image" Target="media/image72.png"/><Relationship Id="rId89" Type="http://schemas.openxmlformats.org/officeDocument/2006/relationships/image" Target="media/image73.png"/><Relationship Id="rId90" Type="http://schemas.openxmlformats.org/officeDocument/2006/relationships/image" Target="media/image74.png"/><Relationship Id="rId68" Type="http://schemas.openxmlformats.org/officeDocument/2006/relationships/hyperlink" Target="https://www.sec.gov/Archives/edgar/data/2080019/000119312525235847/d87287dex31.htm" TargetMode="External"/><Relationship Id="rId69" Type="http://schemas.openxmlformats.org/officeDocument/2006/relationships/hyperlink" Target="https://www.sec.gov/Archives/edgar/data/2080019/000119312525217947/d929696dex41.htm" TargetMode="External"/><Relationship Id="rId70" Type="http://schemas.openxmlformats.org/officeDocument/2006/relationships/hyperlink" Target="https://www.sec.gov/Archives/edgar/data/2080019/000119312525217947/d929696dex42.htm" TargetMode="External"/><Relationship Id="rId71" Type="http://schemas.openxmlformats.org/officeDocument/2006/relationships/hyperlink" Target="https://www.sec.gov/Archives/edgar/data/2080019/000119312525217947/d929696dex43.htm" TargetMode="External"/><Relationship Id="rId72" Type="http://schemas.openxmlformats.org/officeDocument/2006/relationships/hyperlink" Target="https://www.sec.gov/Archives/edgar/data/2080019/000119312525235847/d87287dex41.htm" TargetMode="External"/><Relationship Id="rId73" Type="http://schemas.openxmlformats.org/officeDocument/2006/relationships/hyperlink" Target="https://www.sec.gov/Archives/edgar/data/2080019/000119312525235847/d87287dex101.htm" TargetMode="External"/><Relationship Id="rId74" Type="http://schemas.openxmlformats.org/officeDocument/2006/relationships/hyperlink" Target="https://www.sec.gov/Archives/edgar/data/2080019/000119312525235847/d87287dex102.htm" TargetMode="External"/><Relationship Id="rId75" Type="http://schemas.openxmlformats.org/officeDocument/2006/relationships/hyperlink" Target="https://www.sec.gov/Archives/edgar/data/2080019/000119312525235847/d87287dex103.htm" TargetMode="External"/><Relationship Id="rId76" Type="http://schemas.openxmlformats.org/officeDocument/2006/relationships/hyperlink" Target="https://www.sec.gov/Archives/edgar/data/2080019/000119312525235847/d87287dex10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2026-05-13T15:39:16Z</dcterms:created>
  <dcterms:modified xsi:type="dcterms:W3CDTF">2026-05-13T15:39:16Z</dcterms:modified>
</cp:coreProperties>
</file>