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GigCapital9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Lighthouse Investment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1,477,570.00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1,477,570.00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1,477,570.00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both"/>
        <w:ind w:left="1120" w:right="3059"/>
        <w:spacing w:after="0" w:line="312" w:lineRule="auto"/>
        <w:rPr>
          <w:sz w:val="20"/>
          <w:szCs w:val="20"/>
          <w:color w:val="auto"/>
        </w:rPr>
      </w:pPr>
      <w:r>
        <w:rPr>
          <w:rFonts w:ascii="Times New Roman" w:cs="Times New Roman" w:eastAsia="Times New Roman" w:hAnsi="Times New Roman"/>
          <w:sz w:val="21"/>
          <w:szCs w:val="21"/>
          <w:color w:val="auto"/>
        </w:rPr>
        <w:t>MAP 136 Segregated Portfolio, a segregated portfolio of LMA SPC 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1,477,570.00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both"/>
        <w:ind w:left="1120" w:right="3059"/>
        <w:spacing w:after="0" w:line="312" w:lineRule="auto"/>
        <w:rPr>
          <w:sz w:val="20"/>
          <w:szCs w:val="20"/>
          <w:color w:val="auto"/>
        </w:rPr>
      </w:pPr>
      <w:r>
        <w:rPr>
          <w:rFonts w:ascii="Times New Roman" w:cs="Times New Roman" w:eastAsia="Times New Roman" w:hAnsi="Times New Roman"/>
          <w:sz w:val="21"/>
          <w:szCs w:val="21"/>
          <w:color w:val="auto"/>
        </w:rPr>
        <w:t>MAP 204 Segregated Portfolio, a segregated portfolio of LMA SPC 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1,477,570.00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both"/>
        <w:ind w:left="1120" w:right="3059"/>
        <w:spacing w:after="0" w:line="312" w:lineRule="auto"/>
        <w:rPr>
          <w:sz w:val="20"/>
          <w:szCs w:val="20"/>
          <w:color w:val="auto"/>
        </w:rPr>
      </w:pPr>
      <w:r>
        <w:rPr>
          <w:rFonts w:ascii="Times New Roman" w:cs="Times New Roman" w:eastAsia="Times New Roman" w:hAnsi="Times New Roman"/>
          <w:sz w:val="21"/>
          <w:szCs w:val="21"/>
          <w:color w:val="auto"/>
        </w:rPr>
        <w:t>MAP 214 Segregated Portfolio, a segregated portfolio of LMA SPC Check the appropriate box if a member of a Group (see instructions)</w:t>
      </w:r>
    </w:p>
    <w:p>
      <w:pPr>
        <w:ind w:left="1120" w:hanging="1112"/>
        <w:spacing w:after="0" w:line="206" w:lineRule="auto"/>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1,477,570.00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both"/>
        <w:ind w:left="1120" w:right="3039"/>
        <w:spacing w:after="0" w:line="312" w:lineRule="auto"/>
        <w:rPr>
          <w:sz w:val="20"/>
          <w:szCs w:val="20"/>
          <w:color w:val="auto"/>
        </w:rPr>
      </w:pPr>
      <w:r>
        <w:rPr>
          <w:rFonts w:ascii="Times New Roman" w:cs="Times New Roman" w:eastAsia="Times New Roman" w:hAnsi="Times New Roman"/>
          <w:sz w:val="21"/>
          <w:szCs w:val="21"/>
          <w:color w:val="auto"/>
        </w:rPr>
        <w:t>Shaolin Capital Partners SP, a segregated portfolio of PW MAP SPC Check the appropriate box if a member of a Group (see instructions)</w:t>
      </w:r>
    </w:p>
    <w:p>
      <w:pPr>
        <w:ind w:left="1120" w:hanging="1112"/>
        <w:spacing w:after="0" w:line="206" w:lineRule="auto"/>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1,477,570.00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1,477,570.00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1,477,570.00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Eagle Harbor Multi-Strategy Master Fund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1,477,570.00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1,477,570.00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099"/>
          </w:cols>
          <w:pgMar w:left="360" w:top="355" w:right="1440"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GigCapital9 Corp.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each of the following persons (collectively, the "Reporting Persons") 1. Lighthouse Investment Partners, LLC ("Lighthouse") 2. MAP 136 Segregated Portfolio, a segregated portfolio of LMA SPC ("MAP 136") 3. MAP 214 Segregated Portfolio, a segregated portfolio of LMA SPC ("MAP 214") 4. MAP 204 Segregated Portfolio, a segregated portfolio of LMA SPC ("MAP 204") 5. Eagle Harbor Multi-Strategy Master Fund Limited ("Eagle Harbor") 6. Shaolin Capital Partners SP, a segregated portfolio of PW MAP SPC</w:t>
      </w:r>
    </w:p>
    <w:p>
      <w:pPr>
        <w:spacing w:after="0" w:line="1" w:lineRule="exact"/>
        <w:rPr>
          <w:sz w:val="20"/>
          <w:szCs w:val="20"/>
          <w:color w:val="auto"/>
        </w:rPr>
      </w:pPr>
    </w:p>
    <w:p>
      <w:pPr>
        <w:jc w:val="both"/>
        <w:ind w:left="920" w:right="200" w:hanging="912"/>
        <w:spacing w:after="0" w:line="181"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("Shaolin") This Statement relates to the Issuer's shares of common stock ("Shares") directly beneficially owned by MAP 136, MAP 204, MAP 214, Shaolin, and Eagle Harbor. Lighthouse serves as the investment manager of MAP 136, MAP 204 and MAP 214. Lighthouse serves as the platform services provider for Shaolin and Eagle Harbor.</w:t>
      </w:r>
    </w:p>
    <w:p>
      <w:pPr>
        <w:ind w:left="920" w:right="100"/>
        <w:spacing w:after="0" w:line="232"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Because Lighthouse may be deemed to control MAP 136, MAP 204, MAP 214, Shaolin, Eagle Harbor, and Lighthouse may be deemed to beneficially own, and to have the power to vote or direct the vote of, and the power to direct the disposition of the Issuer's Shares reported herein. In accordance with SEC Release No. 34-39538 (January 12, 1998), this Statement does not include securities, if any, beneficially owned by other subsidiaries, affiliates or business units of Lighthouse whose beneficial ownership of securities is disaggregated from that of the Reporting Persons in accordance with such release.</w:t>
      </w:r>
    </w:p>
    <w:p>
      <w:pPr>
        <w:spacing w:after="0" w:line="20"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hanging="912"/>
        <w:spacing w:after="0" w:line="256"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Lighthouse: 3801 PGA Boulevard, Suite 604, Palm Beach Gardens, FL 33410 MAP 136, MAP 204, &amp; MAP 214: c/o Walkers Corporate Limited, 190 Elgin Avenue, George Town, Grand Cayman KY1-9008, Cayman Islands Shaolin &amp; Eagle Harbor: Ugland House, 121 South Church Street, George Town, Grand Cayman, KY1-1104, Cayman Islands Citizenship:</w:t>
      </w:r>
    </w:p>
    <w:p>
      <w:pPr>
        <w:spacing w:after="0" w:line="189" w:lineRule="exact"/>
        <w:rPr>
          <w:rFonts w:ascii="Times New Roman" w:cs="Times New Roman" w:eastAsia="Times New Roman" w:hAnsi="Times New Roman"/>
          <w:sz w:val="22"/>
          <w:szCs w:val="22"/>
          <w:color w:val="auto"/>
        </w:rPr>
      </w:pPr>
    </w:p>
    <w:p>
      <w:pPr>
        <w:jc w:val="both"/>
        <w:ind w:left="920" w:right="6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Lighthouse is a Delaware limited liability company. MAP 136, MAP 204, and MAP 214 are all segregated portfolios of LMA SPC, a Cayman Islands segregated portfolio company. Shaolin is a segregated portfolio of PW MAP SPC, a Cayman Islands segregated portfolio company. Eagle Harbor is a Cayman Islands exempt company.</w:t>
      </w:r>
    </w:p>
    <w:p>
      <w:pPr>
        <w:sectPr>
          <w:pgSz w:w="11900" w:h="16838" w:orient="portrait"/>
          <w:cols w:equalWidth="0" w:num="1">
            <w:col w:w="11100"/>
          </w:cols>
          <w:pgMar w:left="360" w:top="111" w:right="43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1" w:right="43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As of March 31, 2026, Lighthouse, MAP 136, MAP 204, MAP 214, Shaolin, and Eagle Harbor may be deemed the beneficial owners of 1,477,570 Shares.</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0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As of March 31, 2026, Lighthouse, MAP 136, MAP 204, MAP 214, Shaolin, and Eagle Harbor may be deemed the beneficial owners 5.75% of Shares.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11" w:right="43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1,477,570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1,477,570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Lighthouse Investment Partners, LLC</w:t>
      </w:r>
    </w:p>
    <w:p>
      <w:pPr>
        <w:spacing w:after="0" w:line="152"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P. Swan</w:t>
      </w:r>
    </w:p>
    <w:p>
      <w:pPr>
        <w:spacing w:after="0" w:line="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Name/Title: Robert P. Swan, Vice President</w:t>
      </w:r>
    </w:p>
    <w:p>
      <w:pPr>
        <w:spacing w:after="0" w:line="44" w:lineRule="exact"/>
        <w:rPr>
          <w:sz w:val="20"/>
          <w:szCs w:val="20"/>
          <w:color w:val="auto"/>
        </w:rPr>
      </w:pPr>
    </w:p>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MAP 136 Segregated Portfolio, a segregated portfolio of LMA</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SPC</w:t>
      </w:r>
    </w:p>
    <w:p>
      <w:pPr>
        <w:spacing w:after="0" w:line="128"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P. Swan</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Robert P. Swan, Director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MAP 204 Segregated Portfolio, a segregated portfolio of LMA</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SPC</w:t>
      </w:r>
    </w:p>
    <w:p>
      <w:pPr>
        <w:spacing w:after="0" w:line="128"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P. Swan</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Robert P. Swan, Director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MAP 214 Segregated Portfolio, a segregated portfolio of LMA</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SPC</w:t>
      </w:r>
    </w:p>
    <w:p>
      <w:pPr>
        <w:spacing w:after="0" w:line="128"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P. Swan</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Robert P. Swan, Director</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3" w:lineRule="exact"/>
        <w:rPr>
          <w:sz w:val="20"/>
          <w:szCs w:val="20"/>
          <w:color w:val="auto"/>
        </w:rPr>
      </w:pPr>
    </w:p>
    <w:p>
      <w:pPr>
        <w:ind w:left="4580"/>
        <w:spacing w:after="0" w:line="258" w:lineRule="auto"/>
        <w:rPr>
          <w:sz w:val="20"/>
          <w:szCs w:val="20"/>
          <w:color w:val="auto"/>
        </w:rPr>
      </w:pPr>
      <w:r>
        <w:rPr>
          <w:rFonts w:ascii="Times New Roman" w:cs="Times New Roman" w:eastAsia="Times New Roman" w:hAnsi="Times New Roman"/>
          <w:sz w:val="22"/>
          <w:szCs w:val="22"/>
          <w:color w:val="auto"/>
        </w:rPr>
        <w:t>Shaolin Capital Partners SP, a segregated portfolio of PW MAP SPC</w:t>
      </w:r>
    </w:p>
    <w:p>
      <w:pPr>
        <w:spacing w:after="0" w:line="10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P. Swan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Robert P. Swan, Vice President of Platform</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Service Provider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Eagle Harbor Multi-Strategy Master Fund Limited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P. Swan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Robert P. Swan, Vice President of Platform</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Service Provider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540"/>
      </w:cols>
      <w:pgMar w:left="1440" w:top="11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1"/>
      <w:numFmt w:val="decimal"/>
      <w:start w:val="12"/>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2026-05-14T09:44:42Z</dcterms:created>
  <dcterms:modified xsi:type="dcterms:W3CDTF">2026-05-14T09:44:42Z</dcterms:modified>
</cp:coreProperties>
</file>