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Registration No. 333-294705</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April 3,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QT IMAGING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$9,999,920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1,200,000 Shares of 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Pre-Funded Warrants to Purchase up to 800,000 Shares of Common Stock</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800,000 Shares of Common Stock Underlying the Pre-Funded Warrants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are offering $9,999,920 of shares of our common stock, par value $0.0001 per share, or common stock, and, in lieu of shares of common stock to investors that so choose, pre-funded warrants to purchase up to 800,000 shares of our common stock, or the pre-funded warrants (and the shares of common stock issuable from time to time upon exercise of the pre-funded warrants), pursuant to this prospectus supplement and the accompanying prospectus. The pre-funded warrants will be exercisable immediately and each pre-funded warrant is exercisable for one share of our common stock. The purchase price of each pre-funded warrant is equal to the purchase price at which a share of our common stock is sold in this offering, minus $0.0001, and the exercise price of each pre-funded warrant is $0.0001 per share of our common stock. The shares of common stock, the pre-funded warrants, and shares of common stock underlying the pre-funded warrants, are sometimes collectively referred to herein as the “securities” in this prospectus supplement.</w:t>
      </w:r>
    </w:p>
    <w:p>
      <w:pPr>
        <w:pStyle w:val="TextBody"/>
        <w:bidi w:val="0"/>
        <w:spacing w:lineRule="auto" w:line="288" w:before="0" w:after="180"/>
        <w:jc w:val="left"/>
        <w:rPr/>
      </w:pPr>
      <w:r>
        <w:rPr>
          <w:rFonts w:ascii="Times New Roman;serif" w:hAnsi="Times New Roman;serif"/>
          <w:b w:val="false"/>
          <w:color w:val="000000"/>
          <w:sz w:val="18"/>
        </w:rPr>
        <w:t>Our common stock is listed on the Nasdaq Stock Market LLC (“</w:t>
      </w:r>
      <w:r>
        <w:rPr>
          <w:rFonts w:ascii="Times New Roman;serif" w:hAnsi="Times New Roman;serif"/>
          <w:b/>
          <w:i/>
          <w:color w:val="000000"/>
          <w:sz w:val="18"/>
        </w:rPr>
        <w:t>Nasdaq</w:t>
      </w:r>
      <w:r>
        <w:rPr>
          <w:color w:val="000000"/>
        </w:rPr>
        <w:t>”</w:t>
      </w:r>
      <w:r>
        <w:rPr>
          <w:rFonts w:ascii="Times New Roman;serif" w:hAnsi="Times New Roman;serif"/>
          <w:b w:val="false"/>
          <w:color w:val="000000"/>
          <w:sz w:val="18"/>
        </w:rPr>
        <w:t xml:space="preserve">) under the symbol “QTI” </w:t>
      </w:r>
      <w:r>
        <w:rPr>
          <w:rFonts w:ascii="Times New Roman;serif" w:hAnsi="Times New Roman;serif"/>
          <w:b w:val="false"/>
          <w:color w:val="000000"/>
          <w:sz w:val="18"/>
          <w:shd w:fill="FFFFFF" w:val="clear"/>
        </w:rPr>
        <w:t>and our public warrants are traded in the over-the-counter (OTC) market under the symbol “QTIWW”.</w:t>
      </w:r>
      <w:r>
        <w:rPr>
          <w:color w:val="000000"/>
        </w:rPr>
        <w:t xml:space="preserve"> </w:t>
      </w:r>
      <w:r>
        <w:rPr>
          <w:rFonts w:ascii="Times New Roman;serif" w:hAnsi="Times New Roman;serif"/>
          <w:b w:val="false"/>
          <w:color w:val="000000"/>
          <w:sz w:val="18"/>
          <w:shd w:fill="FFFFFF" w:val="clear"/>
        </w:rPr>
        <w:t>On May 14, 2026, the closing price of our common stock was $6.72, and on Ma</w:t>
      </w:r>
      <w:r>
        <w:rPr>
          <w:rFonts w:ascii="Times New Roman;serif" w:hAnsi="Times New Roman;serif"/>
          <w:b w:val="false"/>
          <w:color w:val="000000"/>
          <w:sz w:val="18"/>
        </w:rPr>
        <w:t>y 14, 2026, the closing price for our public warran</w:t>
      </w:r>
      <w:r>
        <w:rPr>
          <w:rFonts w:ascii="Times New Roman;serif" w:hAnsi="Times New Roman;serif"/>
          <w:b w:val="false"/>
          <w:color w:val="000000"/>
          <w:sz w:val="18"/>
          <w:shd w:fill="FFFFFF" w:val="clear"/>
        </w:rPr>
        <w:t xml:space="preserve">ts was $0.27. </w:t>
      </w:r>
      <w:r>
        <w:rPr>
          <w:rFonts w:ascii="Times New Roman;serif" w:hAnsi="Times New Roman;serif"/>
          <w:b w:val="false"/>
          <w:color w:val="000000"/>
          <w:sz w:val="18"/>
        </w:rPr>
        <w:t>There is no established public trading market for the pre-funded warrants, and we do not expect a market to develop. In addition, we do not intend to apply for listing of the pre-funded warrants on any securities exchange or recognized trading system.</w:t>
      </w:r>
    </w:p>
    <w:p>
      <w:pPr>
        <w:pStyle w:val="TextBody"/>
        <w:bidi w:val="0"/>
        <w:spacing w:lineRule="auto" w:line="288" w:before="0" w:after="0"/>
        <w:jc w:val="left"/>
        <w:rPr/>
      </w:pPr>
      <w:r>
        <w:rPr>
          <w:rFonts w:ascii="Times New Roman;serif" w:hAnsi="Times New Roman;serif"/>
          <w:b w:val="false"/>
          <w:color w:val="000000"/>
          <w:sz w:val="18"/>
          <w:shd w:fill="FFFFFF" w:val="clear"/>
        </w:rPr>
        <w:t>We are an “emerging growth company” as defined in Section 2(a) of the Securities Act of 1933, as amended (the “</w:t>
      </w:r>
      <w:r>
        <w:rPr>
          <w:rFonts w:ascii="Times New Roman;serif" w:hAnsi="Times New Roman;serif"/>
          <w:b/>
          <w:i/>
          <w:color w:val="000000"/>
          <w:sz w:val="18"/>
          <w:shd w:fill="FFFFFF" w:val="clear"/>
        </w:rPr>
        <w:t>Securities Act</w:t>
      </w:r>
      <w:r>
        <w:rPr>
          <w:color w:val="000000"/>
          <w:shd w:fill="FFFFFF" w:val="clear"/>
        </w:rPr>
        <w:t>”</w:t>
      </w:r>
      <w:r>
        <w:rPr>
          <w:rFonts w:ascii="Times New Roman;serif" w:hAnsi="Times New Roman;serif"/>
          <w:b w:val="false"/>
          <w:color w:val="000000"/>
          <w:sz w:val="18"/>
          <w:shd w:fill="FFFFFF" w:val="clear"/>
        </w:rPr>
        <w:t>), and a “smaller reporting company” as defined in Item 10(f)(1) of Regulation S-K of the U.S. Securities and Exchange Commission (the “</w:t>
      </w:r>
      <w:r>
        <w:rPr>
          <w:rFonts w:ascii="Times New Roman;serif" w:hAnsi="Times New Roman;serif"/>
          <w:b/>
          <w:i/>
          <w:color w:val="000000"/>
          <w:sz w:val="18"/>
          <w:shd w:fill="FFFFFF" w:val="clear"/>
        </w:rPr>
        <w:t>SEC</w:t>
      </w:r>
      <w:r>
        <w:rPr>
          <w:color w:val="000000"/>
          <w:shd w:fill="FFFFFF" w:val="clear"/>
        </w:rPr>
        <w:t>”</w:t>
      </w:r>
      <w:r>
        <w:rPr>
          <w:rFonts w:ascii="Times New Roman;serif" w:hAnsi="Times New Roman;serif"/>
          <w:b w:val="false"/>
          <w:color w:val="000000"/>
          <w:sz w:val="18"/>
          <w:shd w:fill="FFFFFF" w:val="clear"/>
        </w:rPr>
        <w:t>), and are subject to reduced public company reporting requirements. This prospectus supplement complies with the requirements that apply to an issuer that is an emerging growth company.</w:t>
      </w:r>
    </w:p>
    <w:tbl>
      <w:tblPr>
        <w:tblW w:w="8099" w:type="dxa"/>
        <w:jc w:val="left"/>
        <w:tblInd w:w="0" w:type="dxa"/>
        <w:tblLayout w:type="fixed"/>
        <w:tblCellMar>
          <w:top w:w="28" w:type="dxa"/>
          <w:left w:w="28" w:type="dxa"/>
          <w:bottom w:w="28" w:type="dxa"/>
          <w:right w:w="28" w:type="dxa"/>
        </w:tblCellMar>
      </w:tblPr>
      <w:tblGrid>
        <w:gridCol w:w="1167"/>
        <w:gridCol w:w="1026"/>
        <w:gridCol w:w="1032"/>
        <w:gridCol w:w="209"/>
        <w:gridCol w:w="499"/>
        <w:gridCol w:w="116"/>
        <w:gridCol w:w="109"/>
        <w:gridCol w:w="109"/>
        <w:gridCol w:w="109"/>
        <w:gridCol w:w="338"/>
        <w:gridCol w:w="1424"/>
        <w:gridCol w:w="188"/>
        <w:gridCol w:w="109"/>
        <w:gridCol w:w="109"/>
        <w:gridCol w:w="109"/>
        <w:gridCol w:w="196"/>
        <w:gridCol w:w="109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Pre-Funded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offering price</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4.999900 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9,999,920.00 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Underwriting discounts and commissions</w:t>
            </w:r>
            <w:r>
              <w:rPr>
                <w:rFonts w:ascii="Times New Roman;serif" w:hAnsi="Times New Roman;serif"/>
                <w:b w:val="false"/>
                <w:color w:val="000000"/>
                <w:sz w:val="12"/>
              </w:rPr>
              <w:t>(1)</w:t>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0.349993 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699,994.40 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to us, before expenses</w:t>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4.649907 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9,299,925.60 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(1)See “Underwriting” for a description of the compensation payable to the underwriters.</w:t>
      </w:r>
    </w:p>
    <w:p>
      <w:pPr>
        <w:pStyle w:val="TextBody"/>
        <w:bidi w:val="0"/>
        <w:spacing w:lineRule="auto" w:line="288" w:before="0" w:after="180"/>
        <w:jc w:val="left"/>
        <w:rPr/>
      </w:pPr>
      <w:r>
        <w:rPr>
          <w:rFonts w:ascii="Times New Roman;serif" w:hAnsi="Times New Roman;serif"/>
          <w:b/>
          <w:color w:val="000000"/>
          <w:sz w:val="18"/>
        </w:rPr>
        <w:t>Investing in our securities involves a high degree of risk. See “</w:t>
      </w:r>
      <w:hyperlink w:anchor="i838b248095ae467db1c92dee7144296d_865">
        <w:r>
          <w:rPr>
            <w:rStyle w:val="InternetLink"/>
            <w:rFonts w:ascii="Times New Roman;serif" w:hAnsi="Times New Roman;serif"/>
            <w:b/>
            <w:color w:val="0000FF"/>
            <w:sz w:val="18"/>
            <w:u w:val="single"/>
          </w:rPr>
          <w:t>Risk Factors</w:t>
        </w:r>
      </w:hyperlink>
      <w:r>
        <w:rPr>
          <w:color w:val="000000"/>
        </w:rPr>
        <w:t xml:space="preserve">” </w:t>
      </w:r>
      <w:r>
        <w:rPr>
          <w:rFonts w:ascii="Times New Roman;serif" w:hAnsi="Times New Roman;serif"/>
          <w:b/>
          <w:color w:val="000000"/>
          <w:sz w:val="18"/>
        </w:rPr>
        <w:t xml:space="preserve">beginning on page </w:t>
      </w:r>
      <w:hyperlink w:anchor="i838b248095ae467db1c92dee7144296d_865">
        <w:r>
          <w:rPr>
            <w:rStyle w:val="InternetLink"/>
            <w:rFonts w:ascii="Times New Roman;serif" w:hAnsi="Times New Roman;serif"/>
            <w:b/>
            <w:strike w:val="false"/>
            <w:dstrike w:val="false"/>
            <w:color w:val="000000"/>
            <w:sz w:val="18"/>
            <w:u w:val="none"/>
            <w:effect w:val="none"/>
          </w:rPr>
          <w:t>S-12</w:t>
        </w:r>
      </w:hyperlink>
      <w:r>
        <w:rPr>
          <w:rFonts w:ascii="Times New Roman;serif" w:hAnsi="Times New Roman;serif"/>
          <w:b/>
          <w:color w:val="000000"/>
          <w:sz w:val="18"/>
        </w:rPr>
        <w:t xml:space="preserve"> of this prospectus supplement and page </w:t>
      </w:r>
      <w:hyperlink w:anchor="i838b248095ae467db1c92dee7144296d_22">
        <w:r>
          <w:rPr>
            <w:rStyle w:val="InternetLink"/>
            <w:rFonts w:ascii="Times New Roman;serif" w:hAnsi="Times New Roman;serif"/>
            <w:b/>
            <w:strike w:val="false"/>
            <w:dstrike w:val="false"/>
            <w:color w:val="000000"/>
            <w:sz w:val="18"/>
            <w:u w:val="none"/>
            <w:effect w:val="none"/>
          </w:rPr>
          <w:t>8</w:t>
        </w:r>
      </w:hyperlink>
      <w:r>
        <w:rPr>
          <w:rFonts w:ascii="Times New Roman;serif" w:hAnsi="Times New Roman;serif"/>
          <w:b/>
          <w:color w:val="000000"/>
          <w:sz w:val="18"/>
        </w:rPr>
        <w:t xml:space="preserve"> of the accompanying prospectus, and in the documents incorporated by reference herein. You should read the entire prospectus supplement and the accompanying prospectus, including any information incorporated by reference, carefully, before investing in our securities.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underwriters expect to deliver the shares of common stock and pre-funded warrants to purchasers on or about May 18, 2026.</w:t>
      </w:r>
    </w:p>
    <w:tbl>
      <w:tblPr>
        <w:tblW w:w="3899" w:type="dxa"/>
        <w:jc w:val="left"/>
        <w:tblInd w:w="0" w:type="dxa"/>
        <w:tblLayout w:type="fixed"/>
        <w:tblCellMar>
          <w:top w:w="28" w:type="dxa"/>
          <w:left w:w="28" w:type="dxa"/>
          <w:bottom w:w="28" w:type="dxa"/>
          <w:right w:w="28" w:type="dxa"/>
        </w:tblCellMar>
      </w:tblPr>
      <w:tblGrid>
        <w:gridCol w:w="1249"/>
        <w:gridCol w:w="1098"/>
        <w:gridCol w:w="1552"/>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Sole Book-Running Manager</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Ladenburg Thalmann</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Co-Manager</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2"/>
              </w:rPr>
            </w:pPr>
            <w:r>
              <w:rPr>
                <w:rFonts w:ascii="Times New Roman;serif" w:hAnsi="Times New Roman;serif"/>
                <w:b/>
                <w:color w:val="000000"/>
                <w:sz w:val="32"/>
              </w:rPr>
              <w:t>Northland Capital Markets</w:t>
            </w:r>
          </w:p>
        </w:tc>
      </w:tr>
    </w:tbl>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Prospectus Supplement dated May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6854" w:type="dxa"/>
        <w:jc w:val="left"/>
        <w:tblInd w:w="0" w:type="dxa"/>
        <w:tblLayout w:type="fixed"/>
        <w:tblCellMar>
          <w:top w:w="28" w:type="dxa"/>
          <w:left w:w="28" w:type="dxa"/>
          <w:bottom w:w="28" w:type="dxa"/>
          <w:right w:w="28" w:type="dxa"/>
        </w:tblCellMar>
      </w:tblPr>
      <w:tblGrid>
        <w:gridCol w:w="2294"/>
        <w:gridCol w:w="2016"/>
        <w:gridCol w:w="2019"/>
        <w:gridCol w:w="153"/>
        <w:gridCol w:w="153"/>
        <w:gridCol w:w="219"/>
      </w:tblGrid>
      <w:tr>
        <w:trPr/>
        <w:tc>
          <w:tcPr>
            <w:tcW w:w="229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941">
              <w:r>
                <w:rPr>
                  <w:rStyle w:val="InternetLink"/>
                  <w:rFonts w:ascii="Times New Roman;serif" w:hAnsi="Times New Roman;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941">
              <w:r>
                <w:rPr>
                  <w:rStyle w:val="InternetLink"/>
                  <w:rFonts w:ascii="Times New Roman;serif" w:hAnsi="Times New Roman;serif"/>
                  <w:b w:val="false"/>
                  <w:color w:val="0000FF"/>
                  <w:sz w:val="20"/>
                  <w:u w:val="single"/>
                </w:rPr>
                <w:t>S-1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922">
              <w:r>
                <w:rPr>
                  <w:rStyle w:val="InternetLink"/>
                  <w:rFonts w:ascii="Times New Roman;serif" w:hAnsi="Times New Roman;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922">
              <w:r>
                <w:rPr>
                  <w:rStyle w:val="InternetLink"/>
                  <w:rFonts w:ascii="Times New Roman;serif" w:hAnsi="Times New Roman;serif"/>
                  <w:b w:val="false"/>
                  <w:color w:val="0000FF"/>
                  <w:sz w:val="20"/>
                  <w:u w:val="single"/>
                </w:rPr>
                <w:t>S-3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90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903">
              <w:r>
                <w:rPr>
                  <w:rStyle w:val="InternetLink"/>
                  <w:rFonts w:ascii="Times New Roman;serif" w:hAnsi="Times New Roman;serif"/>
                  <w:b w:val="false"/>
                  <w:color w:val="0000FF"/>
                  <w:sz w:val="20"/>
                  <w:u w:val="single"/>
                </w:rPr>
                <w:t>S-5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884">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884">
              <w:r>
                <w:rPr>
                  <w:rStyle w:val="InternetLink"/>
                  <w:rFonts w:ascii="Times New Roman;serif" w:hAnsi="Times New Roman;serif"/>
                  <w:b w:val="false"/>
                  <w:color w:val="0000FF"/>
                  <w:sz w:val="20"/>
                  <w:u w:val="single"/>
                </w:rPr>
                <w:t>S-10</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865">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865">
              <w:r>
                <w:rPr>
                  <w:rStyle w:val="InternetLink"/>
                  <w:rFonts w:ascii="Times New Roman;serif" w:hAnsi="Times New Roman;serif"/>
                  <w:b w:val="false"/>
                  <w:color w:val="0000FF"/>
                  <w:sz w:val="20"/>
                  <w:u w:val="single"/>
                </w:rPr>
                <w:t>S-12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845">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845">
              <w:r>
                <w:rPr>
                  <w:rStyle w:val="InternetLink"/>
                  <w:rFonts w:ascii="Times New Roman;serif" w:hAnsi="Times New Roman;serif"/>
                  <w:b w:val="false"/>
                  <w:color w:val="0000FF"/>
                  <w:sz w:val="20"/>
                  <w:u w:val="single"/>
                </w:rPr>
                <w:t>S-15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826">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826">
              <w:r>
                <w:rPr>
                  <w:rStyle w:val="InternetLink"/>
                  <w:rFonts w:ascii="Times New Roman;serif" w:hAnsi="Times New Roman;serif"/>
                  <w:b w:val="false"/>
                  <w:color w:val="0000FF"/>
                  <w:sz w:val="20"/>
                  <w:u w:val="single"/>
                </w:rPr>
                <w:t>S-16</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807">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807">
              <w:r>
                <w:rPr>
                  <w:rStyle w:val="InternetLink"/>
                  <w:rFonts w:ascii="Times New Roman;serif" w:hAnsi="Times New Roman;serif"/>
                  <w:b w:val="false"/>
                  <w:color w:val="0000FF"/>
                  <w:sz w:val="20"/>
                  <w:u w:val="single"/>
                </w:rPr>
                <w:t>S-18</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788">
              <w:r>
                <w:rPr>
                  <w:rStyle w:val="InternetLink"/>
                  <w:rFonts w:ascii="Times New Roman;serif" w:hAnsi="Times New Roman;serif"/>
                  <w:b w:val="false"/>
                  <w:color w:val="0000FF"/>
                  <w:sz w:val="20"/>
                  <w:u w:val="single"/>
                </w:rPr>
                <w:t>DESCRIPTION OF PRE-FUNDED WARRANTS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788">
              <w:r>
                <w:rPr>
                  <w:rStyle w:val="InternetLink"/>
                  <w:rFonts w:ascii="Times New Roman;serif" w:hAnsi="Times New Roman;serif"/>
                  <w:b w:val="false"/>
                  <w:color w:val="0000FF"/>
                  <w:sz w:val="20"/>
                  <w:u w:val="single"/>
                </w:rPr>
                <w:t>S-19</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769">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769">
              <w:r>
                <w:rPr>
                  <w:rStyle w:val="InternetLink"/>
                  <w:rFonts w:ascii="Times New Roman;serif" w:hAnsi="Times New Roman;serif"/>
                  <w:b w:val="false"/>
                  <w:color w:val="0000FF"/>
                  <w:sz w:val="20"/>
                  <w:u w:val="single"/>
                </w:rPr>
                <w:t>S-21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750">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750">
              <w:r>
                <w:rPr>
                  <w:rStyle w:val="InternetLink"/>
                  <w:rFonts w:ascii="Times New Roman;serif" w:hAnsi="Times New Roman;serif"/>
                  <w:b w:val="false"/>
                  <w:color w:val="0000FF"/>
                  <w:sz w:val="20"/>
                  <w:u w:val="single"/>
                </w:rPr>
                <w:t>S-24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731">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731">
              <w:r>
                <w:rPr>
                  <w:rStyle w:val="InternetLink"/>
                  <w:rFonts w:ascii="Times New Roman;serif" w:hAnsi="Times New Roman;serif"/>
                  <w:b w:val="false"/>
                  <w:color w:val="0000FF"/>
                  <w:sz w:val="20"/>
                  <w:u w:val="single"/>
                </w:rPr>
                <w:t>S-24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712">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712">
              <w:r>
                <w:rPr>
                  <w:rStyle w:val="InternetLink"/>
                  <w:rFonts w:ascii="Times New Roman;serif" w:hAnsi="Times New Roman;serif"/>
                  <w:b w:val="false"/>
                  <w:color w:val="0000FF"/>
                  <w:sz w:val="20"/>
                  <w:u w:val="single"/>
                </w:rPr>
                <w:t>S-24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693">
              <w:r>
                <w:rPr>
                  <w:rStyle w:val="InternetLink"/>
                  <w:rFonts w:ascii="Times New Roman;serif" w:hAnsi="Times New Roman;serif"/>
                  <w:b w:val="false"/>
                  <w:color w:val="0000FF"/>
                  <w:sz w:val="20"/>
                  <w:u w:val="single"/>
                </w:rPr>
                <w:t>INFORMATION INCORPORATED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693">
              <w:r>
                <w:rPr>
                  <w:rStyle w:val="InternetLink"/>
                  <w:rFonts w:ascii="Times New Roman;serif" w:hAnsi="Times New Roman;serif"/>
                  <w:b w:val="false"/>
                  <w:color w:val="0000FF"/>
                  <w:sz w:val="20"/>
                  <w:u w:val="single"/>
                </w:rPr>
                <w:t>S-25</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8056" w:type="dxa"/>
        <w:jc w:val="left"/>
        <w:tblInd w:w="0" w:type="dxa"/>
        <w:tblLayout w:type="fixed"/>
        <w:tblCellMar>
          <w:top w:w="28" w:type="dxa"/>
          <w:left w:w="28" w:type="dxa"/>
          <w:bottom w:w="28" w:type="dxa"/>
          <w:right w:w="28" w:type="dxa"/>
        </w:tblCellMar>
      </w:tblPr>
      <w:tblGrid>
        <w:gridCol w:w="2731"/>
        <w:gridCol w:w="2404"/>
        <w:gridCol w:w="2410"/>
        <w:gridCol w:w="149"/>
        <w:gridCol w:w="149"/>
        <w:gridCol w:w="213"/>
      </w:tblGrid>
      <w:tr>
        <w:trPr/>
        <w:tc>
          <w:tcPr>
            <w:tcW w:w="2731"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13">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3">
              <w:r>
                <w:rPr>
                  <w:rStyle w:val="InternetLink"/>
                  <w:rFonts w:ascii="Times New Roman;serif" w:hAnsi="Times New Roman;serif"/>
                  <w:b w:val="false"/>
                  <w:color w:val="0000FF"/>
                  <w:sz w:val="20"/>
                  <w:u w:val="single"/>
                </w:rPr>
                <w:t>1</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16">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6">
              <w:r>
                <w:rPr>
                  <w:rStyle w:val="InternetLink"/>
                  <w:rFonts w:ascii="Times New Roman;serif" w:hAnsi="Times New Roman;serif"/>
                  <w:b w:val="false"/>
                  <w:color w:val="0000FF"/>
                  <w:sz w:val="20"/>
                  <w:u w:val="single"/>
                </w:rPr>
                <w:t>2</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19">
              <w:r>
                <w:rPr>
                  <w:rStyle w:val="InternetLink"/>
                  <w:rFonts w:ascii="Times New Roman;serif" w:hAnsi="Times New Roman;serif"/>
                  <w:b w:val="false"/>
                  <w:color w:val="0000FF"/>
                  <w:sz w:val="20"/>
                  <w:u w:val="single"/>
                </w:rPr>
                <w:t>OUR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9">
              <w:r>
                <w:rPr>
                  <w:rStyle w:val="InternetLink"/>
                  <w:rFonts w:ascii="Times New Roman;serif" w:hAnsi="Times New Roman;serif"/>
                  <w:b w:val="false"/>
                  <w:color w:val="0000FF"/>
                  <w:sz w:val="20"/>
                  <w:u w:val="single"/>
                </w:rPr>
                <w:t>4</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2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2">
              <w:r>
                <w:rPr>
                  <w:rStyle w:val="InternetLink"/>
                  <w:rFonts w:ascii="Times New Roman;serif" w:hAnsi="Times New Roman;serif"/>
                  <w:b w:val="false"/>
                  <w:color w:val="0000FF"/>
                  <w:sz w:val="20"/>
                  <w:u w:val="single"/>
                </w:rPr>
                <w:t>8</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25">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5">
              <w:r>
                <w:rPr>
                  <w:rStyle w:val="InternetLink"/>
                  <w:rFonts w:ascii="Times New Roman;serif" w:hAnsi="Times New Roman;serif"/>
                  <w:b w:val="false"/>
                  <w:color w:val="0000FF"/>
                  <w:sz w:val="20"/>
                  <w:u w:val="single"/>
                </w:rPr>
                <w:t>9</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28">
              <w:r>
                <w:rPr>
                  <w:rStyle w:val="InternetLink"/>
                  <w:rFonts w:ascii="Times New Roman;serif" w:hAnsi="Times New Roman;serif"/>
                  <w:b w:val="false"/>
                  <w:color w:val="0000FF"/>
                  <w:sz w:val="20"/>
                  <w:u w:val="single"/>
                </w:rPr>
                <w:t>SECURITIES WE MAY OFFER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8">
              <w:r>
                <w:rPr>
                  <w:rStyle w:val="InternetLink"/>
                  <w:rFonts w:ascii="Times New Roman;serif" w:hAnsi="Times New Roman;serif"/>
                  <w:b w:val="false"/>
                  <w:color w:val="0000FF"/>
                  <w:sz w:val="20"/>
                  <w:u w:val="single"/>
                </w:rPr>
                <w:t>10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31">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1">
              <w:r>
                <w:rPr>
                  <w:rStyle w:val="InternetLink"/>
                  <w:rFonts w:ascii="Times New Roman;serif" w:hAnsi="Times New Roman;serif"/>
                  <w:b w:val="false"/>
                  <w:color w:val="0000FF"/>
                  <w:sz w:val="20"/>
                  <w:u w:val="single"/>
                </w:rPr>
                <w:t>11</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34">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4">
              <w:r>
                <w:rPr>
                  <w:rStyle w:val="InternetLink"/>
                  <w:rFonts w:ascii="Times New Roman;serif" w:hAnsi="Times New Roman;serif"/>
                  <w:b w:val="false"/>
                  <w:color w:val="0000FF"/>
                  <w:sz w:val="20"/>
                  <w:u w:val="single"/>
                </w:rPr>
                <w:t>16</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37">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7">
              <w:r>
                <w:rPr>
                  <w:rStyle w:val="InternetLink"/>
                  <w:rFonts w:ascii="Times New Roman;serif" w:hAnsi="Times New Roman;serif"/>
                  <w:b w:val="false"/>
                  <w:color w:val="0000FF"/>
                  <w:sz w:val="20"/>
                  <w:u w:val="single"/>
                </w:rPr>
                <w:t>23</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40">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0">
              <w:r>
                <w:rPr>
                  <w:rStyle w:val="InternetLink"/>
                  <w:rFonts w:ascii="Times New Roman;serif" w:hAnsi="Times New Roman;serif"/>
                  <w:b w:val="false"/>
                  <w:color w:val="0000FF"/>
                  <w:sz w:val="20"/>
                  <w:u w:val="single"/>
                </w:rPr>
                <w:t>30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43">
              <w:r>
                <w:rPr>
                  <w:rStyle w:val="InternetLink"/>
                  <w:rFonts w:ascii="Times New Roman;serif" w:hAnsi="Times New Roman;serif"/>
                  <w:b w:val="false"/>
                  <w:color w:val="0000FF"/>
                  <w:sz w:val="20"/>
                  <w:u w:val="single"/>
                </w:rPr>
                <w:t>MATERIAL U.S. FEDERAL INCOME TAX CONSIDERATIONS FOR NON-U.S.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3">
              <w:r>
                <w:rPr>
                  <w:rStyle w:val="InternetLink"/>
                  <w:rFonts w:ascii="Times New Roman;serif" w:hAnsi="Times New Roman;serif"/>
                  <w:b w:val="false"/>
                  <w:color w:val="0000FF"/>
                  <w:sz w:val="20"/>
                  <w:u w:val="single"/>
                </w:rPr>
                <w:t>33</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4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6">
              <w:r>
                <w:rPr>
                  <w:rStyle w:val="InternetLink"/>
                  <w:rFonts w:ascii="Times New Roman;serif" w:hAnsi="Times New Roman;serif"/>
                  <w:b w:val="false"/>
                  <w:color w:val="0000FF"/>
                  <w:sz w:val="20"/>
                  <w:u w:val="single"/>
                </w:rPr>
                <w:t>37</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4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9">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5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2">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5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5">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8b248095ae467db1c92dee7144296d_58">
              <w:r>
                <w:rPr>
                  <w:rStyle w:val="InternetLink"/>
                  <w:rFonts w:ascii="Times New Roman;serif" w:hAnsi="Times New Roman;serif"/>
                  <w:b w:val="false"/>
                  <w:color w:val="0000FF"/>
                  <w:sz w:val="20"/>
                  <w:u w:val="single"/>
                </w:rPr>
                <w:t>INFORMATION INCORPORATED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8">
              <w:r>
                <w:rPr>
                  <w:rStyle w:val="InternetLink"/>
                  <w:rFonts w:ascii="Times New Roman;serif" w:hAnsi="Times New Roman;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document is in two parts. The first part is this prospectus supplement, which describes the specific terms of this offering of common stock and pre-funded warrants and also adds to and updates information contained in the accompanying prospectus and the documents incorporated by reference into this prospectus supplement and the accompanying prospectus. The second part is the accompanying prospectus dated April 3, 2026, included in our registration statement on Form S-3 (File No. 333-294705), along with the documents incorporated by reference therein, which provides more general information, some of which may not apply to this offering. Generally, when we refer to this prospectus, we are referring to both parts of this document combined.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there is a conflict between the information contained in this prospectus supplement and the information contained in the accompanying prospectus or in any document incorporated by reference that was filed with the SEC, before the date of this prospectus supplement, you should rely on the information in this prospectus supplement.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are part of a “shelf” registration statement that we filed with the SEC. Under the shelf registration process, we may offer from time to time various securities, of which this offering of shares of our common stock and pre-funded warrants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pStyle w:val="TextBody"/>
        <w:bidi w:val="0"/>
        <w:spacing w:lineRule="auto" w:line="288" w:before="0" w:after="180"/>
        <w:jc w:val="left"/>
        <w:rPr/>
      </w:pPr>
      <w:r>
        <w:rPr>
          <w:rFonts w:ascii="Times New Roman;serif" w:hAnsi="Times New Roman;serif"/>
          <w:b w:val="false"/>
          <w:color w:val="000000"/>
          <w:sz w:val="20"/>
        </w:rPr>
        <w:t>It is important for you to read and consider all of the information contained in this prospectus supplement and the accompanying prospectus before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Information Incorporated By Reference</w:t>
      </w:r>
      <w:r>
        <w:rPr>
          <w:color w:val="000000"/>
        </w:rPr>
        <w:t xml:space="preserve">” </w:t>
      </w:r>
      <w:r>
        <w:rPr>
          <w:rFonts w:ascii="Times New Roman;serif" w:hAnsi="Times New Roman;serif"/>
          <w:b w:val="false"/>
          <w:color w:val="000000"/>
          <w:sz w:val="20"/>
        </w:rPr>
        <w:t>of this prospectus supplement, before investing in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2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underwriters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lineRule="auto" w:line="288" w:before="0" w:after="180"/>
        <w:jc w:val="left"/>
        <w:rPr/>
      </w:pPr>
      <w:r>
        <w:rPr>
          <w:rFonts w:ascii="Times New Roman;serif" w:hAnsi="Times New Roman;serif"/>
          <w:b w:val="false"/>
          <w:color w:val="000000"/>
          <w:sz w:val="20"/>
          <w:shd w:fill="FFFFFF" w:val="clear"/>
        </w:rPr>
        <w:t>Prior to March 4, 2024, we were known as GigCapital5, and QTI Merger Sub, Inc., a Delaware corporation and wholly owned subsidiary of GigCapital5 (“</w:t>
      </w:r>
      <w:r>
        <w:rPr>
          <w:rFonts w:ascii="Times New Roman;serif" w:hAnsi="Times New Roman;serif"/>
          <w:b/>
          <w:i/>
          <w:color w:val="000000"/>
          <w:sz w:val="20"/>
          <w:shd w:fill="FFFFFF" w:val="clear"/>
        </w:rPr>
        <w:t>Merger Sub</w:t>
      </w:r>
      <w:r>
        <w:rPr>
          <w:color w:val="000000"/>
          <w:shd w:fill="FFFFFF" w:val="clear"/>
        </w:rPr>
        <w:t>”</w:t>
      </w:r>
      <w:r>
        <w:rPr>
          <w:rFonts w:ascii="Times New Roman;serif" w:hAnsi="Times New Roman;serif"/>
          <w:b w:val="false"/>
          <w:color w:val="000000"/>
          <w:sz w:val="20"/>
          <w:shd w:fill="FFFFFF" w:val="clear"/>
        </w:rPr>
        <w:t>). On December 8, 2022, we entered into a Business Combination Agreement, as amended, (the “</w:t>
      </w:r>
      <w:r>
        <w:rPr>
          <w:rFonts w:ascii="Times New Roman;serif" w:hAnsi="Times New Roman;serif"/>
          <w:b/>
          <w:i/>
          <w:color w:val="000000"/>
          <w:sz w:val="20"/>
          <w:shd w:fill="FFFFFF" w:val="clear"/>
        </w:rPr>
        <w:t>Business Combination Agreement</w:t>
      </w:r>
      <w:r>
        <w:rPr>
          <w:color w:val="000000"/>
          <w:shd w:fill="FFFFFF" w:val="clear"/>
        </w:rPr>
        <w:t>”</w:t>
      </w:r>
      <w:r>
        <w:rPr>
          <w:rFonts w:ascii="Times New Roman;serif" w:hAnsi="Times New Roman;serif"/>
          <w:b w:val="false"/>
          <w:color w:val="000000"/>
          <w:sz w:val="20"/>
          <w:shd w:fill="FFFFFF" w:val="clear"/>
        </w:rPr>
        <w:t>) with QT Imaging, Inc., a Delaware corporation (“</w:t>
      </w:r>
      <w:r>
        <w:rPr>
          <w:rFonts w:ascii="Times New Roman;serif" w:hAnsi="Times New Roman;serif"/>
          <w:b/>
          <w:i/>
          <w:color w:val="000000"/>
          <w:sz w:val="20"/>
          <w:shd w:fill="FFFFFF" w:val="clear"/>
        </w:rPr>
        <w:t>QT Imaging</w:t>
      </w:r>
      <w:r>
        <w:rPr>
          <w:color w:val="000000"/>
          <w:shd w:fill="FFFFFF" w:val="clear"/>
        </w:rPr>
        <w:t>”</w:t>
      </w:r>
      <w:r>
        <w:rPr>
          <w:rFonts w:ascii="Times New Roman;serif" w:hAnsi="Times New Roman;serif"/>
          <w:b w:val="false"/>
          <w:color w:val="000000"/>
          <w:sz w:val="20"/>
          <w:shd w:fill="FFFFFF" w:val="clear"/>
        </w:rPr>
        <w:t>), pursuant to which on March 4, 2024, Merger Sub merged with and into QT Imaging, with QT Imaging surviving the merger as a wholly owned subsidiary of GigCapital5 (the “</w:t>
      </w:r>
      <w:r>
        <w:rPr>
          <w:rFonts w:ascii="Times New Roman;serif" w:hAnsi="Times New Roman;serif"/>
          <w:b/>
          <w:i/>
          <w:color w:val="000000"/>
          <w:sz w:val="20"/>
          <w:shd w:fill="FFFFFF" w:val="clear"/>
        </w:rPr>
        <w:t>Merger</w:t>
      </w:r>
      <w:r>
        <w:rPr>
          <w:color w:val="000000"/>
          <w:shd w:fill="FFFFFF" w:val="clear"/>
        </w:rPr>
        <w:t xml:space="preserve">” </w:t>
      </w:r>
      <w:r>
        <w:rPr>
          <w:rFonts w:ascii="Times New Roman;serif" w:hAnsi="Times New Roman;serif"/>
          <w:b w:val="false"/>
          <w:color w:val="000000"/>
          <w:sz w:val="20"/>
          <w:shd w:fill="FFFFFF" w:val="clear"/>
        </w:rPr>
        <w:t>and, together with the other transactions contemplated by the Business Combination Agreement and any other agreement executed and delivered in connection therewith, the “</w:t>
      </w:r>
      <w:r>
        <w:rPr>
          <w:rFonts w:ascii="Times New Roman;serif" w:hAnsi="Times New Roman;serif"/>
          <w:b/>
          <w:i/>
          <w:color w:val="000000"/>
          <w:sz w:val="20"/>
          <w:shd w:fill="FFFFFF" w:val="clear"/>
        </w:rPr>
        <w:t>Business Combination</w:t>
      </w:r>
      <w:r>
        <w:rPr>
          <w:color w:val="000000"/>
          <w:shd w:fill="FFFFFF" w:val="clear"/>
        </w:rPr>
        <w:t>”</w:t>
      </w:r>
      <w:r>
        <w:rPr>
          <w:rFonts w:ascii="Times New Roman;serif" w:hAnsi="Times New Roman;serif"/>
          <w:b w:val="false"/>
          <w:color w:val="000000"/>
          <w:sz w:val="20"/>
          <w:shd w:fill="FFFFFF" w:val="clear"/>
        </w:rPr>
        <w:t>). Following the closing of the Business Combination, GigCapital5 was renamed as “QT Imaging Holdings, Inc.” and is referred to as the “</w:t>
      </w:r>
      <w:r>
        <w:rPr>
          <w:rFonts w:ascii="Times New Roman;serif" w:hAnsi="Times New Roman;serif"/>
          <w:b/>
          <w:i/>
          <w:color w:val="000000"/>
          <w:sz w:val="20"/>
          <w:shd w:fill="FFFFFF" w:val="clear"/>
        </w:rPr>
        <w:t>Company</w:t>
      </w:r>
      <w:r>
        <w:rPr>
          <w:color w:val="000000"/>
          <w:shd w:fill="FFFFFF" w:val="clear"/>
        </w:rPr>
        <w:t xml:space="preserve">” </w:t>
      </w:r>
      <w:r>
        <w:rPr>
          <w:rFonts w:ascii="Times New Roman;serif" w:hAnsi="Times New Roman;serif"/>
          <w:b w:val="false"/>
          <w:color w:val="000000"/>
          <w:sz w:val="20"/>
          <w:shd w:fill="FFFFFF" w:val="clear"/>
        </w:rPr>
        <w:t>or “</w:t>
      </w:r>
      <w:r>
        <w:rPr>
          <w:rFonts w:ascii="Times New Roman;serif" w:hAnsi="Times New Roman;serif"/>
          <w:b/>
          <w:i/>
          <w:color w:val="000000"/>
          <w:sz w:val="20"/>
          <w:shd w:fill="FFFFFF" w:val="clear"/>
        </w:rPr>
        <w:t>QT Imaging Holdings</w:t>
      </w:r>
      <w:r>
        <w:rPr>
          <w:rFonts w:ascii="Times New Roman;serif" w:hAnsi="Times New Roman;serif"/>
          <w:b w:val="false"/>
          <w:color w:val="000000"/>
          <w:sz w:val="20"/>
          <w:shd w:fill="FFFFFF" w:val="clear"/>
        </w:rPr>
        <w:t xml:space="preserve">.” Unless the context indicates otherwise, references in this prospectus supplement to the “Company,” “QT Imaging Holdings,” “we,” “us,” “our” and similar terms refer to QT Imaging Holdings, Inc. (f/k/a GigCapital5, Inc.). References to “GigCapital5” refer to our predecessor company prior to the consummation of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makes forward-looking statements in this prospectus supplement and in documents incorporated herein by reference. All statements, other than statements of present or historical fact included in or incorporated by reference in this prospectus supplement, regarding the Company’s future financial performance, as well as the Company’s strategy, future operations, financial position, estimated revenues, and losses, projected costs, prospects, plans and objectives of management are forward-looking statements. When used in this prospectus supplement,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based on information available as of the date of this prospectus supplement, and current expectations, forecasts and assumptions, and involve a number of risks and uncertainties. Accordingly, forward-looking statements in this prospectus supplement, the accompanying prospectus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changes in applicable laws or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outcome of any legal proceedings against the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financial and business performance of the Company, including financial projections and business metrics and any underlying assumptions thereunder;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Company’s ability to successfully and timely develop, sell and expand its technology and products, and otherwise implement its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relating to the Company’s operations and business, including information technology and cybersecurity risks, loss of customers and deterioration in relationships between the Company and its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related to increased competition;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that the Company experiences difficulties in managing its growth and expanding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impact of geopolitical, macroeconomic and market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ability to successfully select, execute or integrate future acquisitions into the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other risks and uncertainties set forth in this prospectus supplement in the section entitled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beginning on page S-10.</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any of these risks materialize or our assumptions prove incorrect, actual results could differ materially from the results implied by these forward-looking statements. The risks and uncertainties above are not exhaustive, and there may be additional risks that the Company does not presently know or that the Company currently believes are immaterial that could also cause actual results to differ from those contained in the forward-looking statements. In </w:t>
      </w:r>
    </w:p>
    <w:p>
      <w:pPr>
        <w:pStyle w:val="TextBody"/>
        <w:bidi w:val="0"/>
        <w:spacing w:before="0" w:after="2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 forward-looking statements reflect the Company’s expectations, plans or forecasts of future events and views as of the date of this prospectus supplement. The Company anticipates that subsequent events and developments will cause the Company’s assessments to change. However, while the Company may elect to update these forward-looking statements at some point in the future, the Company specifically disclaims any obligation to do so. All forward-looking statements attributable to the Company or persons acting on its behalf are expressly qualified in their entirety by the foregoing cautionary statements. These forward-looking statements should not be relied upon as representing the Company’s assessments as of any date subsequent to the date of this prospectus supplement.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SUPPLEMENT SUMMARY</w:t>
      </w:r>
    </w:p>
    <w:p>
      <w:pPr>
        <w:pStyle w:val="TextBody"/>
        <w:bidi w:val="0"/>
        <w:spacing w:lineRule="auto" w:line="288" w:before="0" w:after="180"/>
        <w:jc w:val="left"/>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This summary highlights selected information appearing in this prospectus supplement, the accompanying prospectus and the documents incorporated by reference herein and therein. Because it is a summary, it may not contain all of the information that may be important to you. To understand this offering fully, you should read this entire prospectus supplement and the accompanying prospectus carefully, including the information set forth in the sections entitled “Risk Factors,” and our consolidated financial statements and the related notes and the other information incorporated by reference into this prospectus supplement and the accompanying prospectus before making an investment decision.</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The Company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December 8, 2022, GigCapital5, our legal predecessor company and a special purpose acquisition company which was incorporated in Delaware in 2021, entered into a Business Combination Agreement with its wholly owned subsidiary, Merger Sub and QT Imaging, Inc. When the Business Combination closed on March 4, 2024, Merger Sub merged with and into QT Imaging, Inc. with QT Imaging, Inc. the surviving company in such Merger, and after giving effect to the Business Combination, QT Imaging, Inc. became a wholly owned subsidiary of GigCapital5, which was renamed as QT Imaging Holdings, Inc.</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QT Imaging, Inc. was incorporated in Delaware on December 31, 2020 by converting from its predecessor, QT Ultrasound LLC (“</w:t>
      </w:r>
      <w:r>
        <w:rPr>
          <w:rFonts w:ascii="Times New Roman;serif" w:hAnsi="Times New Roman;serif"/>
          <w:b/>
          <w:i/>
          <w:color w:val="000000"/>
          <w:sz w:val="20"/>
          <w:bdr w:val="single" w:sz="8" w:space="36" w:color="000000"/>
          <w:shd w:fill="FFFFFF" w:val="clear"/>
        </w:rPr>
        <w:t>QT Ultrasound</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which was a limited liability company formed in 2012 to focus on the research, development, and commercialization of innovative body imaging systems using low energy sound. On that date, QT Ultrasound changed its name from QT Ultrasound LLC to QT Imaging, Inc. and revoked the limited liability company election status by the incorporation.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QT Imaging Holdings, Inc. is headquartered in Novato, California.</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Overview</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A Novel Body Imaging Technology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Company—with the support of nearly $18 million in financial support from the U.S. National Institutes of Health—has developed a novel, comprehensive body imaging technology designed to produce high-resolution volumetric images of breast tissue using low-energy transmitted sound. The technology is based on ultra-low frequency transmitted and reflected sound waves and utilizes a proprietary sound back-scatter design together with inverse-scattering reconstruction algorithms to generate quantitative three-dimensional images of tissue properties.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 is a medical device company founded in 2012 and engaged in the research, development, and commercialization of innovative body imaging systems using low energy sound. The Company believes that medical imaging, and in particular 3D imaging, is critical to the detection, diagnosis, and treatment of disease and that it should be safe, affordable and accessible. The Company’s goal is to improve global health outcomes through the development and commercialization of imaging devices that address critical healthcare challenges with accuracy and precision.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opportunity in breast imaging is to shorten the time to diagnosis for women with cancer and to provide reassurance for women who do not have the disease while delivering an improved patient experience and lower cost compared to the current standard of care.</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Company’s technology (the “</w:t>
      </w:r>
      <w:r>
        <w:rPr>
          <w:rFonts w:ascii="Times New Roman;serif" w:hAnsi="Times New Roman;serif"/>
          <w:b/>
          <w:i/>
          <w:color w:val="000000"/>
          <w:sz w:val="20"/>
          <w:bdr w:val="single" w:sz="8" w:space="36" w:color="000000"/>
          <w:shd w:fill="FFFFFF" w:val="clear"/>
        </w:rPr>
        <w:t>QT Breast Scanner</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provides automated 3D imaging of the breast without ionizing radiation and without breast compression, enabling high-resolution volumetric imaging and quantitative analysis of breast tissue.</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The Breast Acoustic CT™ Scanner</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QT Breast Scanner is a fixed, stationary, mechanical scanner used to evaluate the breast without the use of either ionizing radiation or compression associated with mammography, or the injections required for breast MRI. With the QT Breast Scanner, the patient lies comfortably on a table which contains an opening through which the </w:t>
      </w:r>
    </w:p>
    <w:p>
      <w:pPr>
        <w:pStyle w:val="TextBody"/>
        <w:bidi w:val="0"/>
        <w:spacing w:before="0" w:after="2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breast is immersed in a warm water bath (see Image 1) and gently immobilized using a magnetic retention pad fixed to a magnetic rod.</w:t>
      </w:r>
    </w:p>
    <w:p>
      <w:pPr>
        <w:pStyle w:val="TextBody"/>
        <w:bidi w:val="0"/>
        <w:spacing w:lineRule="auto" w:line="288" w:before="0" w:after="180"/>
        <w:jc w:val="center"/>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QT Breast Scanner</w:t>
      </w:r>
    </w:p>
    <w:p>
      <w:pPr>
        <w:pStyle w:val="TextBody"/>
        <w:bidi w:val="0"/>
        <w:spacing w:before="0" w:after="0"/>
        <w:jc w:val="center"/>
        <w:rPr>
          <w:bdr w:val="single" w:sz="8" w:space="36" w:color="000000"/>
        </w:rPr>
      </w:pPr>
      <w:r>
        <w:rPr>
          <w:bdr w:val="single" w:sz="8" w:space="36" w:color="000000"/>
        </w:rPr>
        <w:drawing>
          <wp:inline distT="0" distB="0" distL="0" distR="0">
            <wp:extent cx="2352675" cy="13239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352675" cy="13239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Image 1</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current QT Breast Scanner, the Breast Acoustic CT™ scanner, developed by the Company is a Class II device subject to premarket notification and clearance under Section 510(k) of the Federal Food, Drug, and Cosmetic Act (the “</w:t>
      </w:r>
      <w:r>
        <w:rPr>
          <w:rFonts w:ascii="Times New Roman;serif" w:hAnsi="Times New Roman;serif"/>
          <w:b/>
          <w:i/>
          <w:color w:val="000000"/>
          <w:sz w:val="20"/>
          <w:bdr w:val="single" w:sz="8" w:space="36" w:color="000000"/>
          <w:shd w:fill="FFFFFF" w:val="clear"/>
        </w:rPr>
        <w:t>FDCA</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On August 23, 2016, QT Ultrasound submitted a Section 510(k) Summary of Safety and Effectiveness application for the QT Breast Scanner in accordance with 21 CFR 807.92 under 510(k) Number K162372. As part of meeting the general requirements for basic safety and essential performance of the QT Breast Scanner (formerly, QT Ultrasound Breast Scanner) pursuant to AAMI ES60601-1:2005/(R)2012 and A1:2012 Medical Electrical Equipment, testing was conducted by Intertek, an independent testing laboratory located in Menlo Park, CA. Intertek also conducted applicable testing pursuant to IEC 60601-1-6 Edition 3.1 2013-10—Medical Electrical Equipment Part 1-6 General Requirements for Safety—Collateral Standard: Usability. In addition, QT Ultrasound conducted, and Intertek witnessed, all applicable testing pertaining to the requirements for the safety of ultrasonic medical diagnostic and monitoring equipment and to demonstrate compliance with the Acoustic Output Measurement Standard for Diagnostic Ultrasound Equipment. This test on acoustic output was pursuant to IEC 60601-2-37 Edition 2.0.2007—Medical Electrical Equipment—Part 2-37: Particular Requirements for the Basic Safety and Essential Performance of Ultrasonic Medical Diagnostic and Monitoring Equipment. Finally, system verification testing was conducted to ensure that the QT Breast Scanner met all design and other requirements including but not limited to that no new issues of safety or effectiveness compared to the predicate device, the SoftVue System manufactured by Delphinus Medical Technologies, were raised.</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On June 6, 2017, the U.S. Food and Drug Administration (“</w:t>
      </w:r>
      <w:r>
        <w:rPr>
          <w:rFonts w:ascii="Times New Roman;serif" w:hAnsi="Times New Roman;serif"/>
          <w:b/>
          <w:i/>
          <w:color w:val="000000"/>
          <w:sz w:val="20"/>
          <w:bdr w:val="single" w:sz="8" w:space="36" w:color="000000"/>
          <w:shd w:fill="FFFFFF" w:val="clear"/>
        </w:rPr>
        <w:t>FDA</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in response to the Company’s Section 510(k) Summary of Safety and Effectiveness premarket notification, determined that the QT Breast Scanner is substantially equivalent to the predicate device under 510(k) Number K162372.</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August 31, 2022, the FDA granted a further 510(k) clearance (K220933) for the Company’s QT Scanner 2000 Model A, which enables the system to calculate quantitative measurements of breast fibroglandular tissue volume and the ratio of fibroglandular tissue volume to total breast volume based on reflection-mode and transmission-mode ultrasound images. These measurements may assist clinicians in assessing breast density and monitoring changes in breast tissue over time.</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March 10, 2026, the FDA granted an additional 510(k) clearance for an enhanced configuration of the Company’s Breast Acoustic CT scanner designed to improve imaging coverage of posterior breast tissue. The updated configuration incorporates a tilted transmitter geometry, which enhances tomographic visualization of breast tissue located near the chest wall—an area that can be challenging to image with conventional breast imaging approaches. This enhancement expands the scanner’s imaging coverage and supports more complete visualization of posterior breast anatomy while continuing to generate volumetric tomographic images using reflection-mode and transmission-mode ultrasound data.</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Cloud SaaS Platform</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Company's Cloud software-as-a-service (“</w:t>
      </w:r>
      <w:r>
        <w:rPr>
          <w:rFonts w:ascii="Times New Roman;serif" w:hAnsi="Times New Roman;serif"/>
          <w:b/>
          <w:i/>
          <w:color w:val="000000"/>
          <w:sz w:val="20"/>
          <w:bdr w:val="single" w:sz="8" w:space="36" w:color="000000"/>
          <w:shd w:fill="FFFFFF" w:val="clear"/>
        </w:rPr>
        <w:t>SaaS</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platform will serve as the unified delivery framework for upcoming artificial intelligence and machine learning algorithms developed by the Company. Leveraging DICOM-</w:t>
      </w:r>
    </w:p>
    <w:p>
      <w:pPr>
        <w:pStyle w:val="TextBody"/>
        <w:bidi w:val="0"/>
        <w:spacing w:before="0" w:after="2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compatible architecture, the Company will integrate these modules through the cloud for quantitative feature extraction and diagnostic decision support. Built on advanced acoustic signal analysis and volumetric data fusion, the algorithms will be deployed through the cloud infrastructure to enable real-time or near-real-time analysis of imaging data.</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This approach will enable future artificial intelligence-driven capabilities, including automated lesion segmentation, volumetric tissue characterization, and computer-aided diagnostic support, to be securely delivered to connected QT Breast Scanners without requiring on-premise software updates. As quantitative biomarkers allow imaging to move beyond detection toward diagnostic and prognostic precision through quantitative imaging, the Company’s goal is to build a biomarker-driven Cloud SaaS platform that evolves the business from a hardware manufacturer into a precision imaging platform combining hardware, software, and cloud-based artificial intelligence modules.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Sales and Marketing Strategy</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 drives continued growth through a focused commercial expansion plan. In the United States, the Company plans to strengthen its market presence through a hybrid commercialization model that combines strategic collaborations with targeted direct initiatives. A key component of this approach is leveraging its collaboration with NXC Imaging, Inc. (“</w:t>
      </w:r>
      <w:r>
        <w:rPr>
          <w:rFonts w:ascii="Times New Roman;serif" w:hAnsi="Times New Roman;serif"/>
          <w:b/>
          <w:i/>
          <w:color w:val="000000"/>
          <w:sz w:val="20"/>
          <w:bdr w:val="single" w:sz="8" w:space="36" w:color="000000"/>
          <w:shd w:fill="FFFFFF" w:val="clear"/>
        </w:rPr>
        <w:t>NXC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 wholly owned subsidiary of Canon Medical USA, Inc. (“</w:t>
      </w:r>
      <w:r>
        <w:rPr>
          <w:rFonts w:ascii="Times New Roman;serif" w:hAnsi="Times New Roman;serif"/>
          <w:b/>
          <w:i/>
          <w:color w:val="000000"/>
          <w:sz w:val="20"/>
          <w:bdr w:val="single" w:sz="8" w:space="36" w:color="000000"/>
          <w:shd w:fill="FFFFFF" w:val="clear"/>
        </w:rPr>
        <w:t>CMSU</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and CMSU’s parent, Canon Medical Systems Corporation (“</w:t>
      </w:r>
      <w:r>
        <w:rPr>
          <w:rFonts w:ascii="Times New Roman;serif" w:hAnsi="Times New Roman;serif"/>
          <w:b/>
          <w:i/>
          <w:color w:val="000000"/>
          <w:sz w:val="20"/>
          <w:bdr w:val="single" w:sz="8" w:space="36" w:color="000000"/>
          <w:shd w:fill="FFFFFF" w:val="clear"/>
        </w:rPr>
        <w:t>CMSC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and collectively referred to with CMSU as “</w:t>
      </w:r>
      <w:r>
        <w:rPr>
          <w:rFonts w:ascii="Times New Roman;serif" w:hAnsi="Times New Roman;serif"/>
          <w:b/>
          <w:i/>
          <w:color w:val="000000"/>
          <w:sz w:val="20"/>
          <w:bdr w:val="single" w:sz="8" w:space="36" w:color="000000"/>
          <w:shd w:fill="FFFFFF" w:val="clear"/>
        </w:rPr>
        <w:t>Canon</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which provides access to established sales infrastructure, market relationships, and distribution capabilities. This collaboration will be complemented by the Company’s own direct commercial initiatives aimed at expanding clinical partnerships, supporting early adopter sites, and building deeper engagement within the breast imaging community.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As part of its U.S. market development strategy, the Company also intends to undertake a multigenerational outreach and advocacy campaign focused on increasing awareness around breast health and early screening. This initiative will emphasize the theme “Women’s Health = Women’s Empowerment,” positioning proactive health management as a core component of personal and societal empowerment. The campaign is expected to leverage celebrity endorsements and thought leaders to generate earned media exposure and foster broad engagement across multiple generations of women. By combining advocacy, education, and public awareness, the Company aims to encourage earlier and more consistent participation in breast health screening while increasing visibility for new, patient-friendly imaging technologies.</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In parallel with its U.S. growth strategy, the Company intends to expand into international markets, beginning with the Gulf Cooperation Council (GCC) region. The Company has established strategic distribution relationships with Gulf Medical Co. (“</w:t>
      </w:r>
      <w:r>
        <w:rPr>
          <w:rFonts w:ascii="Times New Roman;serif" w:hAnsi="Times New Roman;serif"/>
          <w:b/>
          <w:i/>
          <w:color w:val="000000"/>
          <w:sz w:val="20"/>
          <w:bdr w:val="single" w:sz="8" w:space="36" w:color="000000"/>
          <w:shd w:fill="FFFFFF" w:val="clear"/>
        </w:rPr>
        <w:t>GMC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for the Kingdom of Saudi Arabia and Al Naghi Medical Company (“</w:t>
      </w:r>
      <w:r>
        <w:rPr>
          <w:rFonts w:ascii="Times New Roman;serif" w:hAnsi="Times New Roman;serif"/>
          <w:b/>
          <w:i/>
          <w:color w:val="000000"/>
          <w:sz w:val="20"/>
          <w:bdr w:val="single" w:sz="8" w:space="36" w:color="000000"/>
          <w:shd w:fill="FFFFFF" w:val="clear"/>
        </w:rPr>
        <w:t>Al Naghi</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for the United Arab Emirates (the “</w:t>
      </w:r>
      <w:r>
        <w:rPr>
          <w:rFonts w:ascii="Times New Roman;serif" w:hAnsi="Times New Roman;serif"/>
          <w:b/>
          <w:i/>
          <w:color w:val="000000"/>
          <w:sz w:val="20"/>
          <w:bdr w:val="single" w:sz="8" w:space="36" w:color="000000"/>
          <w:shd w:fill="FFFFFF" w:val="clear"/>
        </w:rPr>
        <w:t>UAE</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These partnerships are expected to provide strong regional market access through organizations with deep experience in medical technology distribution and established relationships with leading healthcare institutions.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Regulatory processes for both the Kingdom of Saudi Arabia and the United Arab Emirates are already underway, and the Company expects the required certifications to be in place in the near term, enabling commercial deployment in these markets.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Beyond these initial GCC markets, the Company is actively engaged in discussions to establish additional strategic distribution partnerships across the broader GCC region, including Kuwait, Qatar, Oman, and Bahrain. These markets represent attractive opportunities due to their growing healthcare infrastructure, increasing focus on early cancer detection, and openness to innovative medical technologies.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Looking further ahead, the Company intends to explore expansion into European and other international markets such as Australia and New Zealand (ANZ), South Korea, South Asia, and the Association of Southeast Asian Nations (ASEAN) through carefully selected distribution partnerships. This expansion will be supported by well-orchestrated market creation strategies, including collaborations with leading clinical institutions and research organizations to generate clinical evidence, build physician awareness, and support regulatory and reimbursement pathways in each geography. The Company is also working closely with Canon’s Japan operations (where Canon is </w:t>
      </w:r>
    </w:p>
    <w:p>
      <w:pPr>
        <w:pStyle w:val="TextBody"/>
        <w:bidi w:val="0"/>
        <w:spacing w:before="0" w:after="2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headquartered) and a prominent luminary in Japan to explore opportunities within the Japanese market. Registration activities for Europe are planned to commence later this year, with other geographies that accept EU registration to be pursued subsequently.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Through this coordinated approach—combining technology innovation, precision diagnostic software capabilities, strong commercial partnerships, and strategic geographic expansion—the Company aims to build a scalable global platform for next-generation breast imaging and diagnostics.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Intellectual Property, Patents</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 xml:space="preserve">QT Imaging has multiple U.S., PCT, and European patents and patent applications. </w:t>
      </w:r>
      <w:r>
        <w:rPr>
          <w:rFonts w:ascii="Times New Roman;serif" w:hAnsi="Times New Roman;serif"/>
          <w:b w:val="false"/>
          <w:color w:val="000000"/>
          <w:sz w:val="20"/>
          <w:bdr w:val="single" w:sz="8" w:space="36" w:color="000000"/>
        </w:rPr>
        <w:t>The table below shows our utility patents and utility patent applications:</w:t>
      </w:r>
    </w:p>
    <w:tbl>
      <w:tblPr>
        <w:tblW w:w="10205" w:type="dxa"/>
        <w:jc w:val="left"/>
        <w:tblInd w:w="0" w:type="dxa"/>
        <w:tblLayout w:type="fixed"/>
        <w:tblCellMar>
          <w:top w:w="28" w:type="dxa"/>
          <w:left w:w="28" w:type="dxa"/>
          <w:bottom w:w="28" w:type="dxa"/>
          <w:right w:w="28" w:type="dxa"/>
        </w:tblCellMar>
      </w:tblPr>
      <w:tblGrid>
        <w:gridCol w:w="438"/>
        <w:gridCol w:w="385"/>
        <w:gridCol w:w="386"/>
        <w:gridCol w:w="362"/>
        <w:gridCol w:w="362"/>
        <w:gridCol w:w="372"/>
        <w:gridCol w:w="1548"/>
        <w:gridCol w:w="1252"/>
        <w:gridCol w:w="1268"/>
        <w:gridCol w:w="219"/>
        <w:gridCol w:w="219"/>
        <w:gridCol w:w="220"/>
        <w:gridCol w:w="299"/>
        <w:gridCol w:w="299"/>
        <w:gridCol w:w="300"/>
        <w:gridCol w:w="364"/>
        <w:gridCol w:w="364"/>
        <w:gridCol w:w="365"/>
        <w:gridCol w:w="343"/>
        <w:gridCol w:w="343"/>
        <w:gridCol w:w="497"/>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JURISDICTION</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 FILED</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 GRANTED</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EXPIRATION DATE</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OWNER</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US8827908B2</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APPARATUS FOR ULTRASOUND IMAGING</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6/30/2011</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9/9/2014</w:t>
            </w:r>
          </w:p>
        </w:tc>
        <w:tc>
          <w:tcPr>
            <w:tcW w:w="1093"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6/29/2032</w:t>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 and Esaote SpA</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US9392994B2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APPARATUS AND METHOD FOR ULTRASOUND IMAGING WITH CONTRAST AGENTS</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4/5/2011</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7/19/2016</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11/19/2034</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 and Esaote SpA</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US7771360B2</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BREAST SCANNING SYSTEM</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4/8/2004</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8/10/2010</w:t>
            </w:r>
          </w:p>
        </w:tc>
        <w:tc>
          <w:tcPr>
            <w:tcW w:w="1093"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6/10/2029</w:t>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US8366617B2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BREAST SCANNING SYSTEM</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5/14/2008</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2/5/2013</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11/18/2031</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US7699783B2</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METHOD FOR IMAGING AND TREATING A BREAST</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6/15/2005</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4/20/2010</w:t>
            </w:r>
          </w:p>
        </w:tc>
        <w:tc>
          <w:tcPr>
            <w:tcW w:w="1093"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1/23/2027</w:t>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EP DE FR GB ES IT NL</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EP2148612B1</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BREAST SCANNING SYSTEM</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5/14/2008</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1/6/2021</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5/14/2028</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US10765402B2</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AUTOMATIC LATERALITY IDENTIFICATION FOR ULTRASOUND TOMOGRAPHY SYSTEMS</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11/23/2016</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9/8/2020</w:t>
            </w:r>
          </w:p>
        </w:tc>
        <w:tc>
          <w:tcPr>
            <w:tcW w:w="1093"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12/1/2038</w:t>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US8246543B2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IMAGING METHOD UTILIZING ATTENUATION AND SPEED PARAMETERS IN INVERSE SCATTERING TECHNIQUES</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5/14/2008</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8/21/2012</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3/8/2031</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EP</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EP3843627A4</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APPLICATION OF MACHINE LEARNING TO ITERATIVE AND MULTIMODALITY IMAGE RECONSTRUCTION</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8/30/2019</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shd w:fill="DAE9F7"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US11170544B2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APPLICATION OF MACHINE LEARNING TO ITERATIVE AND MULTIMODALITY IMAGE RECONSTRUCTION</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8/30/2019</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11/9/2021</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8/30/2039</w:t>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US10433818B2</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COLOR CODING AN IMAGE FOR IDENTIFYING ANATOMY USING QUANTITATIVE TRANSMISSION ULTRASOUND TOMOGRAPHY</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12/8/2017</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10/8/2019</w:t>
            </w:r>
          </w:p>
        </w:tc>
        <w:tc>
          <w:tcPr>
            <w:tcW w:w="1093"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6/12/2038</w:t>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US20250259347</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IMAGING TECHNIQUES INCLUDING ADAPTIVE RECONSTRUCTION</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9/18/2024</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PCT</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US2025/47006</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IMAGING TECHNIQUES INCLUDING ADAPTIVE RECONSTRUCTION</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9/18/2025</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shd w:fill="DAE9F7"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US20250259347</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EVALUATION OF TOPOLOGICAL COMPLEXITY AND GENERATION OF QUANTITATIVE MARKERS IN MEDICAL IMAGES</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11/21/2024</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PCT</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US2025/56419</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EVALUATION OF TOPOLOGICAL COMPLEXITY AND GENERATION OF QUANTITATIVE MARKERS IN MEDICAL IMAGES</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11/20/2025</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shd w:fill="DAE9F7"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US</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US20250258292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TILTED TRANSMITTER WITH ADDITIONAL K-SPACE COVERAGE</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2/11/2025</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PCT </w:t>
            </w:r>
          </w:p>
        </w:tc>
        <w:tc>
          <w:tcPr>
            <w:tcW w:w="1096"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US2026/14963</w:t>
            </w:r>
          </w:p>
        </w:tc>
        <w:tc>
          <w:tcPr>
            <w:tcW w:w="406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IMAGING SYSTEMS HAVING A REFLECTIONS ARRAY WITH VARIABLE POSITION AND DIMENSION</w:t>
            </w:r>
          </w:p>
        </w:tc>
        <w:tc>
          <w:tcPr>
            <w:tcW w:w="65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2/11/2026</w:t>
            </w:r>
          </w:p>
        </w:tc>
        <w:tc>
          <w:tcPr>
            <w:tcW w:w="898" w:type="dxa"/>
            <w:gridSpan w:val="3"/>
            <w:tcBorders>
              <w:top w:val="single" w:sz="8" w:space="0" w:color="000000"/>
              <w:left w:val="single" w:sz="8" w:space="0" w:color="000000"/>
            </w:tcBorders>
            <w:shd w:fill="DAE9F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shd w:fill="DAE9F7"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shd w:fill="DAE9F7"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4"/>
              </w:rPr>
            </w:pPr>
            <w:r>
              <w:rPr>
                <w:rFonts w:ascii="Times New Roman;serif" w:hAnsi="Times New Roman;serif"/>
                <w:b w:val="false"/>
                <w:color w:val="000000"/>
                <w:sz w:val="14"/>
              </w:rPr>
              <w:t>PCT</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US2026/14962</w:t>
            </w:r>
          </w:p>
        </w:tc>
        <w:tc>
          <w:tcPr>
            <w:tcW w:w="40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4"/>
              </w:rPr>
            </w:pPr>
            <w:r>
              <w:rPr>
                <w:rFonts w:ascii="Times New Roman;serif" w:hAnsi="Times New Roman;serif"/>
                <w:b w:val="false"/>
                <w:color w:val="000000"/>
                <w:sz w:val="14"/>
              </w:rPr>
              <w:t>ADAPTABLE C-SHAPED SCAN HEAD WITH MEMBRANE-DEFINED VARIABLE APERTURE</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2/11/2026</w:t>
            </w:r>
          </w:p>
        </w:tc>
        <w:tc>
          <w:tcPr>
            <w:tcW w:w="8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r>
        <w:trPr/>
        <w:tc>
          <w:tcPr>
            <w:tcW w:w="1209" w:type="dxa"/>
            <w:gridSpan w:val="3"/>
            <w:tcBorders>
              <w:top w:val="single" w:sz="8" w:space="0" w:color="000000"/>
              <w:left w:val="single" w:sz="8" w:space="0" w:color="000000"/>
              <w:bottom w:val="single" w:sz="8" w:space="0" w:color="000000"/>
            </w:tcBorders>
            <w:shd w:fill="DAE9F7" w:val="clear"/>
            <w:tcMar>
              <w:top w:w="30" w:type="dxa"/>
              <w:bottom w:w="3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4"/>
              </w:rPr>
            </w:pPr>
            <w:r>
              <w:rPr>
                <w:rFonts w:ascii="Times New Roman;serif" w:hAnsi="Times New Roman;serif"/>
                <w:b w:val="false"/>
                <w:color w:val="000000"/>
                <w:sz w:val="14"/>
              </w:rPr>
              <w:t>PCT</w:t>
            </w:r>
          </w:p>
        </w:tc>
        <w:tc>
          <w:tcPr>
            <w:tcW w:w="1096" w:type="dxa"/>
            <w:gridSpan w:val="3"/>
            <w:tcBorders>
              <w:top w:val="single" w:sz="8" w:space="0" w:color="000000"/>
              <w:left w:val="single" w:sz="8" w:space="0" w:color="000000"/>
              <w:bottom w:val="single" w:sz="8" w:space="0" w:color="000000"/>
            </w:tcBorders>
            <w:shd w:fill="DAE9F7" w:val="clear"/>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US2026/14961</w:t>
            </w:r>
          </w:p>
        </w:tc>
        <w:tc>
          <w:tcPr>
            <w:tcW w:w="4068" w:type="dxa"/>
            <w:gridSpan w:val="3"/>
            <w:tcBorders>
              <w:top w:val="single" w:sz="8" w:space="0" w:color="000000"/>
              <w:left w:val="single" w:sz="8" w:space="0" w:color="000000"/>
              <w:bottom w:val="single" w:sz="8" w:space="0" w:color="000000"/>
            </w:tcBorders>
            <w:shd w:fill="DAE9F7" w:val="clear"/>
            <w:tcMar>
              <w:top w:w="30" w:type="dxa"/>
              <w:bottom w:w="3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4"/>
              </w:rPr>
            </w:pPr>
            <w:r>
              <w:rPr>
                <w:rFonts w:ascii="Times New Roman;serif" w:hAnsi="Times New Roman;serif"/>
                <w:b w:val="false"/>
                <w:color w:val="000000"/>
                <w:sz w:val="14"/>
              </w:rPr>
              <w:t>IMAGING APPARATUS AND METHODS USING A MEMBRANE-DEFINED VARIABLE APERTURE WITH PARTIAL AND SYNTHETIC ROTATION</w:t>
            </w:r>
          </w:p>
        </w:tc>
        <w:tc>
          <w:tcPr>
            <w:tcW w:w="658" w:type="dxa"/>
            <w:gridSpan w:val="3"/>
            <w:tcBorders>
              <w:top w:val="single" w:sz="8" w:space="0" w:color="000000"/>
              <w:left w:val="single" w:sz="8" w:space="0" w:color="000000"/>
              <w:bottom w:val="single" w:sz="8" w:space="0" w:color="000000"/>
            </w:tcBorders>
            <w:shd w:fill="DAE9F7" w:val="clear"/>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2/11/2026</w:t>
            </w:r>
          </w:p>
        </w:tc>
        <w:tc>
          <w:tcPr>
            <w:tcW w:w="898" w:type="dxa"/>
            <w:gridSpan w:val="3"/>
            <w:tcBorders>
              <w:top w:val="single" w:sz="8" w:space="0" w:color="000000"/>
              <w:left w:val="single" w:sz="8" w:space="0" w:color="000000"/>
              <w:bottom w:val="single" w:sz="8" w:space="0" w:color="000000"/>
            </w:tcBorders>
            <w:shd w:fill="DAE9F7" w:val="clear"/>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PENDING</w:t>
            </w:r>
          </w:p>
        </w:tc>
        <w:tc>
          <w:tcPr>
            <w:tcW w:w="1093" w:type="dxa"/>
            <w:gridSpan w:val="3"/>
            <w:tcBorders>
              <w:top w:val="single" w:sz="8" w:space="0" w:color="000000"/>
              <w:left w:val="single" w:sz="8" w:space="0" w:color="000000"/>
              <w:bottom w:val="single" w:sz="8" w:space="0" w:color="000000"/>
            </w:tcBorders>
            <w:shd w:fill="DAE9F7" w:val="clear"/>
            <w:tcMar>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left w:val="single" w:sz="8" w:space="0" w:color="000000"/>
              <w:bottom w:val="single" w:sz="8" w:space="0" w:color="000000"/>
              <w:right w:val="single" w:sz="8" w:space="0" w:color="000000"/>
            </w:tcBorders>
            <w:shd w:fill="DAE9F7" w:val="clear"/>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14"/>
              </w:rPr>
            </w:pPr>
            <w:r>
              <w:rPr>
                <w:rFonts w:ascii="Times New Roman;serif" w:hAnsi="Times New Roman;serif"/>
                <w:b w:val="false"/>
                <w:color w:val="000000"/>
                <w:sz w:val="14"/>
              </w:rPr>
              <w:t>QT Imaging, Inc.</w:t>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Recent Developments</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On May 12, 2026, the Company and Lynrock Lake Master Fund LP (“</w:t>
      </w:r>
      <w:r>
        <w:rPr>
          <w:rFonts w:ascii="Times New Roman;serif" w:hAnsi="Times New Roman;serif"/>
          <w:b/>
          <w:i/>
          <w:color w:val="000000"/>
          <w:sz w:val="20"/>
          <w:bdr w:val="single" w:sz="8" w:space="36" w:color="000000"/>
          <w:shd w:fill="FFFFFF" w:val="clear"/>
        </w:rPr>
        <w:t>Lynrock Lake</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xml:space="preserve">) entered into the Second Amendment to the Lynrock Lake Credit Agreement to extend the maturity date of the term loan with Lynrock Lake from March 31, 2027 to March 31, 2029 and to increase the interest rate from 10% to 12% per annum.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GigCapital5, our predecessor company, was incorporated in the State of Delaware in January 2021 for the purpose of effecting a merger, capital stock exchange, asset acquisition, stock purchase, reorganization or similar business combination involving GigCapital5 and one or more businesses. GigCapital5 completed its initial public offering in September 2021. We have two wholly owned operating subsidiaries: QT Imaging, Inc. and QT Ultrasound Labs, Inc. QT Imaging was initially incorporated under the laws of the State of Delaware in 2012. In March 2024, Merger Sub merged with and into QT Imaging, and QT Imaging as the surviving corporation became a wholly-owned direct subsidiary of GigCapital5. In connection with the Business Combination, GigCapital5 changed its name to QT Imaging Holdings, Inc. The corporate office of QT Imaging Holdings, Inc. is located at 3 Hamilton Landing, Suite 160, Novato, CA 94949 and its telephone number is (415) 842-7250.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Implications of Being an Emerging Growth Company and a Smaller Reporting Company</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We are an emerging growth company as defined in the Jumpstart Our Business Startups Act of 2012 (the “</w:t>
      </w:r>
      <w:r>
        <w:rPr>
          <w:rFonts w:ascii="Times New Roman;serif" w:hAnsi="Times New Roman;serif"/>
          <w:b/>
          <w:i/>
          <w:color w:val="000000"/>
          <w:sz w:val="20"/>
          <w:bdr w:val="single" w:sz="8" w:space="36" w:color="000000"/>
          <w:shd w:fill="FFFFFF" w:val="clear"/>
        </w:rPr>
        <w:t>JOBS Act</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We will remain an emerging growth company under the JOBS Act until the earliest of (i) the last day of our first fiscal year (a) following the fifth anniversary of GigCapital5’s IPO (September 28, 2026),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We are also a “smaller reporting company” as defined in Item 10(f)(1) of Regulation S-K of the SEC.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w:t>
      </w:r>
      <w:r>
        <w:rPr>
          <w:rFonts w:ascii="Times New Roman;serif" w:hAnsi="Times New Roman;serif"/>
          <w:b w:val="false"/>
          <w:color w:val="000000"/>
          <w:sz w:val="20"/>
          <w:bdr w:val="single" w:sz="8" w:space="36" w:color="000000"/>
        </w:rPr>
        <w:t>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 result, the information in this prospectus supplement and that we provide to our investors in the future may be different than what you might receive from other public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740"/>
        <w:gridCol w:w="431"/>
        <w:gridCol w:w="435"/>
        <w:gridCol w:w="109"/>
        <w:gridCol w:w="109"/>
        <w:gridCol w:w="109"/>
        <w:gridCol w:w="2645"/>
        <w:gridCol w:w="2319"/>
        <w:gridCol w:w="3308"/>
      </w:tblGrid>
      <w:tr>
        <w:trPr/>
        <w:tc>
          <w:tcPr>
            <w:tcW w:w="7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Common stock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1,200,000 shares of our common stock.</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Pre-funded warrants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also offering, in lieu of shares of our common stock to certain investors, pre-funded warrants to purchase up to 800,000 shares of our common stock.</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Each pre-funded warrant will have an initial exercise price per share of $0.0001, subject to certain adjustments. The purchase price of each pre-funded warrant is equal to the price at which the share of our common stock is being sold in this offering, minus $0.0001. The pre-funded warrants are exercisable immediately and may be exercised at any time until all of the pre-funded warrants are exercised in full. For more information, see the section titled “</w:t>
            </w:r>
            <w:r>
              <w:rPr>
                <w:rFonts w:ascii="Times New Roman;serif" w:hAnsi="Times New Roman;serif"/>
                <w:b w:val="false"/>
                <w:i/>
                <w:color w:val="000000"/>
                <w:sz w:val="20"/>
              </w:rPr>
              <w:t>Description of Pre-Funded Warrants</w:t>
            </w:r>
            <w:r>
              <w:rPr>
                <w:color w:val="000000"/>
              </w:rPr>
              <w:t xml:space="preserve">” </w:t>
            </w:r>
            <w:r>
              <w:rPr>
                <w:rFonts w:ascii="Times New Roman;serif" w:hAnsi="Times New Roman;serif"/>
                <w:b w:val="false"/>
                <w:color w:val="000000"/>
                <w:sz w:val="20"/>
              </w:rPr>
              <w:t>on page S-17 of this prospectus supplement. This prospectus supplement also relates to the offering of the shares of our common stock issuable upon exercise of the pre-funded warrants.</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Common stock outstanding immediately prior to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12,042,500 shares of common stock.</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13,242,500 shares of common stock assuming none of the pre-funded warrants issued in this offering are exercised.</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 estimate that our net proceeds from this offering will be approximately $9.0 million, excluding the proceeds, if any, from the exercise of the pre-funded warrants and after deducting underwriting discounts and commissions and estimated offering expenses payable by us. We intend to use the net proceeds we receive from this offering for working capital and general corporate purposes. See “</w:t>
            </w:r>
            <w:r>
              <w:rPr>
                <w:rFonts w:ascii="Times New Roman;serif" w:hAnsi="Times New Roman;serif"/>
                <w:b w:val="false"/>
                <w:i/>
                <w:color w:val="000000"/>
                <w:sz w:val="20"/>
              </w:rPr>
              <w:t>Use of Proceeds</w:t>
            </w:r>
            <w:r>
              <w:rPr>
                <w:color w:val="000000"/>
              </w:rPr>
              <w:t xml:space="preserve">” </w:t>
            </w:r>
            <w:r>
              <w:rPr>
                <w:rFonts w:ascii="Times New Roman;serif" w:hAnsi="Times New Roman;serif"/>
                <w:b w:val="false"/>
                <w:color w:val="000000"/>
                <w:sz w:val="20"/>
              </w:rPr>
              <w:t>for additional information.</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Your investment in our common stock involves substantial risk. See “</w:t>
            </w:r>
            <w:hyperlink w:anchor="i838b248095ae467db1c92dee7144296d_865">
              <w:r>
                <w:rPr>
                  <w:rStyle w:val="InternetLink"/>
                  <w:rFonts w:ascii="Times New Roman;serif" w:hAnsi="Times New Roman;serif"/>
                  <w:b w:val="false"/>
                  <w:i/>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838b248095ae467db1c92dee7144296d_865">
              <w:r>
                <w:rPr>
                  <w:rStyle w:val="InternetLink"/>
                  <w:rFonts w:ascii="Times New Roman;serif" w:hAnsi="Times New Roman;serif"/>
                  <w:b w:val="false"/>
                  <w:color w:val="0000FF"/>
                  <w:sz w:val="20"/>
                  <w:u w:val="single"/>
                </w:rPr>
                <w:t>S-12</w:t>
              </w:r>
            </w:hyperlink>
            <w:r>
              <w:rPr>
                <w:color w:val="000000"/>
              </w:rPr>
              <w:t xml:space="preserve"> </w:t>
            </w:r>
            <w:r>
              <w:rPr>
                <w:rFonts w:ascii="Times New Roman;serif" w:hAnsi="Times New Roman;serif"/>
                <w:b w:val="false"/>
                <w:color w:val="000000"/>
                <w:sz w:val="20"/>
              </w:rPr>
              <w:t>of this prospectus supplement and other information included and incorporated by reference in this prospectus supplement and the accompanying prospectus for a discussion of factors that you should carefully consider before deciding to invest in our common stock.</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Market for securities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Nasdaq under the symbol “QTI.” There is no established public trading market for the pre-funded warrants and we do not expect a market to develop. In addition, we do not intend to apply for listing of the pre-funded warrants on any securities exchange or recognized trading system.</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The number of shares of our common stock expected to be outstanding immediately after this offering is based on 12,042,500 shares of our common stock outstanding as of May 14, 2026, and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948,257 shares of common stock issuable upon the exercise of stock options outstanding as of May 14, 2026, at a weighted-average exercise price of $2.59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108,333 shares of common stock issuable upon the exercise of stock options outstanding as of May 14, 2026, at a weighted-average exercise price of $7.47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835,011 shares of common stock issuable upon the vesting and settlement of restricted stock unit awards, or RSUs, outstanding as of May 14,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114,480 shares of common stock reserved for future issuance under our 2024 Equity Incentive Plan as of May 14, 2026;</w:t>
      </w:r>
    </w:p>
    <w:p>
      <w:pPr>
        <w:pStyle w:val="TextBody"/>
        <w:bidi w:val="0"/>
        <w:spacing w:before="0" w:after="2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7,882,807 shares of our common stock available for issuance upon exercise of warrant agreement warrants as of May 14, 2026, at an exercise price of $6.90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24,396,416 shares of our common stock available for issuance upon exercise of Lynrock Lake warrants as of May 14, 2026, at an exercise price of $1.0002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1,458,314 shares of our common stock available for issuance upon exercise of November 2024 PIPE warrants as of May 14, 2026, at an exercise price of $2.016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523,286 shares of our common stock available for issuance upon exercise of ten year common warrants as of May 14, 2026, at an exercise price of $2.16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68,447 shares of our common stock available for issuance upon exercise of Recanati warrants as of May 14, 2026, at an exercise price of $3.36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4,040,272 shares of our common stock available for issuance upon exercise of subscription warrants as of May 14, 2026, at an exercise price of $4.50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1,808,055 shares of our common stock available for issuance upon exercise of pre-funded warrants as of May 14, 2026, at an exercise price of $0.0003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48,214 shares of our common stock available for issuance upon exercise of January 2026 PIPE warrants as of May 14, 2026, at an exercise price of $6.43 per share;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 to 800,000 shares of our common stock issuable on exercise of the pre-funded warrants issued in this offering.</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all information in this prospectus supplement assumes no exercise of the outstanding options or warrants to purchase our common stock, no vesting or settlement of RSUs described above after May 14, 2026, and no exercise of the pre-funded warrants we are offering to certain investors in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investing in our securities, you should carefully consider the risk factors incorporated by reference into this prospectus supplement, in Part I, Item 1A “Risk Factors” of our most recent Annual Report on Form 10-K, and any subsequent Current Reports on Form 8-K and incorporated by reference herein, together with all other information contained in this prospectus supplement and in our filings with the SEC that we have incorporated by reference in this prospectus supplement. If any of the following risks actually occur, our business, financial condition or results of operations could be adversely affected, which, in turn, could have a negative impact on the price of our common stock and you may lose all or part of your investment.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this Offering and the Securities Offered Hereby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you purchase securities in this offering, you may suffer immediate and substantial dilution of your investment.</w:t>
      </w:r>
    </w:p>
    <w:p>
      <w:pPr>
        <w:pStyle w:val="TextBody"/>
        <w:bidi w:val="0"/>
        <w:spacing w:lineRule="auto" w:line="288" w:before="0" w:after="180"/>
        <w:jc w:val="left"/>
        <w:rPr/>
      </w:pPr>
      <w:r>
        <w:rPr>
          <w:rFonts w:ascii="Times New Roman;serif" w:hAnsi="Times New Roman;serif"/>
          <w:b w:val="false"/>
          <w:color w:val="000000"/>
          <w:sz w:val="20"/>
        </w:rPr>
        <w:t>The offering price per share (or pre-funded warrant) in this offering will exceed the net tangible book value per share of our common stock outstanding prior to this offering. Therefore, if you purchase securities in this offering, you will pay an offering price per share (or pre-funded warrant) that substantially exceeds our net tangible book value per share after this offering. To the extent shares are issued under outstanding options at exercise prices lower than the price of our common stock in this offering, you will incur further dilution. Our historical net tangible book value as of March 31, 2026 was $3.8 million, or $0.32 per share. After giving effect to this offering at the offering price of $5.00 per share, and after deducting the underwriting discounts and commissions and estimated offering expenses payable by us (but excluding the shares of common stock to be issued and the proceeds received, if any, from exercises of the pre-funded warrants offered hereby), you will experience immediate dilution of $4.03 per share, representing the difference between our as adjusted net tangible book value per share as of March 31, 2026, after giving effect to this offering (but without giving effect to the exercise of pre-funded warrants offered hereby) at the offering price. See the section entitled “</w:t>
      </w:r>
      <w:r>
        <w:rPr>
          <w:rFonts w:ascii="Times New Roman;serif" w:hAnsi="Times New Roman;serif"/>
          <w:b w:val="false"/>
          <w:i/>
          <w:color w:val="000000"/>
          <w:sz w:val="20"/>
        </w:rPr>
        <w:t>Dilution</w:t>
      </w:r>
      <w:r>
        <w:rPr>
          <w:color w:val="000000"/>
        </w:rPr>
        <w:t xml:space="preserve">” </w:t>
      </w:r>
      <w:r>
        <w:rPr>
          <w:rFonts w:ascii="Times New Roman;serif" w:hAnsi="Times New Roman;serif"/>
          <w:b w:val="false"/>
          <w:color w:val="000000"/>
          <w:sz w:val="20"/>
        </w:rPr>
        <w:t>below for a more detailed illustration of the dilution you would incur if you participate in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broad discretion over the use of our existing cash, cash equivalents and marketable securities and the net proceeds from this offering and may not use them effectively.</w:t>
      </w:r>
    </w:p>
    <w:p>
      <w:pPr>
        <w:pStyle w:val="TextBody"/>
        <w:bidi w:val="0"/>
        <w:spacing w:lineRule="auto" w:line="288" w:before="0" w:after="180"/>
        <w:jc w:val="left"/>
        <w:rPr/>
      </w:pPr>
      <w:r>
        <w:rPr>
          <w:rFonts w:ascii="Times New Roman;serif" w:hAnsi="Times New Roman;serif"/>
          <w:b w:val="false"/>
          <w:color w:val="000000"/>
          <w:sz w:val="20"/>
        </w:rPr>
        <w:t>Our management will have broad discretion over the application of our existing cash, cash equivalents and marketable securities and the net proceeds from this offering, including for any of the purposes described in the section titled “</w:t>
      </w:r>
      <w:r>
        <w:rPr>
          <w:rFonts w:ascii="Times New Roman;serif" w:hAnsi="Times New Roman;serif"/>
          <w:b w:val="false"/>
          <w:i/>
          <w:color w:val="000000"/>
          <w:sz w:val="20"/>
        </w:rPr>
        <w:t>Use of Proceeds</w:t>
      </w:r>
      <w:r>
        <w:rPr>
          <w:rFonts w:ascii="Times New Roman;serif" w:hAnsi="Times New Roman;serif"/>
          <w:b w:val="false"/>
          <w:color w:val="000000"/>
          <w:sz w:val="20"/>
        </w:rPr>
        <w:t>,” and you will not have the opportunity as part of your investment decision to assess whether such proceeds are being used appropriately. Because of the number and variability of factors that will determine our use of our existing cash and cash equivalents and the net proceeds from this offering, their ultimate use may vary substantially from their currently intended use. Our management might not apply our existing cash and cash equivalents and marketable securities and the net proceeds from this offering in ways that ultimately increase the value of your investment. The failure by our management to apply these funds effectively could harm our business. Pending the use of the net proceeds from this offering, we may invest such net proceeds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You may experience future dilution as a result of future equity offerings.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raise additional capital, we may in the future offer additional shares of our common stock or other securities convertible into or exchangeable for our common stock at prices that may not be the same as the price per share (or pre-funded warrant) paid by any investor in this offering. We may sell shares or other securities in any other offering at a price per share that is less than the price per share paid by any investor in this offering, and investors purchasing shares or other securities in the future could have rights superior to you. The price per share at which we sell additional shares of our common stock, or securities convertible or exchangeable into shares of common stock, in future transactions may be higher or lower than the price per share paid by any investor in this offering.</w:t>
      </w:r>
    </w:p>
    <w:p>
      <w:pPr>
        <w:pStyle w:val="TextBody"/>
        <w:bidi w:val="0"/>
        <w:spacing w:before="0" w:after="2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the shares of our common stock could be highly volatile, and purchasers of our common stock could incur substantial losses.</w:t>
      </w:r>
    </w:p>
    <w:p>
      <w:pPr>
        <w:pStyle w:val="TextBody"/>
        <w:bidi w:val="0"/>
        <w:spacing w:lineRule="auto" w:line="288" w:before="0" w:after="180"/>
        <w:jc w:val="left"/>
        <w:rPr/>
      </w:pPr>
      <w:r>
        <w:rPr>
          <w:rFonts w:ascii="Times New Roman;serif" w:hAnsi="Times New Roman;serif"/>
          <w:b w:val="false"/>
          <w:color w:val="000000"/>
          <w:sz w:val="20"/>
        </w:rPr>
        <w:t>The trading price of our common stock is highly volatile and subject to wide fluctuations in response to various factors, some of which we cannot control. 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prospectus supplement, the accompanying prospectus, our Annual Report on Form 10-K for the year ended December 31, 2025, and the other documents incorporated by reference herein and therein.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you may not be able to sell your shares of common stock at or above the price at which you purchase them. In addition, the stock market in general, Nasdaq and the stock of medical 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or other equity-related securities in the public markets, could depress the market price of our common stock. This offering may contribute to a depressed market price of our common stock. If there are significant short sales of our common stock, the price decline that could result from this activity may cause the share price to decline further, which, in turn, may cause long holders of the common stock to sell their shares, thereby contributing to sales of common stock in the market. Such sales also may impair our ability to raise capital through the sale of additional equity securities in the future at a time and price that our management deems acceptable, if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public market for the pre-funded warrants being offered by us in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 We will not receive a significant amount or any additional funds upon the exercise of the pre-funded 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Holders of the pre-funded warrants will have no rights as common stockholders until they acquire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you acquire shares of our common stock upon exercise of the pre-funded warrants, you will have no rights with respect to our common stock issuable upon exercise of the pre-funded warrants, including the right to vote or respond to tender offers. Upon exercise of your pre-funded warrants, you will be entitled to exercise the rights of a common stockholder only as to matters for which the record date occurs after the exercise date.</w:t>
      </w:r>
    </w:p>
    <w:p>
      <w:pPr>
        <w:pStyle w:val="TextBody"/>
        <w:bidi w:val="0"/>
        <w:spacing w:before="0" w:after="2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not receive any meaningful amount of additional funds upon the exercise of the pre-funded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holders or beneficial holders of our common stock may not be permitted to exercise pre-funded warrants that they hold.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a pre-funded warrant will not be entitled to exercise any portion of any pre-funded warrant, which, upon giving effect to such exercise, would cause the aggregate number of shares of our common stock beneficially owned by the holder (together with its affiliates) to exceed 4.99% or 9.99%, as the case may be, of the number of shares of our common stock outstanding immediately after giving effect to the exercise of the pre-funded warrant unless such percentage is increased upon at least 61 days’ prior notice, but not in excess of 19.99%.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in the foreseeable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We currently intend to invest our future earnings, if any, to fund our growth and not to pay any cash dividends on our common stock. Because we do not intend to pay dividends, your ability to receive a return on your investment will depend on any future appreciation in the market price of our common stock. We cannot be certain that our common stock will appreciate in price.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maintain a current and effective registration statement relating to the shares of our common stock issuable upon exercise of the pre-funded warrants, holders will only be able to exercise such pre-funded warrants on a “cashless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such pre-funded warrants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that the net proceeds from our issuance and sale of 1,200,000 shares of our common stock and pre-funded warrants to purchase up to 800,000 shares of our common stock in this offering will be approximately $9.0 million, excluding the proceeds, if any, from the exercise of the pre-funded warrants offered hereby, and after deducting underwriting discounts and commissions and estimated offering expenses payable by us. We will receive nominal proceeds, if any, from the exercise of the pre-funded warrants.</w:t>
      </w:r>
    </w:p>
    <w:p>
      <w:pPr>
        <w:pStyle w:val="TextBody"/>
        <w:bidi w:val="0"/>
        <w:spacing w:lineRule="auto" w:line="288" w:before="0" w:after="180"/>
        <w:jc w:val="left"/>
        <w:rPr/>
      </w:pPr>
      <w:r>
        <w:rPr>
          <w:rFonts w:ascii="Times New Roman;serif" w:hAnsi="Times New Roman;serif"/>
          <w:b w:val="false"/>
          <w:color w:val="000000"/>
          <w:sz w:val="20"/>
        </w:rPr>
        <w:t>We currently intend to use the net proceeds from this offering for working capital and general corporate purposes. The amounts and timing of our actual expenditures will depend on numerous factors, including the factors described under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invest in this offering, your ownership interest will be diluted immediately to the extent of the difference between the public offering price per share of common stock or pre-funded warrant in this offering and the as adjusted net tangible book value per share of our common stock after giving effect to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a historical net tangible book value of $3.8 million, or $0.32 per share of common stock, based on 12,042,500 shares of common stock outstanding. Our historical net tangible book value per share represents total tangible assets less total liabilities, divided by the number of shares of common stock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(i) 1,200,000 shares of our common stock in this offering at the offering price of $5.00 per share and (ii) pre-funded warrants to purchase up to 800,000 shares of our common stock in this offering at the offering price minus $0.0001 (excluding, in each case, the shares of common stock to be issued and the proceeds received, if any, from exercises of the pre-funded warrants), and after deducting the underwriting discounts and commissions and estimated offering expenses payable by us, our as adjusted net tangible book value as of March 31, 2026 would have been approximately $12.8 million, or $0.97 per share of our common stock. This represents an immediate increase in as adjusted net tangible book value of $0.65 per share to our existing stockholders and an immediate dilution of $4.03 per share to investors purchasing our securities in this offering.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57"/>
        <w:gridCol w:w="2598"/>
        <w:gridCol w:w="2615"/>
        <w:gridCol w:w="211"/>
        <w:gridCol w:w="511"/>
        <w:gridCol w:w="109"/>
        <w:gridCol w:w="109"/>
        <w:gridCol w:w="109"/>
        <w:gridCol w:w="109"/>
        <w:gridCol w:w="211"/>
        <w:gridCol w:w="511"/>
        <w:gridCol w:w="155"/>
      </w:tblGrid>
      <w:tr>
        <w:trPr/>
        <w:tc>
          <w:tcPr>
            <w:tcW w:w="295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 (or pre-funded warrant)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investors purchasing shares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Dilution in net tangible book value per share to investors purchasing shares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Assuming the pre-funded warrants were immediately and fully exercised, this would result in an as adjusted net tangible book value, after giving effect to this offering and warrant exercise, of $12.8 million, or $0.91 per share. This represents an increase in net tangible book value of $0.59 per share to existing stockholders and dilution in net tangible book value per share of $4.09 to new investors participating in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number of shares of our common stock to be outstanding after this offering set forth above is based on 12,042,500 shares of our common stock outstanding as of March 31, 2026, and excludes the 800,000 shares of common stock issuable upon exercise of the pre-funded warrants being offered by us in this offering. The number of shares outstanding as of March 31, 2026, unless otherwise indicated,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992,702 shares of common stock issuable upon the exercise of stock options outstanding as of March 31, 2026, at a weighted-average exercise price of $2.59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108,333 shares of common stock issuable upon the exercise of stock options outstanding as of March 31, 2026, at a weighted-average exercise price of $7.47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838,730 shares of common stock issuable upon the vesting and settlement of RSUs outstanding as of March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66,316 shares of common stock reserved for future issuance under our 2024 Equity Incentive Plan as of March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7,882,807 shares of our common stock available for issuance upon exercise of warrant agreement warrants as of March 31, 2026, at an exercise price of $6.90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24,396,416 shares of our common stock available for issuance upon exercise of Lynrock Lake warrants as of March 31, 2026, at an exercise price of $1.0002 per share;</w:t>
      </w:r>
    </w:p>
    <w:p>
      <w:pPr>
        <w:pStyle w:val="TextBody"/>
        <w:bidi w:val="0"/>
        <w:spacing w:before="0" w:after="2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1,458,314 shares of our common stock available for issuance upon exercise of November 2024 PIPE warrants as of March 31, 2026, at an exercise price of $2.016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523,286 shares of our common stock available for issuance upon exercise of ten year common warrants as of March 31, 2026, at an exercise price of $2.16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68,447 shares of our common stock available for issuance upon exercise of Recanati warrants as of March 31, 2026, at an exercise price of $3.36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4,040,272 shares of our common stock available for issuance upon exercise of subscription warrants as of March 31, 2026, at an exercise price of $4.50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1,808,055 shares of our common stock available for issuance upon exercise of pre-funded warrants as of March 31, 2026, at an exercise price of $0.0003 per share;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48,214 shares of our common stock available for issuance upon exercise of January 2026 PIPE, at an exercise price of $6.43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that options or warrants outstanding as of March 31, 2026 or pre-funded warrants have been or may be exercised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yet determined whether the pre-funded warrants will be classified and accounted for as liabilities or as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not paid any cash dividends on its common stock to date. The Company may retain future earnings, if any, for future operations, expansion and debt repayment and has no current plans to pay cash dividends for the foreseeable future. Any decision to declare and pay dividends in the future will be made at the discretion of the Company’s board of directors (the “</w:t>
      </w:r>
      <w:r>
        <w:rPr>
          <w:rFonts w:ascii="Times New Roman;serif" w:hAnsi="Times New Roman;serif"/>
          <w:b/>
          <w:i/>
          <w:color w:val="000000"/>
          <w:sz w:val="20"/>
          <w:shd w:fill="FFFFFF" w:val="clear"/>
        </w:rPr>
        <w:t>Board</w:t>
      </w:r>
      <w:r>
        <w:rPr>
          <w:color w:val="000000"/>
          <w:shd w:fill="FFFFFF" w:val="clear"/>
        </w:rPr>
        <w:t>”</w:t>
      </w:r>
      <w:r>
        <w:rPr>
          <w:rFonts w:ascii="Times New Roman;serif" w:hAnsi="Times New Roman;serif"/>
          <w:b w:val="false"/>
          <w:color w:val="000000"/>
          <w:sz w:val="20"/>
          <w:shd w:fill="FFFFFF" w:val="clear"/>
        </w:rPr>
        <w:t>)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our common stock in the foreseeable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PRE-FUNDED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 “pre-funded” refers to the fact that the purchase price of the pre-funded warrants in this offering includes almost the entire exercise price that will be paid under the pre-funded warrants, except for a nominal remaining exercise price of $0.0001. The purpose of the pre-funded warrants is to enable investors that may have restrictions on their ability to beneficially own more than 4.99% (or, at the election of such purchaser, 9.99%) of our outstanding common stock following the consummation of this offering the opportunity to invest capital into the Company without triggering their ownership restrictions, by receiving pre-funded warrants in lieu of shares of our common stock which would result in such ownership of more than 4.99%, or 9.99%, as applicable, and receiving the ability to exercise their option to purchase the shares underlying the pre-funded warrants at a nominal price at a later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Duration and Exercise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pre-funded warrant offered hereby has an initial exercise price per share equal to $0.0001. The pre-funded warrants are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Cashless Exercise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at the time a holder exercises its pre-funded warrants, a registration statement registering the issuance of the shares of common 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pStyle w:val="TextBody"/>
        <w:bidi w:val="0"/>
        <w:spacing w:before="0" w:after="2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applicable laws, a pre-funded warrant may be transferred at the option of the holder upon surrender of the pre-funded warrant to us together with the appropriate instruments of transfer.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Exchange 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is no trading market available for the pre-funded warrants on any securities exchange or nationally recognized trading system. We do not intend to list the pre-funded warrants on any securities exchange or nationally recognized trading system.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Right as a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Fundamental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Notwithstanding the foregoing, in the event of a fundamental transaction, the holder of the pre-funded warrant will have the right to require us or the successor entity to purchase the remaining unexercised portion of the pre-funded warrant in cash in an amount equal to a Black Scholes Value as defined in the pre-funded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underwriting agreement, dated May 15, 2026, by and between us and Ladenburg Thalmann &amp; Co. Inc., as the representative of the underwriters named below and the sole book-running manager of this offering, we have agreed to sell to the underwriters, and each of the underwriters has agreed, severally and not jointly, to purchase from us the respective number of shares of common stock and pre-funded warrants shown opposite its name below:</w:t>
      </w:r>
    </w:p>
    <w:tbl>
      <w:tblPr>
        <w:tblW w:w="7473" w:type="dxa"/>
        <w:jc w:val="left"/>
        <w:tblInd w:w="0" w:type="dxa"/>
        <w:tblLayout w:type="fixed"/>
        <w:tblCellMar>
          <w:top w:w="28" w:type="dxa"/>
          <w:left w:w="28" w:type="dxa"/>
          <w:bottom w:w="28" w:type="dxa"/>
          <w:right w:w="28" w:type="dxa"/>
        </w:tblCellMar>
      </w:tblPr>
      <w:tblGrid>
        <w:gridCol w:w="995"/>
        <w:gridCol w:w="874"/>
        <w:gridCol w:w="876"/>
        <w:gridCol w:w="109"/>
        <w:gridCol w:w="109"/>
        <w:gridCol w:w="109"/>
        <w:gridCol w:w="554"/>
        <w:gridCol w:w="469"/>
        <w:gridCol w:w="471"/>
        <w:gridCol w:w="109"/>
        <w:gridCol w:w="109"/>
        <w:gridCol w:w="109"/>
        <w:gridCol w:w="754"/>
        <w:gridCol w:w="754"/>
        <w:gridCol w:w="1072"/>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Underwriter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Pre-Funded Warrants</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Ladenburg Thalmann &amp; 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640,000 </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Northland Securities,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We have been advised by the underwriters that they propose to offer the securities directly to the public at the public offering prices set forth on the cover page of this prospectus supplement. Any securities sold by the underwriters to securities dealers will be sold at the public offering price less a selling concession not in excess of $0.21 per share of </w:t>
      </w:r>
      <w:r>
        <w:rPr>
          <w:rFonts w:ascii="Times New Roman;serif" w:hAnsi="Times New Roman;serif"/>
          <w:b w:val="false"/>
          <w:color w:val="000000"/>
          <w:sz w:val="20"/>
          <w:shd w:fill="FFFFFF" w:val="clear"/>
        </w:rPr>
        <w:t>common stock</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provides that the underwriters’ obligation to purchase the securities we are offering is subject to conditions contained in the underwriting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action has been taken by us or the underwriters that would permit a public offering of the securities in any jurisdiction outside the United States where action for that purpose is required. None of our securities included in this offering may be offered or sold, directly or indirectly, nor may this prospectus or any other offering material or advertisements in connection with the offer and sales of any of the securities offering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securities and the distribution of this prospectus. This prospectus is neither an offer to sell nor a solicitation of any offer to buy the securities in any jurisdiction where that would not be permitted or legal.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they do not intend to confirm sales to any account over which they exercise discretionary authority.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agreed to indemnify the underwriters against specified liabilities, including liabilities under the Securities Act, or to contribute to payments the underwriters may be required to make in respect of those liabilities.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Underwriting Discount, Commissions and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offering price, underwriting discounts and proceeds, before expenses, to us.</w:t>
      </w:r>
    </w:p>
    <w:tbl>
      <w:tblPr>
        <w:tblW w:w="9224" w:type="dxa"/>
        <w:jc w:val="left"/>
        <w:tblInd w:w="0" w:type="dxa"/>
        <w:tblLayout w:type="fixed"/>
        <w:tblCellMar>
          <w:top w:w="28" w:type="dxa"/>
          <w:left w:w="28" w:type="dxa"/>
          <w:bottom w:w="28" w:type="dxa"/>
          <w:right w:w="28" w:type="dxa"/>
        </w:tblCellMar>
      </w:tblPr>
      <w:tblGrid>
        <w:gridCol w:w="1573"/>
        <w:gridCol w:w="1385"/>
        <w:gridCol w:w="1392"/>
        <w:gridCol w:w="209"/>
        <w:gridCol w:w="499"/>
        <w:gridCol w:w="116"/>
        <w:gridCol w:w="109"/>
        <w:gridCol w:w="109"/>
        <w:gridCol w:w="109"/>
        <w:gridCol w:w="338"/>
        <w:gridCol w:w="1424"/>
        <w:gridCol w:w="188"/>
        <w:gridCol w:w="109"/>
        <w:gridCol w:w="109"/>
        <w:gridCol w:w="109"/>
        <w:gridCol w:w="196"/>
        <w:gridCol w:w="1096"/>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Pre-Funded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4.999900 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9,999,920.00 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paid by us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0.349993 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699,994.40 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to us, before expenses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4.649907 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9,299,925.60 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underwriting agreement, we will pay the underwriters, concurrently with the closing of this offering, an underwriting fee equal to 7.0% of the aggregate purchase price paid by each purchaser of securities that are placed in this offering. We have also agreed to reimburse the representative for certain of its offering-related expenses, for its legal fees and expenses and other accountable out-of-pocket expenses in an amount up to $80,000.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total estimated expenses of the offering, including registration, filing and listing fees, printing fees and legal and accounting expenses, but excluding underwriting discounts and commissions, are approximately $300,000.</w:t>
      </w:r>
    </w:p>
    <w:p>
      <w:pPr>
        <w:pStyle w:val="TextBody"/>
        <w:bidi w:val="0"/>
        <w:spacing w:before="0" w:after="20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Lock-up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of our officers and directors have agreed with the underwriters to be subject to a lock-up period of ninety (90) days following the closing of this offering, subject to certain exceptions. This means that, during the applicable lock-up period, such persons may not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also agreed, in the underwriting agreement, to similar lock-up restrictions on the issuance and sale of our equity securities from the date of this prospectus for a period of ninety (90) days following the closing of this offering, subject to certain exceptions. The representative may, in its sole discretion and without notice, waive the terms of any of these lock-up agreements.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Determination of Offering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public offering price of the securities offered by this prospectus will be determined by negotiation between us and the underwriters. Among the factors that will be considered in determining the final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history and prospects;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industry in which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past and present operating results;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general condition of the securities markets at the time of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public offering price stated on the cover page of this prospectus supplement should not be considered an indication of the actual value of the securities sold in this offering. That price is subject to change as a result of market conditions and other factors and we cannot assure you that the securities sold in this offering can be resold at or above the public offering price.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Right of First Refusal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granted the representative a right of first refusal, for a period of nine months from the expiration of the initial term of that investment banking agreement dated April 2, 2026, as amended, to act as lead bookrunner, exclusive placement agent, at the representative’s sole and exclusive discretion, for each and every future financing to be undertaken by us. If the Company terminates the representative for cause, in compliance with FINRA Rule 5110(g) (5)(B), then no such right of first refusal will be granted to the representative. Notwithstanding anything to the contrary contained in this paragraph, in accordance with FINRA Rule 5110(g)(6)(A)(i), any such right of first refusal described in this paragraph shall not have a duration of more than three years from the commencement of sales in the offering or the termination date of the term of the Underwriting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Electronic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 electronic format may be made available on websites or through other online services maintained by one or more of the underwriters, or by their affiliates. Other than this prospectus in electronic format, the information on any underwriter’s website and any information contained in any other website maintained by an underwriter is not part of this prospectus, has not been approved and/or endorsed by us or any underwriter in its capacity as underwriter, and should not be relied upon by investors.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Stabilization, Short Positions and Penalty Bids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may engage in syndicate covering transactions, stabilizing transactions and penalty bids or purchases for the purpose of pegging, fixing or maintaining the price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Syndicate covering transactions involve purchases of securities in the open market after the distribution has been completed in order to cover syndicate short positions. Such a naked short position would be closed out </w:t>
      </w:r>
    </w:p>
    <w:p>
      <w:pPr>
        <w:pStyle w:val="TextBody"/>
        <w:bidi w:val="0"/>
        <w:spacing w:before="0" w:after="2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by buying securities in the open market. A naked short position is more likely to be created if the underwriters are concerned that there could be downward pressure on the price of the securities in the open market after pricing that could adversely affect investors who purchase in the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Stabilizing transactions permit bids to purchase the underlying security so long as the stabilizing bids do not exceed a specific maximum.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Penalty bids permit the underwriters to reclaim a selling concession from a syndicate member when the securities originally sold by the syndicate member are purchased in a stabilizing or syndicate covering transaction to cover syndicate short positions.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underwriters make any representation or prediction as to the effect that the transactions described above may have on the price of our common stock. These transactions may be effected on Nasdaq, in the over-the-counter market or on any other trading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this offering, the underwriters also may engage in passive market making transactions in our common stock in accordance with Regulation M during a period before the commencement of offers or sales of shares of our common stock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the underwriters make any representation or prediction as to the direction or magnitude of any effect that the transactions described above may have on the prices of our securities. In addition, neither we nor the underwriters make any representation that the underwriters will engage in these transactions or that any transactions, once commenced will not be discontinued without notice.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Relationships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Except for services provided in connection with this offering and described below, the representative has not provided any investment banking or other financial services to us during the 180-day period preceding the date of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DLA Piper LLP (US), San Francisco, California, which has acted as our counsel in connection with this offering, will pass upon the validity of the securities offered hereby. Sichenzia Ross Ference Carmel LLP, New York, New York, has acted as counsel to the underwriters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QT Imaging Holdings, Inc. as of December 31, 2025 and 2024, and for each of the two years in the period ended December 31, 2025, incorporated in this prospectus supplement by reference to the Annual Report on Form 10-K for the year ended December 31, 2025, have been so incorporated in reliance on the report of BPM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is part of a registration statement that we have filed with the SEC. Certain information in the registration statement has been omitted from this prospectus supplement in accordance with the rules of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file annual, quarterly and current reports, proxy statements and other information with the SEC as required by the Exchange Act. You can read our SEC filings, including this prospectus, over the Internet at the SEC’s website at http://www.sec.gov.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address is https://www.qtimaging.com.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INCORPORATED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of the SEC allow us to incorporate information into this prospectus by reference.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and all documents that we subsequently file with the SEC under Sections 13(a), 13(c), 14 or 15(d) of the Exchange Act prior to the termination of the offering of securities by means of this prospectus, from their respective filing dates (other than any portions thereof, which under the Exchange Act, and applicable SEC rules, are not deemed “filed” under the Exchange Act):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 for the year ended December 31, 2025</w:t>
        </w:r>
      </w:hyperlink>
      <w:r>
        <w:rPr>
          <w:rFonts w:ascii="Times New Roman;serif" w:hAnsi="Times New Roman;serif"/>
          <w:b w:val="false"/>
          <w:color w:val="000000"/>
          <w:sz w:val="20"/>
        </w:rPr>
        <w:t xml:space="preserve">, filed with the SEC on March 25,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 on </w:t>
      </w:r>
      <w:hyperlink r:id="rId4">
        <w:r>
          <w:rPr>
            <w:rStyle w:val="InternetLink"/>
            <w:rFonts w:ascii="Times New Roman;serif" w:hAnsi="Times New Roman;serif"/>
            <w:b w:val="false"/>
            <w:color w:val="0000FF"/>
            <w:sz w:val="20"/>
            <w:u w:val="single"/>
          </w:rPr>
          <w:t>Form 10-Q for the quarterly period ended March 31, 2026</w:t>
        </w:r>
      </w:hyperlink>
      <w:r>
        <w:rPr>
          <w:rFonts w:ascii="Times New Roman;serif" w:hAnsi="Times New Roman;serif"/>
          <w:b w:val="false"/>
          <w:color w:val="000000"/>
          <w:sz w:val="20"/>
        </w:rPr>
        <w:t>, filed with the SEC on May 13, 2026;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5">
        <w:r>
          <w:rPr>
            <w:rStyle w:val="InternetLink"/>
            <w:rFonts w:ascii="Times New Roman;serif" w:hAnsi="Times New Roman;serif"/>
            <w:b w:val="false"/>
            <w:color w:val="0000FF"/>
            <w:sz w:val="20"/>
            <w:u w:val="single"/>
          </w:rPr>
          <w:t>January 20,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January 23,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January 27, 2026</w:t>
        </w:r>
      </w:hyperlink>
      <w:r>
        <w:rPr>
          <w:rFonts w:ascii="Times New Roman;serif" w:hAnsi="Times New Roman;serif"/>
          <w:b w:val="false"/>
          <w:color w:val="000000"/>
          <w:sz w:val="20"/>
        </w:rPr>
        <w:t xml:space="preserve">, and </w:t>
      </w:r>
      <w:hyperlink r:id="rId8">
        <w:r>
          <w:rPr>
            <w:rStyle w:val="InternetLink"/>
            <w:rFonts w:ascii="Times New Roman;serif" w:hAnsi="Times New Roman;serif"/>
            <w:b w:val="false"/>
            <w:color w:val="0000FF"/>
            <w:sz w:val="20"/>
            <w:u w:val="single"/>
          </w:rPr>
          <w:t>February 6, 2026</w:t>
        </w:r>
      </w:hyperlink>
      <w:r>
        <w:rPr>
          <w:rFonts w:ascii="Times New Roman;serif" w:hAnsi="Times New Roman;serif"/>
          <w:b w:val="false"/>
          <w:color w:val="000000"/>
          <w:sz w:val="20"/>
        </w:rPr>
        <w:t xml:space="preserve">, and filed with the SEC at 08:13:59a.m. EDT on </w:t>
      </w:r>
      <w:hyperlink r:id="rId9">
        <w:r>
          <w:rPr>
            <w:rStyle w:val="InternetLink"/>
            <w:rFonts w:ascii="Times New Roman;serif" w:hAnsi="Times New Roman;serif"/>
            <w:b w:val="false"/>
            <w:color w:val="0000FF"/>
            <w:sz w:val="20"/>
            <w:u w:val="single"/>
          </w:rPr>
          <w:t>March 25, 2026</w:t>
        </w:r>
      </w:hyperlink>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incorporated by reference into this prospectus supplement is an important part of this prospectus. Neither we nor any underwriters have authorized anyone to provide you with information other than that contained in or incorporated by reference into this prospectus. You should not assume that the information in this prospectus is accurate as of any date other than the date of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not rely on or assume the accuracy of any representation or warranty in any agreement that we have filed as an exhibit to any document that we have publicly filed or that we may otherwise publicly file in the future because such representation or warranty may be subject to exceptions and qualifications contained in separate disclosure schedules, may have been included in such agreement for the purpose of allocating risk between the parties to the particular transaction, and may no longer continue to be true as of any given date.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have incorporated by reference any statement or information in this prospectus supplement and we subsequently modify that statement or information with information contained in this prospectus, the statement or information previously incorporated in this prospectus is also modified or superseded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PROSPECTUS</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QT IMAGING HOLDINGS, INC.</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Up to $100,000,000</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Common Stock</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Preferred Stock</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Debt Securities</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Warrants</w:t>
      </w:r>
    </w:p>
    <w:p>
      <w:pPr>
        <w:pStyle w:val="TextBody"/>
        <w:bidi w:val="0"/>
        <w:spacing w:lineRule="auto" w:line="288" w:before="0" w:after="18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Units</w:t>
      </w:r>
    </w:p>
    <w:p>
      <w:pPr>
        <w:pStyle w:val="TextBody"/>
        <w:bidi w:val="0"/>
        <w:spacing w:lineRule="auto" w:line="288" w:before="0" w:after="180"/>
        <w:jc w:val="left"/>
        <w:rPr/>
      </w:pPr>
      <w:r>
        <w:rPr>
          <w:rFonts w:ascii="Times New Roman;serif" w:hAnsi="Times New Roman;serif"/>
          <w:b w:val="false"/>
          <w:color w:val="000000"/>
          <w:sz w:val="20"/>
          <w:shd w:fill="FFFFFF" w:val="clear"/>
        </w:rPr>
        <w:t>We may, from time to time in one or more offerings, offer and sell up to $100.0 million in the aggregate principal amount of our common stock, par value $0.0001 per share (“</w:t>
      </w:r>
      <w:r>
        <w:rPr>
          <w:rFonts w:ascii="Times New Roman;serif" w:hAnsi="Times New Roman;serif"/>
          <w:b/>
          <w:i/>
          <w:color w:val="000000"/>
          <w:sz w:val="20"/>
          <w:shd w:fill="FFFFFF" w:val="clear"/>
        </w:rPr>
        <w:t>Common Stock</w:t>
      </w:r>
      <w:r>
        <w:rPr>
          <w:color w:val="000000"/>
          <w:shd w:fill="FFFFFF" w:val="clear"/>
        </w:rPr>
        <w:t>”</w:t>
      </w:r>
      <w:r>
        <w:rPr>
          <w:rFonts w:ascii="Times New Roman;serif" w:hAnsi="Times New Roman;serif"/>
          <w:b w:val="false"/>
          <w:color w:val="000000"/>
          <w:sz w:val="20"/>
          <w:shd w:fill="FFFFFF" w:val="clear"/>
        </w:rPr>
        <w:t xml:space="preserve">), preferred stock, debt securities, warrants and/or units, in one or more series or classes and in any combination, together or separately, in one or more offerings in amounts, at prices and on the terms that we will determine at the time of the offering and which will be set forth in a prospectus supplement to this prospectus and any related free writing prospectus. </w:t>
      </w:r>
    </w:p>
    <w:p>
      <w:pPr>
        <w:pStyle w:val="TextBody"/>
        <w:bidi w:val="0"/>
        <w:spacing w:lineRule="auto" w:line="288" w:before="0" w:after="180"/>
        <w:jc w:val="left"/>
        <w:rPr/>
      </w:pPr>
      <w:r>
        <w:rPr>
          <w:rFonts w:ascii="Times New Roman;serif" w:hAnsi="Times New Roman;serif"/>
          <w:b w:val="false"/>
          <w:color w:val="000000"/>
          <w:sz w:val="20"/>
          <w:shd w:fill="FFFFFF" w:val="clear"/>
        </w:rPr>
        <w:t>We may offer these securities separately or together in units. This prospectus provides a general description of the securities we may offer. Each time we sell securities described herein, we will provide the specific terms of the securities offered in one or more supplements to this prospectus. We will provide prospective investors with a supplement to this prospectus that will specify the terms of the securities being offered. We may also authorize one or more free writing prospectuses to be provided to you in connection with these offerings. We may sell these securities to or through underwriters or dealers and also to other purchasers or through agents. We will set forth the names of any underwriters or agents, and any fees, conversions, or discount arrangements, in the applicable prospectus supplement. For additional information on the methods of sale, you should refer to the section entitled “Plan of Distribution” in this prospectus and in the applicable prospectus supplement. The prospectus supplement and any related free writing prospectus may add, update or change information contained in this prospectus. Please read carefully this prospectus, the applicable prospectus supplement, any related free writing prospectus, and the documents incorporated by reference before you invest in any of our securities. We may not sell any securities under this prospectus without delivery of the applicable prospectus supplement. </w:t>
      </w:r>
      <w:r>
        <w:rPr>
          <w:rFonts w:ascii="Times New Roman;serif" w:hAnsi="Times New Roman;serif"/>
          <w:b/>
          <w:color w:val="000000"/>
          <w:sz w:val="20"/>
          <w:shd w:fill="FFFFFF" w:val="clear"/>
        </w:rPr>
        <w:t>This prospectus may not be used to offer or sell any securities unless accompanied by the applicable prospectus supplement.</w:t>
      </w:r>
    </w:p>
    <w:p>
      <w:pPr>
        <w:pStyle w:val="TextBody"/>
        <w:bidi w:val="0"/>
        <w:spacing w:lineRule="auto" w:line="288" w:before="0" w:after="180"/>
        <w:jc w:val="left"/>
        <w:rPr/>
      </w:pPr>
      <w:r>
        <w:rPr>
          <w:rFonts w:ascii="Times New Roman;serif" w:hAnsi="Times New Roman;serif"/>
          <w:b w:val="false"/>
          <w:color w:val="000000"/>
          <w:sz w:val="20"/>
          <w:shd w:fill="FFFFFF" w:val="clear"/>
        </w:rPr>
        <w:t>You should read this prospectus and any prospectus supplement of amendment carefully before you invest in our securities. Our Common Stock is traded on the Nasdaq Stock Market LLC (“</w:t>
      </w:r>
      <w:r>
        <w:rPr>
          <w:rFonts w:ascii="Times New Roman;serif" w:hAnsi="Times New Roman;serif"/>
          <w:b/>
          <w:i/>
          <w:color w:val="000000"/>
          <w:sz w:val="20"/>
          <w:shd w:fill="FFFFFF" w:val="clear"/>
        </w:rPr>
        <w:t>Nasdaq</w:t>
      </w:r>
      <w:r>
        <w:rPr>
          <w:color w:val="000000"/>
          <w:shd w:fill="FFFFFF" w:val="clear"/>
        </w:rPr>
        <w:t>”</w:t>
      </w:r>
      <w:r>
        <w:rPr>
          <w:rFonts w:ascii="Times New Roman;serif" w:hAnsi="Times New Roman;serif"/>
          <w:b w:val="false"/>
          <w:color w:val="000000"/>
          <w:sz w:val="20"/>
          <w:shd w:fill="FFFFFF" w:val="clear"/>
        </w:rPr>
        <w:t>) under the symbol “QTI,” and our public warrants are traded in the over-the-counter (OTC) market under the symbol “QTIWW.” On March 26, 2026, the closing price of our Common Stock was $6.30, and on March 26, 2026, the closing price for our public warrants was $0.33.</w:t>
      </w:r>
    </w:p>
    <w:p>
      <w:pPr>
        <w:pStyle w:val="TextBody"/>
        <w:bidi w:val="0"/>
        <w:spacing w:lineRule="auto" w:line="288" w:before="0" w:after="180"/>
        <w:jc w:val="left"/>
        <w:rPr/>
      </w:pPr>
      <w:r>
        <w:rPr>
          <w:rFonts w:ascii="Times New Roman;serif" w:hAnsi="Times New Roman;serif"/>
          <w:b w:val="false"/>
          <w:color w:val="000000"/>
          <w:sz w:val="20"/>
          <w:shd w:fill="FFFFFF" w:val="clear"/>
        </w:rPr>
        <w:t>We are an “emerging growth company” as defined in Section 2(a) of the Securities Act of 1933, as amended (the “</w:t>
      </w:r>
      <w:r>
        <w:rPr>
          <w:rFonts w:ascii="Times New Roman;serif" w:hAnsi="Times New Roman;serif"/>
          <w:b/>
          <w:i/>
          <w:color w:val="000000"/>
          <w:sz w:val="20"/>
          <w:shd w:fill="FFFFFF" w:val="clear"/>
        </w:rPr>
        <w:t>Securities Act</w:t>
      </w:r>
      <w:r>
        <w:rPr>
          <w:color w:val="000000"/>
          <w:shd w:fill="FFFFFF" w:val="clear"/>
        </w:rPr>
        <w:t>”</w:t>
      </w:r>
      <w:r>
        <w:rPr>
          <w:rFonts w:ascii="Times New Roman;serif" w:hAnsi="Times New Roman;serif"/>
          <w:b w:val="false"/>
          <w:color w:val="000000"/>
          <w:sz w:val="20"/>
          <w:shd w:fill="FFFFFF" w:val="clear"/>
        </w:rPr>
        <w:t>), and a “smaller reporting company” as defined in Item 10(f)(1) of Regulation S-K of the U.S. Securities and Exchange Commission (the “</w:t>
      </w:r>
      <w:r>
        <w:rPr>
          <w:rFonts w:ascii="Times New Roman;serif" w:hAnsi="Times New Roman;serif"/>
          <w:b/>
          <w:i/>
          <w:color w:val="000000"/>
          <w:sz w:val="20"/>
          <w:shd w:fill="FFFFFF" w:val="clear"/>
        </w:rPr>
        <w:t>SEC</w:t>
      </w:r>
      <w:r>
        <w:rPr>
          <w:color w:val="000000"/>
          <w:shd w:fill="FFFFFF" w:val="clear"/>
        </w:rPr>
        <w:t>”</w:t>
      </w:r>
      <w:r>
        <w:rPr>
          <w:rFonts w:ascii="Times New Roman;serif" w:hAnsi="Times New Roman;serif"/>
          <w:b w:val="false"/>
          <w:color w:val="000000"/>
          <w:sz w:val="20"/>
          <w:shd w:fill="FFFFFF" w:val="clear"/>
        </w:rPr>
        <w:t>) ,and are subject to reduced public company reporting requirements. This prospectus complies with the requirements that apply to an issuer that is an emerging growth company.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our securities involves a high degree of risk. You should review carefully the risks and uncertainties referenced under the heading “</w:t>
      </w:r>
      <w:hyperlink w:anchor="i838b248095ae467db1c92dee7144296d_22">
        <w:r>
          <w:rPr>
            <w:rStyle w:val="InternetLink"/>
            <w:rFonts w:ascii="Times New Roman;serif" w:hAnsi="Times New Roman;serif"/>
            <w:b/>
            <w:i/>
            <w:color w:val="0000FF"/>
            <w:sz w:val="20"/>
            <w:u w:val="single"/>
          </w:rPr>
          <w:t>Risk Factors</w:t>
        </w:r>
      </w:hyperlink>
      <w:r>
        <w:rPr>
          <w:color w:val="000000"/>
        </w:rPr>
        <w:t xml:space="preserve">” </w:t>
      </w:r>
      <w:r>
        <w:rPr>
          <w:rFonts w:ascii="Times New Roman;serif" w:hAnsi="Times New Roman;serif"/>
          <w:b/>
          <w:color w:val="000000"/>
          <w:sz w:val="20"/>
        </w:rPr>
        <w:t xml:space="preserve">contained in this prospectus beginning on page </w:t>
      </w:r>
      <w:hyperlink w:anchor="i838b248095ae467db1c92dee7144296d_22">
        <w:r>
          <w:rPr>
            <w:rStyle w:val="InternetLink"/>
            <w:rFonts w:ascii="Times New Roman;serif" w:hAnsi="Times New Roman;serif"/>
            <w:b/>
            <w:strike w:val="false"/>
            <w:dstrike w:val="false"/>
            <w:color w:val="000000"/>
            <w:sz w:val="20"/>
            <w:u w:val="none"/>
            <w:effect w:val="none"/>
          </w:rPr>
          <w:t>8</w:t>
        </w:r>
      </w:hyperlink>
      <w:r>
        <w:rPr>
          <w:rFonts w:ascii="Times New Roman;serif" w:hAnsi="Times New Roman;serif"/>
          <w:b/>
          <w:color w:val="000000"/>
          <w:sz w:val="20"/>
        </w:rPr>
        <w:t xml:space="preserve"> and any applicable prospectus supplement, and under similar headings in the other documents that are incorporated by reference into this prospectus. You should read the entire prospectus carefully before you make your investment decision.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U.S. Securities and Exchange Commission nor any other state securities commission has approved or disapproved of these securities or passed on the adequacy or accuracy of this prospectus.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917" w:type="dxa"/>
        <w:jc w:val="left"/>
        <w:tblInd w:w="0" w:type="dxa"/>
        <w:tblLayout w:type="fixed"/>
        <w:tblCellMar>
          <w:top w:w="28" w:type="dxa"/>
          <w:left w:w="28" w:type="dxa"/>
          <w:bottom w:w="28" w:type="dxa"/>
          <w:right w:w="28" w:type="dxa"/>
        </w:tblCellMar>
      </w:tblPr>
      <w:tblGrid>
        <w:gridCol w:w="2731"/>
        <w:gridCol w:w="2401"/>
        <w:gridCol w:w="2413"/>
        <w:gridCol w:w="109"/>
        <w:gridCol w:w="109"/>
        <w:gridCol w:w="154"/>
      </w:tblGrid>
      <w:tr>
        <w:trPr/>
        <w:tc>
          <w:tcPr>
            <w:tcW w:w="273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13">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3">
              <w:r>
                <w:rPr>
                  <w:rStyle w:val="InternetLink"/>
                  <w:rFonts w:ascii="Times New Roman;serif" w:hAnsi="Times New Roman;serif"/>
                  <w:b w:val="false"/>
                  <w:color w:val="0000FF"/>
                  <w:sz w:val="20"/>
                  <w:u w:val="single"/>
                </w:rPr>
                <w:t>1</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16">
              <w:r>
                <w:rPr>
                  <w:rStyle w:val="InternetLink"/>
                  <w:rFonts w:ascii="Times New Roman;serif" w:hAnsi="Times New Roman;serif"/>
                  <w:b w:val="false"/>
                  <w:color w:val="0000FF"/>
                  <w:sz w:val="20"/>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6">
              <w:r>
                <w:rPr>
                  <w:rStyle w:val="InternetLink"/>
                  <w:rFonts w:ascii="Times New Roman;serif" w:hAnsi="Times New Roman;serif"/>
                  <w:b w:val="false"/>
                  <w:color w:val="0000FF"/>
                  <w:sz w:val="20"/>
                  <w:u w:val="single"/>
                </w:rPr>
                <w:t>2</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19">
              <w:r>
                <w:rPr>
                  <w:rStyle w:val="InternetLink"/>
                  <w:rFonts w:ascii="Times New Roman;serif" w:hAnsi="Times New Roman;serif"/>
                  <w:b w:val="false"/>
                  <w:color w:val="0000FF"/>
                  <w:sz w:val="20"/>
                  <w:u w:val="single"/>
                </w:rPr>
                <w:t>OUR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19">
              <w:r>
                <w:rPr>
                  <w:rStyle w:val="InternetLink"/>
                  <w:rFonts w:ascii="Times New Roman;serif" w:hAnsi="Times New Roman;serif"/>
                  <w:b w:val="false"/>
                  <w:color w:val="0000FF"/>
                  <w:sz w:val="20"/>
                  <w:u w:val="single"/>
                </w:rPr>
                <w:t>4</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22">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2">
              <w:r>
                <w:rPr>
                  <w:rStyle w:val="InternetLink"/>
                  <w:rFonts w:ascii="Times New Roman;serif" w:hAnsi="Times New Roman;serif"/>
                  <w:b w:val="false"/>
                  <w:color w:val="0000FF"/>
                  <w:sz w:val="20"/>
                  <w:u w:val="single"/>
                </w:rPr>
                <w:t>8</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25">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5">
              <w:r>
                <w:rPr>
                  <w:rStyle w:val="InternetLink"/>
                  <w:rFonts w:ascii="Times New Roman;serif" w:hAnsi="Times New Roman;serif"/>
                  <w:b w:val="false"/>
                  <w:color w:val="0000FF"/>
                  <w:sz w:val="20"/>
                  <w:u w:val="single"/>
                </w:rPr>
                <w:t>9</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28">
              <w:r>
                <w:rPr>
                  <w:rStyle w:val="InternetLink"/>
                  <w:rFonts w:ascii="Times New Roman;serif" w:hAnsi="Times New Roman;serif"/>
                  <w:b w:val="false"/>
                  <w:color w:val="0000FF"/>
                  <w:sz w:val="20"/>
                  <w:u w:val="single"/>
                </w:rPr>
                <w:t>SECURITIES WE MAY OFFER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28">
              <w:r>
                <w:rPr>
                  <w:rStyle w:val="InternetLink"/>
                  <w:rFonts w:ascii="Times New Roman;serif" w:hAnsi="Times New Roman;serif"/>
                  <w:b w:val="false"/>
                  <w:color w:val="0000FF"/>
                  <w:sz w:val="20"/>
                  <w:u w:val="single"/>
                </w:rPr>
                <w:t>10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31">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1">
              <w:r>
                <w:rPr>
                  <w:rStyle w:val="InternetLink"/>
                  <w:rFonts w:ascii="Times New Roman;serif" w:hAnsi="Times New Roman;serif"/>
                  <w:b w:val="false"/>
                  <w:color w:val="0000FF"/>
                  <w:sz w:val="20"/>
                  <w:u w:val="single"/>
                </w:rPr>
                <w:t>11</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34">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4">
              <w:r>
                <w:rPr>
                  <w:rStyle w:val="InternetLink"/>
                  <w:rFonts w:ascii="Times New Roman;serif" w:hAnsi="Times New Roman;serif"/>
                  <w:b w:val="false"/>
                  <w:color w:val="0000FF"/>
                  <w:sz w:val="20"/>
                  <w:u w:val="single"/>
                </w:rPr>
                <w:t>16</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37">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37">
              <w:r>
                <w:rPr>
                  <w:rStyle w:val="InternetLink"/>
                  <w:rFonts w:ascii="Times New Roman;serif" w:hAnsi="Times New Roman;serif"/>
                  <w:b w:val="false"/>
                  <w:color w:val="0000FF"/>
                  <w:sz w:val="20"/>
                  <w:u w:val="single"/>
                </w:rPr>
                <w:t>23</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40">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0">
              <w:r>
                <w:rPr>
                  <w:rStyle w:val="InternetLink"/>
                  <w:rFonts w:ascii="Times New Roman;serif" w:hAnsi="Times New Roman;serif"/>
                  <w:b w:val="false"/>
                  <w:color w:val="0000FF"/>
                  <w:sz w:val="20"/>
                  <w:u w:val="single"/>
                </w:rPr>
                <w:t>30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43">
              <w:r>
                <w:rPr>
                  <w:rStyle w:val="InternetLink"/>
                  <w:rFonts w:ascii="Times New Roman;serif" w:hAnsi="Times New Roman;serif"/>
                  <w:b w:val="false"/>
                  <w:color w:val="0000FF"/>
                  <w:sz w:val="20"/>
                  <w:u w:val="single"/>
                </w:rPr>
                <w:t>MATERIAL U.S. FEDERAL INCOME TAX CONSIDERATIONS FOR NON-U.S. 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3">
              <w:r>
                <w:rPr>
                  <w:rStyle w:val="InternetLink"/>
                  <w:rFonts w:ascii="Times New Roman;serif" w:hAnsi="Times New Roman;serif"/>
                  <w:b w:val="false"/>
                  <w:color w:val="0000FF"/>
                  <w:sz w:val="20"/>
                  <w:u w:val="single"/>
                </w:rPr>
                <w:t>33</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46">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6">
              <w:r>
                <w:rPr>
                  <w:rStyle w:val="InternetLink"/>
                  <w:rFonts w:ascii="Times New Roman;serif" w:hAnsi="Times New Roman;serif"/>
                  <w:b w:val="false"/>
                  <w:color w:val="0000FF"/>
                  <w:sz w:val="20"/>
                  <w:u w:val="single"/>
                </w:rPr>
                <w:t>37</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49">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49">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52">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2">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55">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5">
              <w:r>
                <w:rPr>
                  <w:rStyle w:val="InternetLink"/>
                  <w:rFonts w:ascii="Times New Roman;serif" w:hAnsi="Times New Roman;serif"/>
                  <w:b w:val="false"/>
                  <w:color w:val="0000FF"/>
                  <w:sz w:val="20"/>
                  <w:u w:val="single"/>
                </w:rPr>
                <w:t>40</w:t>
              </w:r>
            </w:hyperlink>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8b248095ae467db1c92dee7144296d_58">
              <w:r>
                <w:rPr>
                  <w:rStyle w:val="InternetLink"/>
                  <w:rFonts w:ascii="Times New Roman;serif" w:hAnsi="Times New Roman;serif"/>
                  <w:b w:val="false"/>
                  <w:color w:val="0000FF"/>
                  <w:sz w:val="20"/>
                  <w:u w:val="single"/>
                </w:rPr>
                <w:t>INFORMATION INCORPORATED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8b248095ae467db1c92dee7144296d_58">
              <w:r>
                <w:rPr>
                  <w:rStyle w:val="InternetLink"/>
                  <w:rFonts w:ascii="Times New Roman;serif" w:hAnsi="Times New Roman;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ABOUT THIS PROSPECTUS</w:t>
      </w:r>
    </w:p>
    <w:p>
      <w:pPr>
        <w:pStyle w:val="TextBody"/>
        <w:bidi w:val="0"/>
        <w:spacing w:lineRule="auto" w:line="288" w:before="0" w:after="180"/>
        <w:jc w:val="left"/>
        <w:rPr/>
      </w:pPr>
      <w:r>
        <w:rPr>
          <w:rFonts w:ascii="Times New Roman;serif" w:hAnsi="Times New Roman;serif"/>
          <w:b w:val="false"/>
          <w:color w:val="000000"/>
          <w:sz w:val="20"/>
          <w:shd w:fill="FFFFFF" w:val="clear"/>
        </w:rPr>
        <w:t>This prospectus is part of a registration statement on Form S-3 that we filed with the Securities and Exchange Commission, or the SEC, under the Securities Act of 1933, as amended, or the Securities Act, using the “shelf” registration process for the offering and sale of securities pursuant to Rule 415 under the Securities Act of 1933, as amended (the “Securities Act”).</w:t>
      </w:r>
      <w:r>
        <w:rPr>
          <w:color w:val="000000"/>
        </w:rPr>
        <w:t xml:space="preserve"> </w:t>
      </w:r>
      <w:r>
        <w:rPr>
          <w:rFonts w:ascii="Times New Roman;serif" w:hAnsi="Times New Roman;serif"/>
          <w:b w:val="false"/>
          <w:color w:val="000000"/>
          <w:sz w:val="20"/>
          <w:shd w:fill="FFFFFF" w:val="clear"/>
        </w:rPr>
        <w:t>Under this shelf registration process, we may, from time to time, offer and sell any combination of the securities described in this prospectus in one or more offerings, up to a total dollar amount of $100.0 million.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provides a general description of the securities we may offer. Each time we sell securities under this prospectus, we will, to the extent required by law, provide a prospectus supplement that will contain specific information about the terms of that offering. We may also authorize one or more free writing prospectuses to be provided to you that may contain material information relating to a particular offering. The prospectus supplement and any related free writing prospectus may also add, update or change information contained in this prospectus or in any documents that we have incorporated by reference into this prospectus. To the extent there is a conflict between any statement contained in this prospectus, any applicable prospectus supplement, any related free writing prospectus or any document incorporated by reference into this prospectus, the statement in the document having the later date modifies or supersedes the earlier statement.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time of any sale of a security. Our business, financial condition, results of operations and prospects may have changed since those dates.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may rely only on the information contained in, or incorporated by reference into, this prospectus and any applicable prospectus supplement, or the information contained in any free writing prospectus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pStyle w:val="TextBody"/>
        <w:bidi w:val="0"/>
        <w:spacing w:lineRule="auto" w:line="288" w:before="0" w:after="180"/>
        <w:jc w:val="left"/>
        <w:rPr/>
      </w:pPr>
      <w:r>
        <w:rPr>
          <w:rFonts w:ascii="Times New Roman;serif" w:hAnsi="Times New Roman;serif"/>
          <w:b w:val="false"/>
          <w:color w:val="000000"/>
          <w:sz w:val="20"/>
          <w:shd w:fill="FFFFFF" w:val="clear"/>
        </w:rPr>
        <w:t>As permitted by SEC rules and regulations, the registration statement of which this prospectus forms a part includes additional information not contained in this prospectus. This prospectus also contains summaries of certain provisions of the documents described herein, but all summaries are qualified in their entirety by reference to the actual documents. You may read the registration statement and the other reports we file with the SEC, and you may obtain copies of the actual documents summarized herein (if and when filed with the SEC), at the SEC’s website or at its offices described in the section of this prospectus titled “</w:t>
      </w:r>
      <w:r>
        <w:rPr>
          <w:rFonts w:ascii="Times New Roman;serif" w:hAnsi="Times New Roman;serif"/>
          <w:b w:val="false"/>
          <w:i/>
          <w:color w:val="000000"/>
          <w:sz w:val="20"/>
          <w:shd w:fill="FFFFFF" w:val="clear"/>
        </w:rPr>
        <w:t>Where You Can Find More Information</w:t>
      </w:r>
      <w:r>
        <w:rPr>
          <w:rFonts w:ascii="Times New Roman;serif" w:hAnsi="Times New Roman;serif"/>
          <w:b w:val="false"/>
          <w:color w:val="000000"/>
          <w:sz w:val="20"/>
          <w:shd w:fill="FFFFFF" w:val="clear"/>
        </w:rPr>
        <w:t xml:space="preserve">.” </w:t>
      </w:r>
    </w:p>
    <w:p>
      <w:pPr>
        <w:pStyle w:val="TextBody"/>
        <w:bidi w:val="0"/>
        <w:spacing w:lineRule="auto" w:line="288" w:before="0" w:after="180"/>
        <w:jc w:val="left"/>
        <w:rPr/>
      </w:pPr>
      <w:r>
        <w:rPr>
          <w:rFonts w:ascii="Times New Roman;serif" w:hAnsi="Times New Roman;serif"/>
          <w:b w:val="false"/>
          <w:color w:val="000000"/>
          <w:sz w:val="20"/>
          <w:shd w:fill="FFFFFF" w:val="clear"/>
        </w:rPr>
        <w:t>Prior to March 4, 2024, we were known as GigCapital5, and QTI Merger Sub, Inc., a Delaware corporation and wholly owned subsidiary of GigCapital5 (“</w:t>
      </w:r>
      <w:r>
        <w:rPr>
          <w:rFonts w:ascii="Times New Roman;serif" w:hAnsi="Times New Roman;serif"/>
          <w:b/>
          <w:i/>
          <w:color w:val="000000"/>
          <w:sz w:val="20"/>
          <w:shd w:fill="FFFFFF" w:val="clear"/>
        </w:rPr>
        <w:t>Merger Sub</w:t>
      </w:r>
      <w:r>
        <w:rPr>
          <w:color w:val="000000"/>
          <w:shd w:fill="FFFFFF" w:val="clear"/>
        </w:rPr>
        <w:t>”</w:t>
      </w:r>
      <w:r>
        <w:rPr>
          <w:rFonts w:ascii="Times New Roman;serif" w:hAnsi="Times New Roman;serif"/>
          <w:b w:val="false"/>
          <w:color w:val="000000"/>
          <w:sz w:val="20"/>
          <w:shd w:fill="FFFFFF" w:val="clear"/>
        </w:rPr>
        <w:t>). On December 8, 2022, we entered into a Business Combination Agreement, as amended, (the “</w:t>
      </w:r>
      <w:r>
        <w:rPr>
          <w:rFonts w:ascii="Times New Roman;serif" w:hAnsi="Times New Roman;serif"/>
          <w:b/>
          <w:i/>
          <w:color w:val="000000"/>
          <w:sz w:val="20"/>
          <w:shd w:fill="FFFFFF" w:val="clear"/>
        </w:rPr>
        <w:t>Business Combination Agreement</w:t>
      </w:r>
      <w:r>
        <w:rPr>
          <w:color w:val="000000"/>
          <w:shd w:fill="FFFFFF" w:val="clear"/>
        </w:rPr>
        <w:t>”</w:t>
      </w:r>
      <w:r>
        <w:rPr>
          <w:rFonts w:ascii="Times New Roman;serif" w:hAnsi="Times New Roman;serif"/>
          <w:b w:val="false"/>
          <w:color w:val="000000"/>
          <w:sz w:val="20"/>
          <w:shd w:fill="FFFFFF" w:val="clear"/>
        </w:rPr>
        <w:t>) with QT Imaging, Inc., a Delaware corporation (“</w:t>
      </w:r>
      <w:r>
        <w:rPr>
          <w:rFonts w:ascii="Times New Roman;serif" w:hAnsi="Times New Roman;serif"/>
          <w:b/>
          <w:i/>
          <w:color w:val="000000"/>
          <w:sz w:val="20"/>
          <w:shd w:fill="FFFFFF" w:val="clear"/>
        </w:rPr>
        <w:t>QT Imaging</w:t>
      </w:r>
      <w:r>
        <w:rPr>
          <w:color w:val="000000"/>
          <w:shd w:fill="FFFFFF" w:val="clear"/>
        </w:rPr>
        <w:t>”</w:t>
      </w:r>
      <w:r>
        <w:rPr>
          <w:rFonts w:ascii="Times New Roman;serif" w:hAnsi="Times New Roman;serif"/>
          <w:b w:val="false"/>
          <w:color w:val="000000"/>
          <w:sz w:val="20"/>
          <w:shd w:fill="FFFFFF" w:val="clear"/>
        </w:rPr>
        <w:t>), pursuant to which on March 4, 2024, Merger Sub merged with and into QT Imaging, with QT Imaging surviving the merger as a wholly owned subsidiary of GigCapital5 (the “</w:t>
      </w:r>
      <w:r>
        <w:rPr>
          <w:rFonts w:ascii="Times New Roman;serif" w:hAnsi="Times New Roman;serif"/>
          <w:b/>
          <w:i/>
          <w:color w:val="000000"/>
          <w:sz w:val="20"/>
          <w:shd w:fill="FFFFFF" w:val="clear"/>
        </w:rPr>
        <w:t>Merger</w:t>
      </w:r>
      <w:r>
        <w:rPr>
          <w:color w:val="000000"/>
          <w:shd w:fill="FFFFFF" w:val="clear"/>
        </w:rPr>
        <w:t xml:space="preserve">” </w:t>
      </w:r>
      <w:r>
        <w:rPr>
          <w:rFonts w:ascii="Times New Roman;serif" w:hAnsi="Times New Roman;serif"/>
          <w:b w:val="false"/>
          <w:color w:val="000000"/>
          <w:sz w:val="20"/>
          <w:shd w:fill="FFFFFF" w:val="clear"/>
        </w:rPr>
        <w:t>and, together with the other transactions contemplated by the Business Combination Agreement and any other agreement executed and delivered in connection therewith, the “</w:t>
      </w:r>
      <w:r>
        <w:rPr>
          <w:rFonts w:ascii="Times New Roman;serif" w:hAnsi="Times New Roman;serif"/>
          <w:b/>
          <w:i/>
          <w:color w:val="000000"/>
          <w:sz w:val="20"/>
          <w:shd w:fill="FFFFFF" w:val="clear"/>
        </w:rPr>
        <w:t>Business Combination</w:t>
      </w:r>
      <w:r>
        <w:rPr>
          <w:color w:val="000000"/>
          <w:shd w:fill="FFFFFF" w:val="clear"/>
        </w:rPr>
        <w:t>”</w:t>
      </w:r>
      <w:r>
        <w:rPr>
          <w:rFonts w:ascii="Times New Roman;serif" w:hAnsi="Times New Roman;serif"/>
          <w:b w:val="false"/>
          <w:color w:val="000000"/>
          <w:sz w:val="20"/>
          <w:shd w:fill="FFFFFF" w:val="clear"/>
        </w:rPr>
        <w:t>). Following the closing of the Business Combination (the “</w:t>
      </w:r>
      <w:r>
        <w:rPr>
          <w:rFonts w:ascii="Times New Roman;serif" w:hAnsi="Times New Roman;serif"/>
          <w:b/>
          <w:i/>
          <w:color w:val="000000"/>
          <w:sz w:val="20"/>
          <w:shd w:fill="FFFFFF" w:val="clear"/>
        </w:rPr>
        <w:t>Closing</w:t>
      </w:r>
      <w:r>
        <w:rPr>
          <w:color w:val="000000"/>
          <w:shd w:fill="FFFFFF" w:val="clear"/>
        </w:rPr>
        <w:t>”</w:t>
      </w:r>
      <w:r>
        <w:rPr>
          <w:rFonts w:ascii="Times New Roman;serif" w:hAnsi="Times New Roman;serif"/>
          <w:b w:val="false"/>
          <w:color w:val="000000"/>
          <w:sz w:val="20"/>
          <w:shd w:fill="FFFFFF" w:val="clear"/>
        </w:rPr>
        <w:t>), GigCapital5 renamed as “QT Imaging Holdings, Inc.” will be referred to as the “</w:t>
      </w:r>
      <w:r>
        <w:rPr>
          <w:rFonts w:ascii="Times New Roman;serif" w:hAnsi="Times New Roman;serif"/>
          <w:b/>
          <w:i/>
          <w:color w:val="000000"/>
          <w:sz w:val="20"/>
          <w:shd w:fill="FFFFFF" w:val="clear"/>
        </w:rPr>
        <w:t>Company</w:t>
      </w:r>
      <w:r>
        <w:rPr>
          <w:color w:val="000000"/>
          <w:shd w:fill="FFFFFF" w:val="clear"/>
        </w:rPr>
        <w:t xml:space="preserve">” </w:t>
      </w:r>
      <w:r>
        <w:rPr>
          <w:rFonts w:ascii="Times New Roman;serif" w:hAnsi="Times New Roman;serif"/>
          <w:b w:val="false"/>
          <w:color w:val="000000"/>
          <w:sz w:val="20"/>
          <w:shd w:fill="FFFFFF" w:val="clear"/>
        </w:rPr>
        <w:t>or “</w:t>
      </w:r>
      <w:r>
        <w:rPr>
          <w:rFonts w:ascii="Times New Roman;serif" w:hAnsi="Times New Roman;serif"/>
          <w:b/>
          <w:i/>
          <w:color w:val="000000"/>
          <w:sz w:val="20"/>
          <w:shd w:fill="FFFFFF" w:val="clear"/>
        </w:rPr>
        <w:t>QT Imaging Holdings</w:t>
      </w:r>
      <w:r>
        <w:rPr>
          <w:rFonts w:ascii="Times New Roman;serif" w:hAnsi="Times New Roman;serif"/>
          <w:b w:val="false"/>
          <w:color w:val="000000"/>
          <w:sz w:val="20"/>
          <w:shd w:fill="FFFFFF" w:val="clear"/>
        </w:rPr>
        <w:t>.” Unless the context indicates otherwise, references in this prospectus to the “Company,” “QT Imaging Holdings,” “we,” “us,” “our” and similar terms refer to QT Imaging Holdings, Inc. (f/k/a GigCapital5, Inc.). References to “GigCapital5” refer to our predecessor company prior to the consummation of the Business Combination.</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THIS PROSPECTUS MAY NOT BE USED TO OFFER AND SELL SECURITIES UNLESS IT IS ACCOMPANIED BY AN ADDITIONAL PROSPECTUS OR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makes forward-looking statements in this prospectus and in documents incorporated herein by reference. All statements, other than statements of present or historical fact included in or incorporated by reference in this prospectus, regarding the Company’s future financial performance, as well as the Company’s strategy, future operations, financial position, estimated revenues, and losses, projected costs, prospects, plans and objectives of management are forward-looking statements. When used in this prospectus,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based on information available as of the date of this prospectus, and current expectations, forecasts and assumptions, and involve a number of risks and uncertainties. Accordingly, forward-looking statements in this prospectus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changes in applicable laws or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outcome of any legal proceedings against the Company;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financial and business performance of the Company, including financial projections and business metrics and any underlying assumptions thereunder;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Company’s ability to successfully and timely develop, sell and expand its technology and products, and otherwise implement its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relating to the Company’s operations and business, including information technology and cybersecurity risks, loss of customers and deterioration in relationships between the Company and its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related to increased competition;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risks that the Company experiences difficulties in managing its growth and expanding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impact of geopolitical, macroeconomic and market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ability to successfully select, execute or integrate future acquisitions into the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other risks and uncertainties set forth in this prospectus in the section entitled “</w:t>
      </w:r>
      <w:hyperlink w:anchor="i838b248095ae467db1c92dee7144296d_22">
        <w:r>
          <w:rPr>
            <w:rStyle w:val="InternetLink"/>
            <w:rFonts w:ascii="Times New Roman;serif" w:hAnsi="Times New Roman;serif"/>
            <w:b w:val="false"/>
            <w:i/>
            <w:color w:val="0000FF"/>
            <w:sz w:val="20"/>
            <w:u w:val="single"/>
            <w:shd w:fill="FFFFFF" w:val="clear"/>
          </w:rPr>
          <w:t>Risk Factors</w:t>
        </w:r>
      </w:hyperlink>
      <w:r>
        <w:rPr>
          <w:color w:val="000000"/>
          <w:shd w:fill="FFFFFF" w:val="clear"/>
        </w:rPr>
        <w:t xml:space="preserve">” </w:t>
      </w:r>
      <w:r>
        <w:rPr>
          <w:rFonts w:ascii="Times New Roman;serif" w:hAnsi="Times New Roman;serif"/>
          <w:b w:val="false"/>
          <w:color w:val="000000"/>
          <w:sz w:val="20"/>
          <w:shd w:fill="FFFFFF" w:val="clear"/>
        </w:rPr>
        <w:t xml:space="preserve">beginning on page </w:t>
      </w:r>
      <w:hyperlink w:anchor="i838b248095ae467db1c92dee7144296d_22">
        <w:r>
          <w:rPr>
            <w:rStyle w:val="InternetLink"/>
            <w:rFonts w:ascii="Times New Roman;serif" w:hAnsi="Times New Roman;serif"/>
            <w:b w:val="false"/>
            <w:color w:val="0000FF"/>
            <w:sz w:val="20"/>
            <w:u w:val="single"/>
            <w:shd w:fill="FFFFFF" w:val="clear"/>
          </w:rPr>
          <w:t>8</w:t>
        </w:r>
      </w:hyperlink>
      <w:r>
        <w:rPr>
          <w:rFonts w:ascii="Times New Roman;serif" w:hAnsi="Times New Roman;serif"/>
          <w:b w:val="false"/>
          <w:color w:val="000000"/>
          <w:sz w:val="20"/>
          <w:shd w:fill="FFFFFF" w:val="clear"/>
        </w:rPr>
        <w: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any of these risks materialize or our assumptions prove incorrect, actual results could differ materially from the results implied by these forward-looking statements. The risks and uncertainties above are not exhaustive, and there may be additional risks that the Company does not presently know or that the Company currently believes are immaterial that could also cause actual results to differ from those contained in the forward-looking statements. In </w:t>
      </w:r>
    </w:p>
    <w:p>
      <w:pPr>
        <w:pStyle w:val="TextBody"/>
        <w:bidi w:val="0"/>
        <w:spacing w:before="0" w:after="18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 forward-looking statements reflect the Company’s expectations, plans or forecasts of future events and views as of the date of this prospectus. The Company anticipates that subsequent events and developments will cause the Company’s assessments to change. However, while the Company may elect to update these forward-looking statements at some point in the future, the Company specifically disclaims any obligation to do so. All forward- looking statements attributable to the Company or persons acting on its behalf are expressly qualified in their entirety by the foregoing cautionary statements. These forward-looking statements should not be relied upon as representing the Company’s assessments as of any date subsequent to the date of this prospectus.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OUR COMPANY</w:t>
      </w:r>
    </w:p>
    <w:p>
      <w:pPr>
        <w:pStyle w:val="TextBody"/>
        <w:bidi w:val="0"/>
        <w:spacing w:lineRule="auto" w:line="288" w:before="0" w:after="180"/>
        <w:jc w:val="left"/>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before making an investment decision.</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The Company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December 8, 2022, GigCapital5, our legal predecessor company and a special purpose acquisition company which was incorporated in Delaware in 2021, entered into a Business Combination Agreement with its wholly owned subsidiary, Merger Sub and QT Imaging, Inc. When the Business Combination closed on March 4, 2024, Merger Sub merged with and into QT Imaging, Inc. with QT Imaging, Inc. the surviving company in such Merger, and after giving effect to the Business Combination, QT Imaging, Inc. became a wholly owned subsidiary of GigCapital5, which was renamed as QT Imaging Holdings, Inc.</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QT Imaging, Inc. was incorporated in Delaware on December 31, 2020 by converting from its predecessor, QT Ultrasound LLC (“</w:t>
      </w:r>
      <w:r>
        <w:rPr>
          <w:rFonts w:ascii="Times New Roman;serif" w:hAnsi="Times New Roman;serif"/>
          <w:b/>
          <w:i/>
          <w:color w:val="000000"/>
          <w:sz w:val="20"/>
          <w:bdr w:val="single" w:sz="8" w:space="36" w:color="000000"/>
          <w:shd w:fill="FFFFFF" w:val="clear"/>
        </w:rPr>
        <w:t>QT Ultrasound</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which was a limited liability company formed in 2012 to focus on the research, development, and commercialization of innovative body imaging systems using low energy sound. On that date, QT Ultrasound changed its name from QT Ultrasound LLC to QT Imaging, Inc. and revoked the limited liability company election status by the incorporation.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QT Imaging Holdings, Inc. is headquartered in Novato, California.</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Overview </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A Novel Body Imaging Technology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Company—with the support of nearly $18 million in financial support from the U.S. National Institutes of Health—has developed a novel, comprehensive body imaging technology designed to produce high-resolution volumetric images of breast tissue using low-energy transmitted sound. The technology is based on ultra-low frequency transmitted and reflected sound waves and utilizes a proprietary sound back-scatter design together with inverse-scattering reconstruction algorithms to generate quantitative three-dimensional images of tissue properties.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 is a medical device company founded in 2012 and engaged in the research, development, and commercialization of innovative body imaging systems using low energy sound. The Company believes that medical imaging, and in particular 3D imaging, is critical to the detection, diagnosis, and treatment of disease and that it should be safe, affordable and accessible. The Company’s goal is to improve global health outcomes through the development and commercialization of imaging devices that address critical healthcare challenges with accuracy and precision.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opportunity in breast imaging is to shorten the time to diagnosis for women with cancer and to provide reassurance for women who do not have the disease while delivering an improved patient experience and lower cost compared to the current standard of care.</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Company’s technology (the “</w:t>
      </w:r>
      <w:r>
        <w:rPr>
          <w:rFonts w:ascii="Times New Roman;serif" w:hAnsi="Times New Roman;serif"/>
          <w:b/>
          <w:i/>
          <w:color w:val="000000"/>
          <w:sz w:val="20"/>
          <w:bdr w:val="single" w:sz="8" w:space="36" w:color="000000"/>
          <w:shd w:fill="FFFFFF" w:val="clear"/>
        </w:rPr>
        <w:t>QT Breast Scanner</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provides automated 3D imaging of the breast without ionizing radiation and without breast compression, enabling high-resolution volumetric imaging and quantitative analysis of breast tissue.</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The Breast Acoustic CT™ Scanner</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QT Breast Scanner is a fixed, stationary, mechanical scanner used to evaluate the breast without the use of either ionizing radiation or compression associated with mammography, or the injections required for breast MRI. With the QT Breast Scanner, the patient lies comfortably on a table which contains an opening through which the </w:t>
      </w:r>
    </w:p>
    <w:p>
      <w:pPr>
        <w:pStyle w:val="TextBody"/>
        <w:bidi w:val="0"/>
        <w:spacing w:before="0" w:after="18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breast is immersed in a warm water bath (see Image 1) and gently immobilized using a magnetic retention pad fixed to a magnetic rod.</w:t>
      </w:r>
    </w:p>
    <w:p>
      <w:pPr>
        <w:pStyle w:val="TextBody"/>
        <w:bidi w:val="0"/>
        <w:spacing w:lineRule="auto" w:line="288" w:before="0" w:after="180"/>
        <w:jc w:val="center"/>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QT Breast Scanner </w:t>
      </w:r>
    </w:p>
    <w:p>
      <w:pPr>
        <w:pStyle w:val="TextBody"/>
        <w:bidi w:val="0"/>
        <w:spacing w:before="0" w:after="0"/>
        <w:jc w:val="center"/>
        <w:rPr>
          <w:bdr w:val="single" w:sz="8" w:space="36" w:color="000000"/>
        </w:rPr>
      </w:pPr>
      <w:r>
        <w:rPr>
          <w:bdr w:val="single" w:sz="8" w:space="36" w:color="000000"/>
        </w:rPr>
        <w:drawing>
          <wp:inline distT="0" distB="0" distL="0" distR="0">
            <wp:extent cx="3019425" cy="169545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10"/>
                    <a:stretch>
                      <a:fillRect/>
                    </a:stretch>
                  </pic:blipFill>
                  <pic:spPr bwMode="auto">
                    <a:xfrm>
                      <a:off x="0" y="0"/>
                      <a:ext cx="3019425" cy="16954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Image 1</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current QT Breast Scanner, the Breast Acoustic CT™ scanner, developed by the Company is a Class II device subject to premarket notification and clearance under Section 510(k) of the Federal Food, Drug, and Cosmetic Act (the “</w:t>
      </w:r>
      <w:r>
        <w:rPr>
          <w:rFonts w:ascii="Times New Roman;serif" w:hAnsi="Times New Roman;serif"/>
          <w:b/>
          <w:i/>
          <w:color w:val="000000"/>
          <w:sz w:val="20"/>
          <w:bdr w:val="single" w:sz="8" w:space="36" w:color="000000"/>
          <w:shd w:fill="FFFFFF" w:val="clear"/>
        </w:rPr>
        <w:t>FDCA</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On August 23, 2016, QT Ultrasound submitted a Section 510(k) Summary of Safety and Effectiveness application for the QT Breast Scanner in accordance with 21 CFR 807.92 under 510(k) Number K162372. As part of meeting the general requirements for basic safety and essential performance of the QT Breast Scanner (formerly, QT Ultrasound Breast Scanner) pursuant to AAMI ES60601-1:2005/(R)2012 and A1:2012 Medical Electrical Equipment, testing was conducted by Intertek, an independent testing laboratory located in Menlo Park, CA. Intertek also conducted applicable testing pursuant to IEC 60601-1-6 Edition 3.1 2013-10—Medical Electrical Equipment Part 1-6 General Requirements for Safety—Collateral Standard: Usability. In addition, QT Ultrasound conducted, and Intertek witnessed, all applicable testing pertaining to the requirements for the safety of ultrasonic medical diagnostic and monitoring equipment and to demonstrate compliance with the Acoustic Output Measurement Standard for Diagnostic Ultrasound Equipment. This test on acoustic output was pursuant to IEC 60601-2-37 Edition 2.0.2007—Medical Electrical Equipment—Part 2-37: Particular Requirements for the Basic Safety and Essential Performance of Ultrasonic Medical Diagnostic and Monitoring Equipment. Finally, system verification testing was conducted to ensure that the QT Breast Scanner met all design and other requirements including but not limited to that no new issues of safety or effectiveness compared to the predicate device, the SoftVue System manufactured by Delphinus Medical Technologies, were raised.</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On June 6, 2017, the U.S. Food and Drug Administration (“</w:t>
      </w:r>
      <w:r>
        <w:rPr>
          <w:rFonts w:ascii="Times New Roman;serif" w:hAnsi="Times New Roman;serif"/>
          <w:b/>
          <w:i/>
          <w:color w:val="000000"/>
          <w:sz w:val="20"/>
          <w:bdr w:val="single" w:sz="8" w:space="36" w:color="000000"/>
          <w:shd w:fill="FFFFFF" w:val="clear"/>
        </w:rPr>
        <w:t>FDA</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in response to the Company’s Section 510(k) Summary of Safety and Effectiveness premarket notification, determined that the QT Breast Scanner is substantially equivalent to the predicate device under 510(k) Number K162372.</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August 31, 2022, the FDA granted a further 510(k) clearance (K220933) for the Company’s QT Scanner 2000 Model A, which enables the system to calculate quantitative measurements of breast fibroglandular tissue volume and the ratio of fibroglandular tissue volume to total breast volume based on reflection-mode and transmission-mode ultrasound images. These measurements may assist clinicians in assessing breast density and monitoring changes in breast tissue over time.</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March 10, 2026, the FDA granted an additional 510(k) clearance for an enhanced configuration of the Company’s Breast Acoustic CT scanner designed to improve imaging coverage of posterior breast tissue. The updated configuration incorporates a tilted transmitter geometry, which enhances tomographic visualization of breast tissue located near the chest wall—an area that can be challenging to image with conventional breast imaging approaches. This enhancement expands the scanner’s imaging coverage and supports more complete visualization of posterior breast anatomy while continuing to generate volumetric tomographic images using reflection-mode and transmission-mode ultrasound data.</w:t>
      </w:r>
    </w:p>
    <w:p>
      <w:pPr>
        <w:pStyle w:val="TextBody"/>
        <w:bidi w:val="0"/>
        <w:spacing w:before="0" w:after="18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Cloud SaaS Platform</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Company's Cloud software-as-a-service (“</w:t>
      </w:r>
      <w:r>
        <w:rPr>
          <w:rFonts w:ascii="Times New Roman;serif" w:hAnsi="Times New Roman;serif"/>
          <w:b/>
          <w:i/>
          <w:color w:val="000000"/>
          <w:sz w:val="20"/>
          <w:bdr w:val="single" w:sz="8" w:space="36" w:color="000000"/>
          <w:shd w:fill="FFFFFF" w:val="clear"/>
        </w:rPr>
        <w:t>SaaS</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platform will serve as the unified delivery framework for upcoming artificial intelligence and machine learning algorithms developed by the Company. Leveraging DICOM-compatible architecture, the Company will integrate these modules through the cloud for quantitative feature extraction and diagnostic decision support. Built on advanced acoustic signal analysis and volumetric data fusion, the algorithms will be deployed through the cloud infrastructure to enable real-time or near-real-time analysis of imaging data.</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This approach will enable future artificial intelligence-driven capabilities, including automated lesion segmentation, volumetric tissue characterization, and computer-aided diagnostic support, to be securely delivered to connected QT Breast Scanners without requiring on-premise software updates. As quantitative biomarkers allow imaging to move beyond detection toward diagnostic and prognostic precision through quantitative imaging, the Company’s goal is to build a biomarker-driven Cloud SaaS platform that evolves the business from a hardware manufacturer into a precision imaging platform combining hardware, software, and cloud-based artificial intelligence modules.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Sales and Marketing Strategy</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The Company drives continued growth through a focused commercial expansion plan. In the United States, the Company plans to strengthen its market presence through a hybrid commercialization model that combines strategic collaborations with targeted direct initiatives. A key component of this approach is leveraging its collaboration with NXC Imaging, Inc. (“</w:t>
      </w:r>
      <w:r>
        <w:rPr>
          <w:rFonts w:ascii="Times New Roman;serif" w:hAnsi="Times New Roman;serif"/>
          <w:b/>
          <w:i/>
          <w:color w:val="000000"/>
          <w:sz w:val="20"/>
          <w:bdr w:val="single" w:sz="8" w:space="36" w:color="000000"/>
          <w:shd w:fill="FFFFFF" w:val="clear"/>
        </w:rPr>
        <w:t>NXC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 wholly owned subsidiary of Canon Medical USA, Inc. (“</w:t>
      </w:r>
      <w:r>
        <w:rPr>
          <w:rFonts w:ascii="Times New Roman;serif" w:hAnsi="Times New Roman;serif"/>
          <w:b/>
          <w:i/>
          <w:color w:val="000000"/>
          <w:sz w:val="20"/>
          <w:bdr w:val="single" w:sz="8" w:space="36" w:color="000000"/>
          <w:shd w:fill="FFFFFF" w:val="clear"/>
        </w:rPr>
        <w:t>CMSU</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and CMSU’s parent, Canon Medical Systems Corporation (“</w:t>
      </w:r>
      <w:r>
        <w:rPr>
          <w:rFonts w:ascii="Times New Roman;serif" w:hAnsi="Times New Roman;serif"/>
          <w:b/>
          <w:i/>
          <w:color w:val="000000"/>
          <w:sz w:val="20"/>
          <w:bdr w:val="single" w:sz="8" w:space="36" w:color="000000"/>
          <w:shd w:fill="FFFFFF" w:val="clear"/>
        </w:rPr>
        <w:t>CMSC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and collectively referred to with CMSU as “</w:t>
      </w:r>
      <w:r>
        <w:rPr>
          <w:rFonts w:ascii="Times New Roman;serif" w:hAnsi="Times New Roman;serif"/>
          <w:b/>
          <w:i/>
          <w:color w:val="000000"/>
          <w:sz w:val="20"/>
          <w:bdr w:val="single" w:sz="8" w:space="36" w:color="000000"/>
          <w:shd w:fill="FFFFFF" w:val="clear"/>
        </w:rPr>
        <w:t>Canon</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which provides access to established sales infrastructure, market relationships, and distribution capabilities. This collaboration will be complemented by the Company’s own direct commercial initiatives aimed at expanding clinical partnerships, supporting early adopter sites, and building deeper engagement within the breast imaging community.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As part of its U.S. market development strategy, the Company also intends to undertake a multigenerational outreach and advocacy campaign focused on increasing awareness around breast health and early screening. This initiative will emphasize the theme “Women’s Health = Women’s Empowerment,” positioning proactive health management as a core component of personal and societal empowerment. The campaign is expected to leverage celebrity endorsements and thought leaders to generate earned media exposure and foster broad engagement across multiple generations of women. By combining advocacy, education, and public awareness, the Company aims to encourage earlier and more consistent participation in breast health screening while increasing visibility for new, patient-friendly imaging technologies.</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In parallel with its U.S. growth strategy, the Company intends to expand into international markets, beginning with the Gulf Cooperation Council (GCC) region. The Company has established strategic distribution relationships with Gulf Medical Co. (“</w:t>
      </w:r>
      <w:r>
        <w:rPr>
          <w:rFonts w:ascii="Times New Roman;serif" w:hAnsi="Times New Roman;serif"/>
          <w:b/>
          <w:i/>
          <w:color w:val="000000"/>
          <w:sz w:val="20"/>
          <w:bdr w:val="single" w:sz="8" w:space="36" w:color="000000"/>
          <w:shd w:fill="FFFFFF" w:val="clear"/>
        </w:rPr>
        <w:t>GMC</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for the Kingdom of Saudi Arabia and Al Naghi Medical Company (“</w:t>
      </w:r>
      <w:r>
        <w:rPr>
          <w:rFonts w:ascii="Times New Roman;serif" w:hAnsi="Times New Roman;serif"/>
          <w:b/>
          <w:i/>
          <w:color w:val="000000"/>
          <w:sz w:val="20"/>
          <w:bdr w:val="single" w:sz="8" w:space="36" w:color="000000"/>
          <w:shd w:fill="FFFFFF" w:val="clear"/>
        </w:rPr>
        <w:t>Al Naghi</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for the United Arab Emirates (the “</w:t>
      </w:r>
      <w:r>
        <w:rPr>
          <w:rFonts w:ascii="Times New Roman;serif" w:hAnsi="Times New Roman;serif"/>
          <w:b/>
          <w:i/>
          <w:color w:val="000000"/>
          <w:sz w:val="20"/>
          <w:bdr w:val="single" w:sz="8" w:space="36" w:color="000000"/>
          <w:shd w:fill="FFFFFF" w:val="clear"/>
        </w:rPr>
        <w:t>UAE</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These partnerships are expected to provide strong regional market access through organizations with deep experience in medical technology distribution and established relationships with leading healthcare institutions.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Regulatory processes for both the Kingdom of Saudi Arabia and the United Arab Emirates are already underway, and the Company expects the required certifications to be in place in the near term, enabling commercial deployment in these markets.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Beyond these initial GCC markets, the Company is actively engaged in discussions to establish additional strategic distribution partnerships across the broader GCC region, including Kuwait, Qatar, Oman, and Bahrain. These markets represent attractive opportunities due to their growing healthcare infrastructure, increasing focus on early cancer detection, and openness to innovative medical technologies.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Looking further ahead, the Company intends to explore expansion into European and other international markets such as Australia and New Zealand (ANZ), South Korea, South Asia, and the Association of Southeast </w:t>
      </w:r>
    </w:p>
    <w:p>
      <w:pPr>
        <w:pStyle w:val="TextBody"/>
        <w:bidi w:val="0"/>
        <w:spacing w:before="0" w:after="18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Asian Nations (ASEAN) through carefully selected distribution partnerships. This expansion will be supported by well-orchestrated market creation strategies, including collaborations with leading clinical institutions and research organizations to generate clinical evidence, build physician awareness, and support regulatory and reimbursement pathways in each geography. The Company is also working closely with Canon’s Japan operations (where Canon is headquartered) and a prominent luminary in Japan to explore opportunities within the Japanese market. Registration activities for Europe are planned to commence later this year, with other geographies that accept EU registration to be pursued subsequently.</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Through this coordinated approach—combining technology innovation, precision diagnostic software capabilities, strong commercial partnerships, and strategic geographic expansion—the Company aims to build a scalable global platform for next-generation breast imaging and diagnostics.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GigCapital5, our predecessor company, was incorporated in the State of Delaware in January 2021 for the purpose of effecting a merger, capital stock exchange, asset acquisition, stock purchase, reorganization or similar business combination involving GigCapital5 and one or more businesses. GigCapital5 completed its initial public offering in September 2021. We have two wholly owned operating subsidiaries: QT Imaging, Inc. and QT Ultrasound Labs, Inc. QT Imaging was initially incorporated under the laws of the State of Delaware in 2012. In March 2024, Merger Sub merged with and into QT Imaging, and QT Imaging as the surviving corporation became a wholly-owned direct subsidiary of GigCapital5. In connection with the Merger, GigCapital5 changed its name to QT Imaging Holdings, Inc. The corporate office of QT Imaging Holdings, Inc. is located at 3 Hamilton Landing, Suite 160, Novato, CA 94949 and its telephone number is (415) 842-7250.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Implications of Being an Emerging Growth Company and a Smaller Reporting Company</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We are an emerging growth company as defined in the Jumpstart Our Business Startups Act of 2012 (the “</w:t>
      </w:r>
      <w:r>
        <w:rPr>
          <w:rFonts w:ascii="Times New Roman;serif" w:hAnsi="Times New Roman;serif"/>
          <w:b/>
          <w:i/>
          <w:color w:val="000000"/>
          <w:sz w:val="20"/>
          <w:bdr w:val="single" w:sz="8" w:space="36" w:color="000000"/>
          <w:shd w:fill="FFFFFF" w:val="clear"/>
        </w:rPr>
        <w:t>Jobs Act</w:t>
      </w:r>
      <w:r>
        <w:rPr>
          <w:color w:val="000000"/>
          <w:bdr w:val="single" w:sz="8" w:space="36" w:color="000000"/>
          <w:shd w:fill="FFFFFF" w:val="clear"/>
        </w:rPr>
        <w:t>”</w:t>
      </w:r>
      <w:r>
        <w:rPr>
          <w:rFonts w:ascii="Times New Roman;serif" w:hAnsi="Times New Roman;serif"/>
          <w:b w:val="false"/>
          <w:color w:val="000000"/>
          <w:sz w:val="20"/>
          <w:bdr w:val="single" w:sz="8" w:space="36" w:color="000000"/>
          <w:shd w:fill="FFFFFF" w:val="clear"/>
        </w:rPr>
        <w:t>). We will remain an emerging growth company under the JOBS Act until the earliest of (i) the last day of our first fiscal year (a) following the fifth anniversary of GigCapital5’s IPO (September 28, 2026),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also a “smaller reporting company” as defined in Item 10(f)(1) of Regulation S-K of the SEC.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As a result, the information in this prospectus and that we provide to our investors in the future may be different than what you might receive from other public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RISK FACTORS</w:t>
      </w:r>
    </w:p>
    <w:p>
      <w:pPr>
        <w:pStyle w:val="TextBody"/>
        <w:bidi w:val="0"/>
        <w:spacing w:lineRule="auto" w:line="288" w:before="0" w:after="180"/>
        <w:jc w:val="left"/>
        <w:rPr/>
      </w:pPr>
      <w:r>
        <w:rPr>
          <w:rFonts w:ascii="Times New Roman;serif" w:hAnsi="Times New Roman;serif"/>
          <w:b w:val="false"/>
          <w:color w:val="000000"/>
          <w:sz w:val="20"/>
        </w:rPr>
        <w:t>An investment in our securities involves a high degree of risk. Before investing in our securities, you should carefully consider the risk factors incorporated by reference into this prospectus, including any reports we file with the SEC after the date of this prospectus that are incorporated herein by reference, as well as the risk factors and other information contained in any applicable prospectus supplement and any applicable free writing prospectus we file with the SEC. The market price of our securities could decline if one or more of these risks or uncertainties actually occur, causing you to lose all or part of your investment in our securities. See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Information Incorporated by Reference</w:t>
      </w:r>
      <w:r>
        <w:rPr>
          <w:color w:val="000000"/>
        </w:rPr>
        <w:t xml:space="preserve">” </w:t>
      </w:r>
      <w:r>
        <w:rPr>
          <w:rFonts w:ascii="Times New Roman;serif" w:hAnsi="Times New Roman;serif"/>
          <w:b w:val="false"/>
          <w:color w:val="000000"/>
          <w:sz w:val="20"/>
        </w:rPr>
        <w:t>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PROCEEDS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retain broad discretion over the use of the net proceeds from the sale of our securities offered hereby. Except as described in any prospectus supplement or any related free writing prospectus that we may authorize to be provided to you, we currently intend to use the net proceeds from the sale of our securities offered hereby for working capital and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WE MAY OFFER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t>
      </w:r>
    </w:p>
    <w:p>
      <w:pPr>
        <w:pStyle w:val="TextBody"/>
        <w:bidi w:val="0"/>
        <w:spacing w:lineRule="auto" w:line="288" w:before="0" w:after="180"/>
        <w:jc w:val="left"/>
        <w:rPr/>
      </w:pPr>
      <w:r>
        <w:rPr>
          <w:rFonts w:ascii="Times New Roman;serif" w:hAnsi="Times New Roman;serif"/>
          <w:b w:val="false"/>
          <w:color w:val="000000"/>
          <w:sz w:val="20"/>
          <w:shd w:fill="FFFFFF" w:val="clear"/>
        </w:rPr>
        <w:t>We may offer up to $100.0 million of securities under this prospectus. The prices and terms of any offering will be determined by market conditions at the time of the offering. We may sell the securities to or through underwriters, dealers or agents, directly to purchasers or through a combination of any of these methods of sale or as otherwise set forth below under “</w:t>
      </w:r>
      <w:r>
        <w:rPr>
          <w:rFonts w:ascii="Times New Roman;serif" w:hAnsi="Times New Roman;serif"/>
          <w:b w:val="false"/>
          <w:i/>
          <w:color w:val="000000"/>
          <w:sz w:val="20"/>
          <w:shd w:fill="FFFFFF" w:val="clear"/>
        </w:rPr>
        <w:t>Plan of Distribution</w:t>
      </w:r>
      <w:r>
        <w:rPr>
          <w:rFonts w:ascii="Times New Roman;serif" w:hAnsi="Times New Roman;serif"/>
          <w:b w:val="false"/>
          <w:color w:val="000000"/>
          <w:sz w:val="20"/>
          <w:shd w:fill="FFFFFF" w:val="clear"/>
        </w:rPr>
        <w:t>.” We, as well as any agents acting on our behalf, reserve the sole right to accept and to reject in whole or in part any proposed purchase of securities. This prospectus provides a general description of the securities we may offer. Each time we offer securities under this prospectus, we will, to the extent required by law, provide offerees with a prospectus supplement that will describe the specific amounts, prices and other important terms of the securities being offered. The prospectus supplement may also add, update or change information in this prospectus. For more information, see “</w:t>
      </w:r>
      <w:r>
        <w:rPr>
          <w:rFonts w:ascii="Times New Roman;serif" w:hAnsi="Times New Roman;serif"/>
          <w:b w:val="false"/>
          <w:i/>
          <w:color w:val="000000"/>
          <w:sz w:val="20"/>
          <w:shd w:fill="FFFFFF" w:val="clear"/>
        </w:rPr>
        <w:t>About this Prospectus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CAPITAL STOCK</w:t>
      </w:r>
    </w:p>
    <w:p>
      <w:pPr>
        <w:pStyle w:val="TextBody"/>
        <w:bidi w:val="0"/>
        <w:spacing w:lineRule="auto" w:line="288" w:before="0" w:after="180"/>
        <w:jc w:val="left"/>
        <w:rPr/>
      </w:pPr>
      <w:r>
        <w:rPr>
          <w:rFonts w:ascii="Times New Roman;serif" w:hAnsi="Times New Roman;serif"/>
          <w:b w:val="false"/>
          <w:color w:val="000000"/>
          <w:sz w:val="20"/>
          <w:shd w:fill="FFFFFF" w:val="clear"/>
        </w:rPr>
        <w:t>The following summary of certain material provisions of the Company’s securities does not purport to be complete and is subject to the provisions of the Second Amended and Restated Certificate of Incorporation of the Company, as amended (the “</w:t>
      </w:r>
      <w:r>
        <w:rPr>
          <w:rFonts w:ascii="Times New Roman;serif" w:hAnsi="Times New Roman;serif"/>
          <w:b/>
          <w:i/>
          <w:color w:val="000000"/>
          <w:sz w:val="20"/>
          <w:shd w:fill="FFFFFF" w:val="clear"/>
        </w:rPr>
        <w:t>Charter</w:t>
      </w:r>
      <w:r>
        <w:rPr>
          <w:color w:val="000000"/>
          <w:shd w:fill="FFFFFF" w:val="clear"/>
        </w:rPr>
        <w:t>”</w:t>
      </w:r>
      <w:r>
        <w:rPr>
          <w:rFonts w:ascii="Times New Roman;serif" w:hAnsi="Times New Roman;serif"/>
          <w:b w:val="false"/>
          <w:color w:val="000000"/>
          <w:sz w:val="20"/>
          <w:shd w:fill="FFFFFF" w:val="clear"/>
        </w:rPr>
        <w:t>), the Company’s bylaws (the “</w:t>
      </w:r>
      <w:r>
        <w:rPr>
          <w:rFonts w:ascii="Times New Roman;serif" w:hAnsi="Times New Roman;serif"/>
          <w:b/>
          <w:i/>
          <w:color w:val="000000"/>
          <w:sz w:val="20"/>
          <w:shd w:fill="FFFFFF" w:val="clear"/>
        </w:rPr>
        <w:t>Bylaws</w:t>
      </w:r>
      <w:r>
        <w:rPr>
          <w:color w:val="000000"/>
          <w:shd w:fill="FFFFFF" w:val="clear"/>
        </w:rPr>
        <w:t>”</w:t>
      </w:r>
      <w:r>
        <w:rPr>
          <w:rFonts w:ascii="Times New Roman;serif" w:hAnsi="Times New Roman;serif"/>
          <w:b w:val="false"/>
          <w:color w:val="000000"/>
          <w:sz w:val="20"/>
          <w:shd w:fill="FFFFFF" w:val="clear"/>
        </w:rPr>
        <w:t>) and applicable law. The applicable provisions of the Charter and the Bylaws that are filed with the registration statement of which this prospectus forms a part should be read carefully and in their entirety.</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Authorized and Outstanding Capital Stock</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Charter authorizes the issuance of 510,000,000 shares, consisting of 500,000,000 shares of Common Stock and 10,000,000 shares of preferred stock. As of March 26, 2026, there were 12,042,500 shares of Common Stock and no shares of preferred stock outstanding. The outstanding shares of Common Stock are duly authorized, validly issued, fully paid and non-assessable.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0" w:after="180"/>
        <w:jc w:val="left"/>
        <w:rPr/>
      </w:pPr>
      <w:r>
        <w:rPr>
          <w:rFonts w:ascii="Times New Roman;serif" w:hAnsi="Times New Roman;serif"/>
          <w:b/>
          <w:i/>
          <w:color w:val="000000"/>
          <w:sz w:val="20"/>
          <w:shd w:fill="FFFFFF" w:val="clear"/>
        </w:rPr>
        <w:t>Voting rights</w:t>
      </w:r>
      <w:r>
        <w:rPr>
          <w:rFonts w:ascii="Times New Roman;serif" w:hAnsi="Times New Roman;serif"/>
          <w:b w:val="false"/>
          <w:color w:val="000000"/>
          <w:sz w:val="20"/>
          <w:shd w:fill="FFFFFF" w:val="clear"/>
        </w:rPr>
        <w:t>. Except as otherwise required by law or this Second Amended and Restated Certificate (including any Preferred Stock Designation), at any annual or special meeting of the stockholders of the Corporation, the holders of the shares of Common Stock shall have the exclusive right to vote for the election of directors and on all other matters properly submitted to a vote of the stockholders of the Corporation. Notwithstanding the foregoing, except as otherwise required by law or this Second Amended and Restated Certificate (including any Preferred Stock Designation), the holders of the shares of Common Stock shall not be entitled to vote on any amendment to this Second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Second Amended and Restated Certificate (including any Preferred Stock Designation) or the Delaware General Corporation Law (“</w:t>
      </w:r>
      <w:r>
        <w:rPr>
          <w:rFonts w:ascii="Times New Roman;serif" w:hAnsi="Times New Roman;serif"/>
          <w:b/>
          <w:i/>
          <w:color w:val="000000"/>
          <w:sz w:val="20"/>
          <w:shd w:fill="FFFFFF" w:val="clear"/>
        </w:rPr>
        <w:t>DGCL</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180"/>
        <w:jc w:val="left"/>
        <w:rPr/>
      </w:pPr>
      <w:r>
        <w:rPr>
          <w:rFonts w:ascii="Times New Roman;serif" w:hAnsi="Times New Roman;serif"/>
          <w:b/>
          <w:i/>
          <w:color w:val="000000"/>
          <w:sz w:val="20"/>
          <w:shd w:fill="FFFFFF" w:val="clear"/>
        </w:rPr>
        <w:t>Dividend rights</w:t>
      </w:r>
      <w:r>
        <w:rPr>
          <w:rFonts w:ascii="Times New Roman;serif" w:hAnsi="Times New Roman;serif"/>
          <w:b w:val="false"/>
          <w:color w:val="000000"/>
          <w:sz w:val="20"/>
          <w:shd w:fill="FFFFFF" w:val="clear"/>
        </w:rPr>
        <w:t>. 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of directors of the Company (the “</w:t>
      </w:r>
      <w:r>
        <w:rPr>
          <w:rFonts w:ascii="Times New Roman;serif" w:hAnsi="Times New Roman;serif"/>
          <w:b/>
          <w:i/>
          <w:color w:val="000000"/>
          <w:sz w:val="20"/>
          <w:shd w:fill="FFFFFF" w:val="clear"/>
        </w:rPr>
        <w:t>Board</w:t>
      </w:r>
      <w:r>
        <w:rPr>
          <w:color w:val="000000"/>
          <w:shd w:fill="FFFFFF" w:val="clear"/>
        </w:rPr>
        <w:t>”</w:t>
      </w:r>
      <w:r>
        <w:rPr>
          <w:rFonts w:ascii="Times New Roman;serif" w:hAnsi="Times New Roman;serif"/>
          <w:b w:val="false"/>
          <w:color w:val="000000"/>
          <w:sz w:val="20"/>
          <w:shd w:fill="FFFFFF" w:val="clear"/>
        </w:rPr>
        <w:t>) from time to time out of any assets or funds of the Corporation legally available therefor and shall share equally on a per share basis in such dividends and distributions.</w:t>
      </w:r>
    </w:p>
    <w:p>
      <w:pPr>
        <w:pStyle w:val="TextBody"/>
        <w:bidi w:val="0"/>
        <w:spacing w:lineRule="auto" w:line="288" w:before="0" w:after="180"/>
        <w:jc w:val="left"/>
        <w:rPr/>
      </w:pPr>
      <w:r>
        <w:rPr>
          <w:rFonts w:ascii="Times New Roman;serif" w:hAnsi="Times New Roman;serif"/>
          <w:b/>
          <w:i/>
          <w:color w:val="000000"/>
          <w:sz w:val="20"/>
          <w:shd w:fill="FFFFFF" w:val="clear"/>
        </w:rPr>
        <w:t>Rights upon liquidation</w:t>
      </w:r>
      <w:r>
        <w:rPr>
          <w:rFonts w:ascii="Times New Roman;serif" w:hAnsi="Times New Roman;serif"/>
          <w:b w:val="false"/>
          <w:color w:val="000000"/>
          <w:sz w:val="20"/>
          <w:shd w:fill="FFFFFF" w:val="clear"/>
        </w:rPr>
        <w:t>. 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pStyle w:val="TextBody"/>
        <w:bidi w:val="0"/>
        <w:spacing w:lineRule="auto" w:line="288" w:before="0" w:after="180"/>
        <w:jc w:val="left"/>
        <w:rPr/>
      </w:pPr>
      <w:r>
        <w:rPr>
          <w:rFonts w:ascii="Times New Roman;serif" w:hAnsi="Times New Roman;serif"/>
          <w:b/>
          <w:i/>
          <w:color w:val="000000"/>
          <w:sz w:val="20"/>
          <w:shd w:fill="FFFFFF" w:val="clear"/>
        </w:rPr>
        <w:t>Other rights</w:t>
      </w:r>
      <w:r>
        <w:rPr>
          <w:rFonts w:ascii="Times New Roman;serif" w:hAnsi="Times New Roman;serif"/>
          <w:b w:val="false"/>
          <w:color w:val="000000"/>
          <w:sz w:val="20"/>
          <w:shd w:fill="FFFFFF" w:val="clear"/>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w:t>
      </w:r>
    </w:p>
    <w:p>
      <w:pPr>
        <w:pStyle w:val="TextBody"/>
        <w:bidi w:val="0"/>
        <w:spacing w:before="0" w:after="18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voting power of the Common Stock, impairing the liquidation rights of the capital stock of the Company, or delaying or preventing a change in control of the Company.</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Amendment of Charter or Bylaws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Charter provides the Board has the power to adopt, amend, alter or repeal the Company’s bylaws by the affirmative vote of a majority of the Board. The bylaws also may be adopted, amended, altered or repealed by the stockholders holding at least a majority of the voting power of all then outstanding shares. The Charter can be amended in accordance with the DGCL which requires approval by the Board and stockholders of the Company.</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Effects of Delaware Law and the Charter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Among other things, the Charter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permit the Board to issue up to 10,000,000 shares of preferred stock, with any rights, preferences, and privileges as they may designate, including the right to approve an acquisition or other change of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provide that the authorized number of directors may be changed only by resolution of the Board;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provide that the Board is classified into three classes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provide that all vacancies, including newly created directorships, may, except as otherwise required by law, be filled by the affirmative vote of a plurality of stockholders present in person or represented by proxy at the meeting and entitled to vote therein;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require that any action to be taken by the Company’s stockholders must be effected at a duly called annual or special meeting of stockholders and may not be effected by written consent of the stockholders of the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not provide for cumulative voting rights, therefore allowing the holders of a plurality of the voting power of the stock of the Company entitled to vote in any election of directors to elect all of the directors standing for election, if they should so choose.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amendment of any of these provisions would require approval by the holders of at more than 50% of the voting power of all of the Company’s then-outstanding capital stock entitled to vote generally in the election of directors, voting together as a single class.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combination of these provisions make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provisions are intended to enhance the likelihood of continued stability in the composition of the Board and its policies and to discourage coercive takeover practices and inadequate takeover bids. These provisions are </w:t>
      </w:r>
    </w:p>
    <w:p>
      <w:pPr>
        <w:pStyle w:val="TextBody"/>
        <w:bidi w:val="0"/>
        <w:spacing w:before="0" w:after="18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Certain Anti-Takeover Provisions of Delaware Law</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Meetings of Stockholders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Advance Notice Requirements for Stockholder Proposals and Director Nominations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Bylaws provide that stockholders seeking to nominate candidates for election to the Board or to bring business before our annual meeting of stockholders, must provide timely notice of their intent in writing. To be timely under our Bylaws, a stockholder’s notice needs to be received by the Secretary of the Company at our principal executive offices not later than the close of business on the 90th day nor earlier than the open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Shares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authorized but unissued shares of the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shares of the Common Stock and preferred stock could make it more difficult or discourage an attempt to obtain control of us by means of a proxy contest, tender offer, merger or otherwise.</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Forum Selection</w:t>
      </w:r>
    </w:p>
    <w:p>
      <w:pPr>
        <w:pStyle w:val="TextBody"/>
        <w:bidi w:val="0"/>
        <w:spacing w:lineRule="auto" w:line="288" w:before="0" w:after="180"/>
        <w:jc w:val="left"/>
        <w:rPr/>
      </w:pPr>
      <w:r>
        <w:rPr>
          <w:rFonts w:ascii="Times New Roman;serif" w:hAnsi="Times New Roman;serif"/>
          <w:b w:val="false"/>
          <w:color w:val="000000"/>
          <w:sz w:val="20"/>
          <w:shd w:fill="FFFFFF" w:val="clear"/>
        </w:rPr>
        <w:t>The Charter provides that that, unless the Company consents in writing to the selection of an alternative forum, the Delaware Court of Chancery (the “</w:t>
      </w:r>
      <w:r>
        <w:rPr>
          <w:rFonts w:ascii="Times New Roman;serif" w:hAnsi="Times New Roman;serif"/>
          <w:b/>
          <w:i/>
          <w:color w:val="000000"/>
          <w:sz w:val="20"/>
          <w:shd w:fill="FFFFFF" w:val="clear"/>
        </w:rPr>
        <w:t>Court of Chancery</w:t>
      </w:r>
      <w:r>
        <w:rPr>
          <w:color w:val="000000"/>
          <w:shd w:fill="FFFFFF" w:val="clear"/>
        </w:rPr>
        <w:t>”</w:t>
      </w:r>
      <w:r>
        <w:rPr>
          <w:rFonts w:ascii="Times New Roman;serif" w:hAnsi="Times New Roman;serif"/>
          <w:b w:val="false"/>
          <w:color w:val="000000"/>
          <w:sz w:val="20"/>
          <w:shd w:fill="FFFFFF" w:val="clear"/>
        </w:rPr>
        <w:t>) will be the sole and exclusive forum for any stockholder (including a beneficial owner) to bring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its directors, officers or employees arising pursuant to any provision of the DGCL or the Company’s Charter or existing bylaws, or (iv) any action asserting a claim against the Company, its directors, officers or employees governed by the internal affairs doctrine. The foregoing will not apply to (a) suits brought to enforce any liability or duty created by the Exchange Act or any other claim for which the federal courts have exclusive jurisdiction or (b) any action asserting a cause of action arising under the Securities Act for which the federal courts, to the fullest extent permitted by law, shall be the sole and exclusive forum for resolution.</w:t>
      </w:r>
    </w:p>
    <w:p>
      <w:pPr>
        <w:pStyle w:val="TextBody"/>
        <w:bidi w:val="0"/>
        <w:spacing w:before="0" w:after="18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Section 203 of the Delaware General Corporation Law</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and will not opt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 stockholder who owns 15% or more of our outstanding voting stock (otherwise known as an “</w:t>
      </w:r>
      <w:r>
        <w:rPr>
          <w:rFonts w:ascii="Times New Roman;serif" w:hAnsi="Times New Roman;serif"/>
          <w:b/>
          <w:i/>
          <w:color w:val="000000"/>
          <w:sz w:val="20"/>
          <w:shd w:fill="FFFFFF" w:val="clear"/>
        </w:rPr>
        <w:t>interested stockholder</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an affiliate of an interested stockholder;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an associate of an interested stockholder, for three years following the date that the stockholder became an interested stockholder.</w:t>
      </w:r>
    </w:p>
    <w:p>
      <w:pPr>
        <w:pStyle w:val="TextBody"/>
        <w:bidi w:val="0"/>
        <w:spacing w:lineRule="auto" w:line="288" w:before="0" w:after="180"/>
        <w:jc w:val="left"/>
        <w:rPr/>
      </w:pPr>
      <w:r>
        <w:rPr>
          <w:rFonts w:ascii="Times New Roman;serif" w:hAnsi="Times New Roman;serif"/>
          <w:b w:val="false"/>
          <w:color w:val="000000"/>
          <w:sz w:val="20"/>
          <w:shd w:fill="FFFFFF" w:val="clear"/>
        </w:rPr>
        <w:t>A “</w:t>
      </w:r>
      <w:r>
        <w:rPr>
          <w:rFonts w:ascii="Times New Roman;serif" w:hAnsi="Times New Roman;serif"/>
          <w:b/>
          <w:i/>
          <w:color w:val="000000"/>
          <w:sz w:val="20"/>
          <w:shd w:fill="FFFFFF" w:val="clear"/>
        </w:rPr>
        <w:t>business combination</w:t>
      </w:r>
      <w:r>
        <w:rPr>
          <w:color w:val="000000"/>
          <w:shd w:fill="FFFFFF" w:val="clear"/>
        </w:rPr>
        <w:t xml:space="preserve">” </w:t>
      </w:r>
      <w:r>
        <w:rPr>
          <w:rFonts w:ascii="Times New Roman;serif" w:hAnsi="Times New Roman;serif"/>
          <w:b w:val="false"/>
          <w:color w:val="000000"/>
          <w:sz w:val="20"/>
          <w:shd w:fill="FFFFFF" w:val="clear"/>
        </w:rPr>
        <w:t>includes a merger or sale of more than 10% of our assets. However, the above provisions of Section 203 do not apply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Board approves the transaction that made the stockholder an interested stockholder, prior to the date of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Limitations on Liability and Indemnification of Officers and Directors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for any transaction from which the director derives an improper personal benefit;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for any act or omission not in good faith or that involves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for any unlawful payment of dividends or redemption of shares;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for any breach of a director’s duty of loyalty to the corporation or its stockholders.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Charter requires the Company to indemnify and advance expenses to, to the fullest extent permitted by applicable law, its directors, officers, and agents. The Company plans to maintain a directors’ and officers’ insurance policy pursuant to which the Company’s directors and officers are insured against liability for actions taken in their </w:t>
      </w:r>
    </w:p>
    <w:p>
      <w:pPr>
        <w:pStyle w:val="TextBody"/>
        <w:bidi w:val="0"/>
        <w:spacing w:before="0" w:after="18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entered into agreements with our officers and directors to provide contractual indemnification in addition to the indemnification provided for in our amended and restated certificate of incorporation. Our bylaws also permit us to secure insurance on behalf of any officer, director or employee for any liability arising out of his or her actions, regardless of whether Delaware law would permit such indemnification. We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these provisions, the directors’ and officers’ liability insurance and the indemnity agreements are necessary to attract and retain talented and experienced officers and directors.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Dissenters’ Rights of Appraisal and Payment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Court of Chancery.</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Stockholders’ Derivative Actions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any Company stockholder may bring an action in the Company’s name to procure a judgment in its favor, also known as a derivative action, provided that the stockholder bringing the action is a holder of the Company’s shares at the time of the transaction to which the action relates.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Transfer Agent and Warrant Agent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the Common Stock is Continental Stock Transfer &amp; Trust Company, LLC.</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 of Common Stock and Public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is traded on the Nasdaq Stock Market LLC under the symbol “QTI,” and our public warrants are traded in the over-the-counter (OTC) market under the symbol “QTIWW.”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DEBT SECURITIES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uto" w:line="288" w:before="0" w:after="180"/>
        <w:jc w:val="left"/>
        <w:rPr/>
      </w:pPr>
      <w:r>
        <w:rPr>
          <w:rFonts w:ascii="Times New Roman;serif" w:hAnsi="Times New Roman;serif"/>
          <w:b w:val="false"/>
          <w:color w:val="000000"/>
          <w:sz w:val="20"/>
          <w:shd w:fill="FFFFFF" w:val="clear"/>
        </w:rPr>
        <w:t>We will issue the debt securities under the indenture that we will enter into with the trustee named in the indenture. The indenture will be qualified under the Trust Indenture Act of 1939, as amended (the “</w:t>
      </w:r>
      <w:r>
        <w:rPr>
          <w:rFonts w:ascii="Times New Roman;serif" w:hAnsi="Times New Roman;serif"/>
          <w:b/>
          <w:i/>
          <w:color w:val="000000"/>
          <w:sz w:val="20"/>
          <w:shd w:fill="FFFFFF" w:val="clear"/>
        </w:rPr>
        <w:t>Trust Indenture Act</w:t>
      </w:r>
      <w:r>
        <w:rPr>
          <w:color w:val="000000"/>
          <w:shd w:fill="FFFFFF" w:val="clear"/>
        </w:rPr>
        <w:t>”</w:t>
      </w:r>
      <w:r>
        <w:rPr>
          <w:rFonts w:ascii="Times New Roman;serif" w:hAnsi="Times New Roman;serif"/>
          <w:b w:val="false"/>
          <w:color w:val="000000"/>
          <w:sz w:val="20"/>
          <w:shd w:fill="FFFFFF" w:val="clear"/>
        </w:rPr>
        <w:t xml:space="preserve">).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General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describe in the applicable prospectus supplement the terms of the series of debt securities being offered,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title of the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limit upon the aggregate principal amount that may be issued;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maturity date or 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form of the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applicability of any guarantees;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whether or not the debt securities will be secured or unsecured, and the terms of any secured debt;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whether the debt securities rank as senior debt, senior subordinated debt, subordinated debt or any combination thereof, and the terms of any subordination; </w:t>
      </w:r>
    </w:p>
    <w:p>
      <w:pPr>
        <w:pStyle w:val="TextBody"/>
        <w:bidi w:val="0"/>
        <w:spacing w:before="0" w:after="18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our right, if any, to defer payment of interest and the maximum length of any such deferral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denominations in which we will issue the series of debt securities, if other than denominations of $1,000 and any integral multiple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other than the full principal amount thereof, the portion of the principal amount of debt securities of the series which shall be payable upon declaration of acceleration of the maturity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additions to or changes in the covenants applicable to the particular debt securities being issued, including, among others, the consolidation, merger or sale covenant;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additions to or changes in or deletions of the provisions relating to covenant defeasance and legal defeasance;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additions to or changes in the provisions relating to satisfaction and discharge of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additions to or changes in the provisions relating to the modification of the indenture both with and without the consent of holders of debt securities issued under the indenture; </w:t>
      </w:r>
    </w:p>
    <w:p>
      <w:pPr>
        <w:pStyle w:val="TextBody"/>
        <w:bidi w:val="0"/>
        <w:spacing w:before="0" w:after="18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currency of payment of debt securities if other than U.S. dollars and the manner of determining the equivalent amount in U.S. dollars;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whether interest will be payable in cash or additional debt securities at our or the holders’ option and the terms and conditions upon which the election may be made;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any restrictions on transfer, sale or assignment of the debt securities of the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Conversion or Exchange Rights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Consolidation, Merger or Sale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Events of Default under the Indenture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specified events of bankruptcy, insolvency or reorganization occur. </w:t>
      </w:r>
    </w:p>
    <w:p>
      <w:pPr>
        <w:pStyle w:val="TextBody"/>
        <w:bidi w:val="0"/>
        <w:spacing w:before="0" w:after="18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direction so given by the holder is not in conflict with any law or the applicable indenture;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subject to its duties under the Trust Indenture Act, the trustee need not take any action that might involve it in personal liability or might be unduly prejudicial to the holders not involved in the proceeding.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 holder of the debt securities of any series will have the right to institute a proceeding under the indenture or to appoint a receiver or trustee, or to seek other remedies only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holder has given written notice to the trustee of a continuing event of default with respect to that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holders of at least 25% in aggregate principal amount of the outstanding debt securities of that series have made written request,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such holders have offered to the trustee indemnity satisfactory to it against the costs, expenses and liabilities to be incurred by the trustee in compliance with the request;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limitations do not apply to a suit instituted by a holder of debt securities if we default in the payment of the principal, premium, if any, or interest on, the debt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periodically file statements with the trustee regarding our compliance with specified covenants in the indenture.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Modification of Indenture; Waiver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and the trustee may change an indenture without the consent of any holders with respect to specific matters: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cure any ambiguity, defect or inconsistency in the indenture or in the debt securities of any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to comply with the provisions described above under “</w:t>
      </w:r>
      <w:r>
        <w:rPr>
          <w:rFonts w:ascii="Times New Roman;serif" w:hAnsi="Times New Roman;serif"/>
          <w:b w:val="false"/>
          <w:i/>
          <w:color w:val="000000"/>
          <w:sz w:val="20"/>
          <w:shd w:fill="FFFFFF" w:val="clear"/>
        </w:rPr>
        <w:t>Description of Debt Securities - Consolidation, Merger or Sale</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provide for uncertificated debt securities in addition to or in place of certificated debt securities; </w:t>
      </w:r>
    </w:p>
    <w:p>
      <w:pPr>
        <w:pStyle w:val="TextBody"/>
        <w:bidi w:val="0"/>
        <w:spacing w:before="0" w:after="18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add to, delete from or revise the conditions, limitations, and restrictions on the authorized amount, terms, or purposes of issue, authentication and delivery of debt securities, as set forth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evidence and provide for the acceptance of appointment under any indenture by a successor trustee;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comply with any requirements of the SEC in connection with the qualification of any indenture under the Trust Indenture Act.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extending the fixed maturity of any debt securities of any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reducing the principal amount, reducing the rate of or extending the time of payment of interest, or reducing any premium payable upon the redemption of any series of any debt securities;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reducing the percentage of debt securities, the holders of which are required to consent to any amendment, supplement, modification or waiver.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Discharge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provide for payment;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register the transfer or exchange of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replace stolen, lost or mutilated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pay principal of and premium and interest on any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maintain paying agencies;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hold monies for payment in trust;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recover excess money held by the trustee;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compensate and indemnify the trustee;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appoint any successor trustee. </w:t>
      </w:r>
    </w:p>
    <w:p>
      <w:pPr>
        <w:pStyle w:val="TextBody"/>
        <w:bidi w:val="0"/>
        <w:spacing w:before="0" w:after="18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Form, Exchange and Transfer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elect to redeem the debt securities of any series, we will not be required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register the transfer of or exchange any debt securities so selected for redemption, in whole or in part, except the unredeemed portion of any debt securities we are redeeming in part.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Concerning the Trustee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Payment and Paying Agents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0" w:after="18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Governing Law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and the debt securities will be governed by and construed in accordance with the laws of the state of New York, except to the extent that the Trust Indenture Act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Following the description of the warrants that we may offer under this prospectus and the related warrant agreements and warrant certificates is a description of our outstanding warrants.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General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describe in the applicable prospectus supplement the terms of the series of warrants,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offering price and aggregate number of warrants offered;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currency for which the warrants may be purchased;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applicable, the designation and terms of the securities with which the warrants are issued and the number of warrants issued with each such security or each principal amount of such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applicable, the date on and after which the warrants and the related securities will be separately transferable;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effect of any merger, consolidation, sale or other disposition of our business on the warrant agreement and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terms of any rights to redeem or call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provisions for changes to or adjustments in the exercise price or number of securities issuable upon exercise of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periods during which, and places at which, the warrants are exercisable;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manner of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dates on which the right to exercise the warrants will commence and expire;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manner in which the warrant agreement and warrants may be modified; </w:t>
      </w:r>
    </w:p>
    <w:p>
      <w:pPr>
        <w:pStyle w:val="TextBody"/>
        <w:bidi w:val="0"/>
        <w:spacing w:before="0" w:after="18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federal income tax consequences of holding or exercising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terms of the securities issuable upon exercise of the warrants;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any other specific terms, preferences, rights or limitations of or restrictions on the warrants.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Outstanding Warrants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Public Stockholder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whole public warrant entitles the registered holder to purchase one share of Common Stock at a price after the reverse stock split of $6.90 per share, subject to adjustment as discussed below, at any time commencing 30 days after the completion of the Business Combination (March 4, 2024) (subject to certain exceptions). Pursuant to the warrant agreement, a warrant holder may exercise its public warrants only for a whole number of shares of Common Stock. The public warrants will expire five years after the Closing, at 5:00 p.m., New York City time.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Common Stock upon exercise of a public warrant unless the shares of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agreed to maintain the effectiveness of the registration statement that registered the sale of shares of Common Stock underlying the public warrants and a current prospectus relating to those shares of Common Stock until the public warrants expire or are redeemed, as specified in the warrant agreement; provided that if shares of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it will use its best efforts to register or qualify the shares under applicable blue sky laws to the extent an exemption is not available. If a registration statement covering the shares of Common Stock issuable upon exercise of the public warrants is not effective by the 60th day after the Closing, warrant holders may, until such time as there is an effective registration statement and during any period when the Company will have failed to maintain an effective registration statement, exercise public warrants on a “cashless basis” in accordance with Section 3(a)(9) of the Securities Act or another exemption, but the Company will use its best efforts to register or qualify the shares under applicable blue sky laws to the extent an exemption is not available. In such event, each holder would pay the exercise price by surrendering the public warrants for that number of shares of Common Stock equal to the quotient obtained by dividing (x) the product of the number of shares of Common Stock underlying the public warrants, multiplied by the excess of the “fair market value” (as defined below) less the exercise price of the public warrants by (y) the fair market value. The “fair market value” as used in this paragraph shall mean the average last sale price of the Common Stock for the 10 trading days ending on the third trading day prior to the date on which the notice of redemption is sent to the warrant holders.</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 of Public Warrants When the price per Share of Common Stock Equals or Exceeds $10.80.</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Once the public warrants become exercisable, the Company may redeem the outstanding public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in whole and not in part;</w:t>
      </w:r>
    </w:p>
    <w:p>
      <w:pPr>
        <w:pStyle w:val="TextBody"/>
        <w:bidi w:val="0"/>
        <w:spacing w:before="0" w:after="18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at a price of $0.01 per public warrant;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upon a minimum of 30 days’ prior written notice of redemption to each warrant holder;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if, and only if, the closing price per share of Common Stock equals or exceeds $10.80 per share (as adjusted for stock splits, stock dividends, reorganizations, recapitalizations and the like) for any 20 trading days within a 30-trading day period ending three trading days before the Company sends the notice of redemption to the warrant holders.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not redeem the public warrants as described above unless a registration statement under the Securities Act covering the issuance of shares of Common Stock issuable upon exercise of the public warrants is then effective and a current prospectus relating to those shares of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Common Stock may fall below the $10.80 redemption trigger price (as adjusted) as well as the $6.90 (for whole shares) public warrant exercise price after the redemption notice is issued.</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fractional shares of Common Stock will be issued upon exercise. If, upon exercise, a holder would be entitled to receive a fractional interest in a share, the Company will round down to the nearest whole number of the number of shares of Common Stock to be issued to the holder.</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 Procedures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Common Stock issued and outstanding immediately after giving effect to such exercise.</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Anti-dilution Adjustments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number of outstanding shares of the Common Stock is decreased by a consolidation, combination, reverse stock split or reclassification of shares of the Common Stock or other similar event, then, on the effective date of such consolidation, combination, reverse stock split, reclassification or similar event, the number of shares of the Common Stock issuable on exercise of each warrant will be decreased in proportion to such decrease in outstanding shares of the Common Stock.</w:t>
      </w:r>
    </w:p>
    <w:p>
      <w:pPr>
        <w:pStyle w:val="TextBody"/>
        <w:bidi w:val="0"/>
        <w:spacing w:lineRule="auto" w:line="288" w:before="0" w:after="180"/>
        <w:jc w:val="left"/>
        <w:rPr/>
      </w:pPr>
      <w:r>
        <w:rPr>
          <w:rFonts w:ascii="Times New Roman;serif" w:hAnsi="Times New Roman;serif"/>
          <w:b w:val="false"/>
          <w:color w:val="000000"/>
          <w:sz w:val="20"/>
          <w:shd w:fill="FFFFFF" w:val="clear"/>
        </w:rPr>
        <w:t>Whenever the number of shares of the Common Stock purchasable upon the exercise of the warrants is adjusted, as described above, the warrant exercise price will be adjusted by multiplying the warrant exercise price</w:t>
      </w:r>
      <w:r>
        <w:rPr>
          <w:color w:val="000000"/>
        </w:rPr>
        <w:t xml:space="preserve"> </w:t>
      </w:r>
      <w:r>
        <w:rPr>
          <w:rFonts w:ascii="Times New Roman;serif" w:hAnsi="Times New Roman;serif"/>
          <w:b w:val="false"/>
          <w:color w:val="000000"/>
          <w:sz w:val="20"/>
          <w:shd w:fill="FFFFFF" w:val="clear"/>
        </w:rPr>
        <w:t>immediately prior to such adjustment by a fraction (x) the numerator of which will be the number of shares of the Common Stock purchasable upon the exercise of the warrants immediately prior to such adjustment, and (y) the denominator of which will be the number of shares of the Common Stock so purchasable immediately thereafter.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case of any reclassification or reorganization of the outstanding shares of the Common Stock (other than those described above or that solely affects the par value of such shares of the Common Stock), or in the case of any merger or consolidation of us with or into another corporation (other than a consolidation or merger in which the Company is the continuing corporation and that does not result in any reclassification or reorganization of our outstanding shares of the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w:t>
      </w:r>
    </w:p>
    <w:p>
      <w:pPr>
        <w:pStyle w:val="TextBody"/>
        <w:bidi w:val="0"/>
        <w:spacing w:before="0" w:after="18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basis and upon the terms and conditions specified in the warrants and in lieu of the shares of the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the Company’s stockholders as provided for in the Charter or as a result of the repurchase of shares of the Common Stock by us if the Business Combination is presented to the stockholders of the Company for approval) under circumstances in which, upon completion of such tender or exchange offer, the maker thereof, together with members of any group (within the meaning of Rule 13d-5(b)(1) under the Securities and Exchange Act of 1934, as amended (the “</w:t>
      </w:r>
      <w:r>
        <w:rPr>
          <w:rFonts w:ascii="Times New Roman;serif" w:hAnsi="Times New Roman;serif"/>
          <w:b/>
          <w:i/>
          <w:color w:val="000000"/>
          <w:sz w:val="20"/>
          <w:shd w:fill="FFFFFF" w:val="clear"/>
        </w:rPr>
        <w:t>Exchange Act</w:t>
      </w:r>
      <w:r>
        <w:rPr>
          <w:color w:val="000000"/>
          <w:shd w:fill="FFFFFF" w:val="clear"/>
        </w:rPr>
        <w:t>”</w:t>
      </w:r>
      <w:r>
        <w:rPr>
          <w:rFonts w:ascii="Times New Roman;serif" w:hAnsi="Times New Roman;serif"/>
          <w:b w:val="false"/>
          <w:color w:val="000000"/>
          <w:sz w:val="20"/>
          <w:shd w:fill="FFFFFF" w:val="clear"/>
        </w:rPr>
        <w: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the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the Common Stock in such a transaction is payable in the form of the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public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warrants to make any change that adversely affects the interests of the registered holders of warrants.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Private Placement Warrants and Working Capital Note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private placement warrants and working capital note warrants governed by the warrant agreement are identical to the public warrants except that such private placement warrants and working capital note warrants will be exercisable for cash (even if a registration statement covering the issuance of the warrant shares issuable upon exercise of such private placement warrants and working capital note warrants is not effective) or on a cashless basis, at the holder’s option, and will not be redeemable by us, in each case so long as they are still held by the initial distributees of GigAcquisitions5, LLC or their affiliates. There are 296,445 private placement warrants and working capital note warrants.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Lynrock Lake Warrant</w:t>
      </w:r>
    </w:p>
    <w:p>
      <w:pPr>
        <w:pStyle w:val="TextBody"/>
        <w:bidi w:val="0"/>
        <w:spacing w:lineRule="auto" w:line="288" w:before="0" w:after="180"/>
        <w:jc w:val="left"/>
        <w:rPr/>
      </w:pPr>
      <w:r>
        <w:rPr>
          <w:rFonts w:ascii="Times New Roman;serif" w:hAnsi="Times New Roman;serif"/>
          <w:b w:val="false"/>
          <w:color w:val="000000"/>
          <w:sz w:val="20"/>
          <w:shd w:fill="FFFFFF" w:val="clear"/>
        </w:rPr>
        <w:t>In connection with the Credit Agreement that provides a senior secured term note with Lynrock Lake Master Fund LP (“</w:t>
      </w:r>
      <w:r>
        <w:rPr>
          <w:rFonts w:ascii="Times New Roman;serif" w:hAnsi="Times New Roman;serif"/>
          <w:b/>
          <w:i/>
          <w:color w:val="000000"/>
          <w:sz w:val="20"/>
          <w:shd w:fill="FFFFFF" w:val="clear"/>
        </w:rPr>
        <w:t>Lynrock Lake</w:t>
      </w:r>
      <w:r>
        <w:rPr>
          <w:color w:val="000000"/>
          <w:shd w:fill="FFFFFF" w:val="clear"/>
        </w:rPr>
        <w:t>”</w:t>
      </w:r>
      <w:r>
        <w:rPr>
          <w:rFonts w:ascii="Times New Roman;serif" w:hAnsi="Times New Roman;serif"/>
          <w:b w:val="false"/>
          <w:color w:val="000000"/>
          <w:sz w:val="20"/>
          <w:shd w:fill="FFFFFF" w:val="clear"/>
        </w:rPr>
        <w:t xml:space="preserve">), the Company issued to Lynrock Lake a warrant for the purchase of 20,333,623 shares </w:t>
      </w:r>
    </w:p>
    <w:p>
      <w:pPr>
        <w:pStyle w:val="TextBody"/>
        <w:bidi w:val="0"/>
        <w:spacing w:before="0" w:after="18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of Common Stock at an exercise price of $1.20 per share (the “</w:t>
      </w:r>
      <w:r>
        <w:rPr>
          <w:rFonts w:ascii="Times New Roman;serif" w:hAnsi="Times New Roman;serif"/>
          <w:b/>
          <w:i/>
          <w:color w:val="000000"/>
          <w:sz w:val="20"/>
          <w:shd w:fill="FFFFFF" w:val="clear"/>
        </w:rPr>
        <w:t>Lynrock Lake Warrant</w:t>
      </w:r>
      <w:r>
        <w:rPr>
          <w:rFonts w:ascii="Times New Roman;serif" w:hAnsi="Times New Roman;serif"/>
          <w:b w:val="false"/>
          <w:color w:val="000000"/>
          <w:sz w:val="20"/>
          <w:shd w:fill="FFFFFF" w:val="clear"/>
        </w:rPr>
        <w:t>. The Lynrock Lake Warrant is exercisable until February 26, 2035. Lynrock Lake may cashless exercise the Lynrock Lake Warrant. The Lynrock Lake Warrant is also subject to anti-dilution adjustments to the exercise price and the number of shares which may be purchased upon exercise of the Lynrock Lake Warrant in the event that the Company issues shares of Common Stock (or derivative securities) at a price that is either less than the $1.20 exercise price or the fair market value of a share of Common Stock from the immediately prior trading day.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the written request of the beneficial owner of Lynrock Lake, the Company shall, within thirty (30) days thereafter, enter into a registration rights agreement with Lynrock Lake, which shall contain customary terms for the registration of the shares of Common Stock to be issued upon exercise of the Lynrock Lake Warrant.</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November 2024 PIPE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issued warrants for the purchase of 1,458,314 shares of Common Stock pursuant to a securities purchase agreement, dated November 12, 2024 (the “</w:t>
      </w:r>
      <w:r>
        <w:rPr>
          <w:rFonts w:ascii="Times New Roman;serif" w:hAnsi="Times New Roman;serif"/>
          <w:b/>
          <w:i/>
          <w:color w:val="000000"/>
          <w:sz w:val="20"/>
          <w:shd w:fill="FFFFFF" w:val="clear"/>
        </w:rPr>
        <w:t>November</w:t>
      </w:r>
      <w:r>
        <w:rPr>
          <w:color w:val="000000"/>
          <w:shd w:fill="FFFFFF" w:val="clear"/>
        </w:rPr>
        <w:t> </w:t>
      </w:r>
      <w:r>
        <w:rPr>
          <w:rFonts w:ascii="Times New Roman;serif" w:hAnsi="Times New Roman;serif"/>
          <w:b/>
          <w:i/>
          <w:color w:val="000000"/>
          <w:sz w:val="20"/>
          <w:shd w:fill="FFFFFF" w:val="clear"/>
        </w:rPr>
        <w:t>2024 PIPE Warrants</w:t>
      </w:r>
      <w:r>
        <w:rPr>
          <w:color w:val="000000"/>
          <w:shd w:fill="FFFFFF" w:val="clear"/>
        </w:rPr>
        <w:t>”</w:t>
      </w:r>
      <w:r>
        <w:rPr>
          <w:rFonts w:ascii="Times New Roman;serif" w:hAnsi="Times New Roman;serif"/>
          <w:b w:val="false"/>
          <w:color w:val="000000"/>
          <w:sz w:val="20"/>
          <w:shd w:fill="FFFFFF" w:val="clear"/>
        </w:rPr>
        <w:t>). Each November 2024 PIPE Warrant is exercisable in cash for one share of Common Stock at an exercise price of $2.02 per share, and be exercisable beginning 6 months after its issuance at the closing of the private placement of the November 2024 PIPE Warrants and ending 5 years after such issuance, or on May 22, 2030.</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Ten Year Common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issued warrants with a term of ten years from the initial exercise date (the “</w:t>
      </w:r>
      <w:r>
        <w:rPr>
          <w:rFonts w:ascii="Times New Roman;serif" w:hAnsi="Times New Roman;serif"/>
          <w:b/>
          <w:i/>
          <w:color w:val="000000"/>
          <w:sz w:val="20"/>
          <w:shd w:fill="FFFFFF" w:val="clear"/>
        </w:rPr>
        <w:t>Ten Year Common Warrants</w:t>
      </w:r>
      <w:r>
        <w:rPr>
          <w:color w:val="000000"/>
          <w:shd w:fill="FFFFFF" w:val="clear"/>
        </w:rPr>
        <w:t>”</w:t>
      </w:r>
      <w:r>
        <w:rPr>
          <w:rFonts w:ascii="Times New Roman;serif" w:hAnsi="Times New Roman;serif"/>
          <w:b w:val="false"/>
          <w:color w:val="000000"/>
          <w:sz w:val="20"/>
          <w:shd w:fill="FFFFFF" w:val="clear"/>
        </w:rPr>
        <w:t>) for the purchase of 523,286 shares of Common Stock that are issuable upon exercise of the Ten Year Common Warrants at an exercise price of $2.16 per share. The Ten Year Common Warrants are exercisable beginning 6 months after their issuance at the closing of the private placement on April 9, 2025 and ending 10 years after such issuance.</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Recanati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issued a warrant with a term of five years form the initial exercise date (the “</w:t>
      </w:r>
      <w:r>
        <w:rPr>
          <w:rFonts w:ascii="Times New Roman;serif" w:hAnsi="Times New Roman;serif"/>
          <w:b/>
          <w:i/>
          <w:color w:val="000000"/>
          <w:sz w:val="20"/>
          <w:shd w:fill="FFFFFF" w:val="clear"/>
        </w:rPr>
        <w:t>Recanati Warrant</w:t>
      </w:r>
      <w:r>
        <w:rPr>
          <w:color w:val="000000"/>
          <w:shd w:fill="FFFFFF" w:val="clear"/>
        </w:rPr>
        <w:t>”</w:t>
      </w:r>
      <w:r>
        <w:rPr>
          <w:rFonts w:ascii="Times New Roman;serif" w:hAnsi="Times New Roman;serif"/>
          <w:b w:val="false"/>
          <w:color w:val="000000"/>
          <w:sz w:val="20"/>
          <w:shd w:fill="FFFFFF" w:val="clear"/>
        </w:rPr>
        <w:t>) for the purchase of 68,447 shares of Common Stock that are issuable upon exercise of the Recanati Warrant at an exercise price of $3.36 per share. The Recanati Warrant is exercisable beginning 6 months after its issuance at the closing of the private placement on May 12, 2025 and ending 5 years after such issuance.</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Subscription and Pre-Funded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issued warrants with a term of five years from the initial exercise date (the “</w:t>
      </w:r>
      <w:r>
        <w:rPr>
          <w:rFonts w:ascii="Times New Roman;serif" w:hAnsi="Times New Roman;serif"/>
          <w:b/>
          <w:i/>
          <w:color w:val="000000"/>
          <w:sz w:val="20"/>
          <w:shd w:fill="FFFFFF" w:val="clear"/>
        </w:rPr>
        <w:t>Subscription Warrants</w:t>
      </w:r>
      <w:r>
        <w:rPr>
          <w:color w:val="000000"/>
          <w:shd w:fill="FFFFFF" w:val="clear"/>
        </w:rPr>
        <w:t>”</w:t>
      </w:r>
      <w:r>
        <w:rPr>
          <w:rFonts w:ascii="Times New Roman;serif" w:hAnsi="Times New Roman;serif"/>
          <w:b w:val="false"/>
          <w:color w:val="000000"/>
          <w:sz w:val="20"/>
          <w:shd w:fill="FFFFFF" w:val="clear"/>
        </w:rPr>
        <w:t>) for the purchase of 4,040,272 shares of Common Stock that are issuable upon exercise of the Subscription Warrants at an exercise price of $4.50 per share. The Subscription Warrants are exercisable beginning 6 months after their issuance at the closing of the private placement on October 3, 2025 and ending 5 years after such issuance. In addition, there are pre-funded warrants (the “</w:t>
      </w:r>
      <w:r>
        <w:rPr>
          <w:rFonts w:ascii="Times New Roman;serif" w:hAnsi="Times New Roman;serif"/>
          <w:b/>
          <w:i/>
          <w:color w:val="000000"/>
          <w:sz w:val="20"/>
          <w:shd w:fill="FFFFFF" w:val="clear"/>
        </w:rPr>
        <w:t>Pre-Funded Warrants</w:t>
      </w:r>
      <w:r>
        <w:rPr>
          <w:color w:val="000000"/>
          <w:shd w:fill="FFFFFF" w:val="clear"/>
        </w:rPr>
        <w:t>”</w:t>
      </w:r>
      <w:r>
        <w:rPr>
          <w:rFonts w:ascii="Times New Roman;serif" w:hAnsi="Times New Roman;serif"/>
          <w:b w:val="false"/>
          <w:color w:val="000000"/>
          <w:sz w:val="20"/>
          <w:shd w:fill="FFFFFF" w:val="clear"/>
        </w:rPr>
        <w:t>) at an exercise price of $0.0003 per share for the purchase of 1,808,055 shares of Common Stock that are issuable upon the exercise of the Pre-Funded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Subscription Warrants will be exercisable solely for cash unless there is no effective registration statement registering, or the prospectus contained therein is not available for the issuance of the warrant shares to the holder of a Subscription Warrant that is exercising such Subscription Warrant, in which case such Subscription Warrant be may also be exercised, in whole or in part, at such time by means of a “cashless exercise” pursuant to such formula as is set forth in the Subscription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shall not effect any exercise of a Subscription Warrant, and a holder shall not have the right to exercise any portion of such Subscription Warrant, to the extent that after giving effect to such issuance after exercise, the holder (together with such holder’s affiliates, and any other persons acting as a group together with such holder or any of such holder’s affiliates, would beneficially own in excess of 4.99% or 9.99% (or such other amount as a holder may specify not to exceed 9.99%) of the shares of Common Stock outstanding immediately after giving effect to such exercise (the “</w:t>
      </w:r>
      <w:r>
        <w:rPr>
          <w:rFonts w:ascii="Times New Roman;serif" w:hAnsi="Times New Roman;serif"/>
          <w:b/>
          <w:i/>
          <w:color w:val="000000"/>
          <w:sz w:val="20"/>
          <w:shd w:fill="FFFFFF" w:val="clear"/>
        </w:rPr>
        <w:t>Beneficial Ownership Limitation</w:t>
      </w:r>
      <w:r>
        <w:rPr>
          <w:color w:val="000000"/>
          <w:shd w:fill="FFFFFF" w:val="clear"/>
        </w:rPr>
        <w:t>”</w:t>
      </w:r>
      <w:r>
        <w:rPr>
          <w:rFonts w:ascii="Times New Roman;serif" w:hAnsi="Times New Roman;serif"/>
          <w:b w:val="false"/>
          <w:color w:val="000000"/>
          <w:sz w:val="20"/>
          <w:shd w:fill="FFFFFF" w:val="clear"/>
        </w:rPr>
        <w:t>).</w:t>
      </w:r>
    </w:p>
    <w:p>
      <w:pPr>
        <w:pStyle w:val="TextBody"/>
        <w:bidi w:val="0"/>
        <w:spacing w:before="0" w:after="18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The Subscription Warrants provide for standard adjustments for stock dividends, splits, combinations, reclassifications and similar events. In the event of a Fundamental Transaction (as such term is defined in the Subscription Warrant), then upon any subsequent exercise of a Subscription Warrant, the holder shall have the right to receive, for each warrant share that would have been issuable upon such exercise immediately prior to the occurrence of such Fundamental Transaction, at the option of such holder (without regard to any Beneficial Ownership Limitation on the exercise of this Warrant), the number of shares of Common Stock of the successor or acquiring corporation or of the Company, if it is the surviving corporation, and any additional consideration (the “</w:t>
      </w:r>
      <w:r>
        <w:rPr>
          <w:rFonts w:ascii="Times New Roman;serif" w:hAnsi="Times New Roman;serif"/>
          <w:b/>
          <w:i/>
          <w:color w:val="000000"/>
          <w:sz w:val="20"/>
          <w:shd w:fill="FFFFFF" w:val="clear"/>
        </w:rPr>
        <w:t>Alternate Consideration</w:t>
      </w:r>
      <w:r>
        <w:rPr>
          <w:color w:val="000000"/>
          <w:shd w:fill="FFFFFF" w:val="clear"/>
        </w:rPr>
        <w:t>”</w:t>
      </w:r>
      <w:r>
        <w:rPr>
          <w:rFonts w:ascii="Times New Roman;serif" w:hAnsi="Times New Roman;serif"/>
          <w:b w:val="false"/>
          <w:color w:val="000000"/>
          <w:sz w:val="20"/>
          <w:shd w:fill="FFFFFF" w:val="clear"/>
        </w:rPr>
        <w:t>) receivable as a result of such Fundamental Transaction by a holder of the number of shares of Common Stock for which such Subscription Warrant is exercisable immediately prior to such Fundamental Transaction (without regard to any Beneficial Ownership Limitation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of a Subscription Warrant shall be given the same choice as to the Alternate Consideration it receives upon any exercise of such Subscription Warrant following such Fundamental Transaction. Notwithstanding anything to the contrary, in the event of a Fundamental Transaction, the Company or any successor entity shall, at a holder’s option, exercisable at any time concurrently with, or within 30 days after, the consummation of the Fundamental Transaction (or, if later, the date of the public announcement of the applicable Fundamental Transaction), purchase the holder’s Subscription Warrant from such holder by paying to such holder an amount of cash equal to the Black Scholes value (as defined in the Subscription Warrant) of the remaining unexercised portion of the Subscription Warrant on the date of the consummation of such Fundamental Transaction; provided, however, that, if the Fundamental Transaction is not within the Company's control, including not approved by the Company's board of directors, such holder shall only be entitled to receive from the Company or any successor entity the same type or form of consideration (and in the same proportion), at the Black Scholes value of the unexercised portion of the Subscription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in such Fundamental Transaction.</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shall cause the shares of Common Stock purchased upon exercise of a November 2024 PIPE Warrants, a Ten Year Common Warrant, the Recanati Warrant, a Subscription Warrant or a Pre-Funded Warrant to be transmitted by the Company’s transfer agent to the holder of the warrant by crediting the account of such holder’s or its designee’s balance account with The Depository Trust Company through its Deposit or Withdrawal at Custodian system (“</w:t>
      </w:r>
      <w:r>
        <w:rPr>
          <w:rFonts w:ascii="Times New Roman;serif" w:hAnsi="Times New Roman;serif"/>
          <w:b/>
          <w:i/>
          <w:color w:val="000000"/>
          <w:sz w:val="20"/>
          <w:shd w:fill="FFFFFF" w:val="clear"/>
        </w:rPr>
        <w:t>DWAC</w:t>
      </w:r>
      <w:r>
        <w:rPr>
          <w:color w:val="000000"/>
          <w:shd w:fill="FFFFFF" w:val="clear"/>
        </w:rPr>
        <w:t>”</w:t>
      </w:r>
      <w:r>
        <w:rPr>
          <w:rFonts w:ascii="Times New Roman;serif" w:hAnsi="Times New Roman;serif"/>
          <w:b w:val="false"/>
          <w:color w:val="000000"/>
          <w:sz w:val="20"/>
          <w:shd w:fill="FFFFFF" w:val="clear"/>
        </w:rPr>
        <w:t>) if the Company is then a participant in such system and there is an effective registration statement permitting the issuance of such shares to or resale of such shares by such holder, and otherwise by physical delivery of a certificate, registered in the Company’s share register in the name of such holder or its designee, for the number of such shares to which such holder is entitled pursuant to such exercise to the address specified by such holder in the notice of exercise by the date that is the earliest of (i) two trading days after the delivery to the Company of the notice of exercise and (ii) the number of trading days comprising the Standard Settlement Period after the delivery to the Company of the notice of exercise (such date, the “</w:t>
      </w:r>
      <w:r>
        <w:rPr>
          <w:rFonts w:ascii="Times New Roman;serif" w:hAnsi="Times New Roman;serif"/>
          <w:b/>
          <w:i/>
          <w:color w:val="000000"/>
          <w:sz w:val="20"/>
          <w:shd w:fill="FFFFFF" w:val="clear"/>
        </w:rPr>
        <w:t>Warrant Share Delivery Date</w:t>
      </w:r>
      <w:r>
        <w:rPr>
          <w:color w:val="000000"/>
          <w:shd w:fill="FFFFFF" w:val="clear"/>
        </w:rPr>
        <w:t>”</w:t>
      </w:r>
      <w:r>
        <w:rPr>
          <w:rFonts w:ascii="Times New Roman;serif" w:hAnsi="Times New Roman;serif"/>
          <w:b w:val="false"/>
          <w:color w:val="000000"/>
          <w:sz w:val="20"/>
          <w:shd w:fill="FFFFFF" w:val="clear"/>
        </w:rPr>
        <w:t>). Upon delivery of the notice of exercise, an exercising holder shall be deemed for all corporate purposes to have become the holder of record of the shares with respect to which the warrant has been exercised, irrespective of the date of delivery of the shares, provided that payment of the aggregate exercise price is received by the Warrant Share Delivery Date. “</w:t>
      </w:r>
      <w:r>
        <w:rPr>
          <w:rFonts w:ascii="Times New Roman;serif" w:hAnsi="Times New Roman;serif"/>
          <w:b/>
          <w:i/>
          <w:color w:val="000000"/>
          <w:sz w:val="20"/>
          <w:shd w:fill="FFFFFF" w:val="clear"/>
        </w:rPr>
        <w:t>Standard Settlement Period</w:t>
      </w:r>
      <w:r>
        <w:rPr>
          <w:color w:val="000000"/>
          <w:shd w:fill="FFFFFF" w:val="clear"/>
        </w:rPr>
        <w:t xml:space="preserve">” </w:t>
      </w:r>
      <w:r>
        <w:rPr>
          <w:rFonts w:ascii="Times New Roman;serif" w:hAnsi="Times New Roman;serif"/>
          <w:b w:val="false"/>
          <w:color w:val="000000"/>
          <w:sz w:val="20"/>
          <w:shd w:fill="FFFFFF" w:val="clear"/>
        </w:rPr>
        <w:t>means the standard settlement period, expressed in a number of trading days, on the Company’s primary trading market with respect to the Common Stock as in effect on the date of delivery of the notice of exercise.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Company, at any time while a November 2024 PIPE Warrants, a Ten Year Common Warrant or the Recanati Warrant is outstanding and unexpired, shall pay a dividend or make a distribution in cash, securities or </w:t>
      </w:r>
    </w:p>
    <w:p>
      <w:pPr>
        <w:pStyle w:val="TextBody"/>
        <w:bidi w:val="0"/>
        <w:spacing w:before="0" w:after="18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other assets to the holders of the Common Stock on account of such shares of Common Stock (or other shares of the Company’s capital stock into which the warrants are convertible) (an “</w:t>
      </w:r>
      <w:r>
        <w:rPr>
          <w:rFonts w:ascii="Times New Roman;serif" w:hAnsi="Times New Roman;serif"/>
          <w:b/>
          <w:i/>
          <w:color w:val="000000"/>
          <w:sz w:val="20"/>
          <w:shd w:fill="FFFFFF" w:val="clear"/>
        </w:rPr>
        <w:t>Extraordinary Dividend</w:t>
      </w:r>
      <w:r>
        <w:rPr>
          <w:color w:val="000000"/>
          <w:shd w:fill="FFFFFF" w:val="clear"/>
        </w:rPr>
        <w:t>”</w:t>
      </w:r>
      <w:r>
        <w:rPr>
          <w:rFonts w:ascii="Times New Roman;serif" w:hAnsi="Times New Roman;serif"/>
          <w:b w:val="false"/>
          <w:color w:val="000000"/>
          <w:sz w:val="20"/>
          <w:shd w:fill="FFFFFF" w:val="clear"/>
        </w:rPr>
        <w:t>), then the exercise price of the warrants shall be decreased, effective immediately after the effective date of such Extraordinary Dividend, by the amount of cash and/or the fair market value (as determined by the board of directors, in good faith) of any securities or other assets paid on each share of Common Stock in respect of such Extraordinary Dividend; provided, however, that none of the following shall be deemed an Extraordinary Dividend for purposes of this provision: (a) any adjustment as a result of a stock dividend, subdivision, combination, reverse stock split, reclassification or similar event or (b) any cash dividend or cash distribution which, when combined on a per share basis with the per share amounts of all other cash dividends and cash distributions paid on the Common Stock during the 365-day period ending on the date of declaration of such dividend or distribution does not exceed $0.50 (as adjusted to appropriately reflect any earlier adjustment and excluding cash dividends or cash distributions that resulted in an adjustment to the exercise price or to the number of shares of Common Stock issuable on exercise of each warrant) but only with respect to the amount of the aggregate cash dividend or cash distribution equal to or less than $0.50.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exercise price of the warrants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January 2026 PIPE Warrants</w:t>
      </w:r>
    </w:p>
    <w:p>
      <w:pPr>
        <w:pStyle w:val="TextBody"/>
        <w:bidi w:val="0"/>
        <w:spacing w:lineRule="auto" w:line="288" w:before="0" w:after="180"/>
        <w:jc w:val="left"/>
        <w:rPr/>
      </w:pPr>
      <w:r>
        <w:rPr>
          <w:rFonts w:ascii="Times New Roman;serif" w:hAnsi="Times New Roman;serif"/>
          <w:b w:val="false"/>
          <w:color w:val="000000"/>
          <w:sz w:val="20"/>
          <w:shd w:fill="FFFFFF" w:val="clear"/>
        </w:rPr>
        <w:t>The Company has issued warrants for the purchase of 48,214 shares of Common Stock pursuant to a securities purchase agreement, dated January 22, 2026 (the “</w:t>
      </w:r>
      <w:r>
        <w:rPr>
          <w:rFonts w:ascii="Times New Roman;serif" w:hAnsi="Times New Roman;serif"/>
          <w:b/>
          <w:i/>
          <w:color w:val="000000"/>
          <w:sz w:val="20"/>
          <w:shd w:fill="FFFFFF" w:val="clear"/>
        </w:rPr>
        <w:t>January 2026 PIPE Warrants</w:t>
      </w:r>
      <w:r>
        <w:rPr>
          <w:color w:val="000000"/>
          <w:shd w:fill="FFFFFF" w:val="clear"/>
        </w:rPr>
        <w:t>”</w:t>
      </w:r>
      <w:r>
        <w:rPr>
          <w:rFonts w:ascii="Times New Roman;serif" w:hAnsi="Times New Roman;serif"/>
          <w:b w:val="false"/>
          <w:color w:val="000000"/>
          <w:sz w:val="20"/>
          <w:shd w:fill="FFFFFF" w:val="clear"/>
        </w:rPr>
        <w:t>). Each January 2026 PIPE Warrant is exercisable in cash for one share of Common Stock at an exercise price of $6.43 per share, and beginning 6 months after its issuance at the closing of the private placement of the January 2026 PIPE Warrants and ending 10 years after their initial exercise date, or on July 22, 2036.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UNITS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designation and terms of the units and of the securities comprising the units, including whether and under what circumstances those securities may be held or transferred separately;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provisions of the governing unit agreement;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price or prices at which such units will be issued;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applicable United States federal income tax considerations relating to the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provisions for the issuance, payment, settlement, transfer or exchange of the units or of the securities comprising the units;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other terms of the units and of the securities comprising the units. </w:t>
      </w:r>
    </w:p>
    <w:p>
      <w:pPr>
        <w:pStyle w:val="TextBody"/>
        <w:bidi w:val="0"/>
        <w:spacing w:lineRule="auto" w:line="288" w:before="0" w:after="180"/>
        <w:jc w:val="left"/>
        <w:rPr/>
      </w:pPr>
      <w:r>
        <w:rPr>
          <w:rFonts w:ascii="Times New Roman;serif" w:hAnsi="Times New Roman;serif"/>
          <w:b w:val="false"/>
          <w:color w:val="000000"/>
          <w:sz w:val="20"/>
          <w:shd w:fill="FFFFFF" w:val="clear"/>
        </w:rPr>
        <w:t>The provisions described in this section, as well as those described under “</w:t>
      </w:r>
      <w:r>
        <w:rPr>
          <w:rFonts w:ascii="Times New Roman;serif" w:hAnsi="Times New Roman;serif"/>
          <w:b w:val="false"/>
          <w:i/>
          <w:color w:val="000000"/>
          <w:sz w:val="20"/>
          <w:shd w:fill="FFFFFF" w:val="clear"/>
        </w:rPr>
        <w:t>Description of Capital Stock,” “Description of Debt Securities</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i/>
          <w:color w:val="000000"/>
          <w:sz w:val="20"/>
          <w:shd w:fill="FFFFFF" w:val="clear"/>
        </w:rPr>
        <w:t>Description of Warrants</w:t>
      </w:r>
      <w:r>
        <w:rPr>
          <w:color w:val="000000"/>
          <w:shd w:fill="FFFFFF" w:val="clear"/>
        </w:rPr>
        <w:t xml:space="preserve">” </w:t>
      </w:r>
      <w:r>
        <w:rPr>
          <w:rFonts w:ascii="Times New Roman;serif" w:hAnsi="Times New Roman;serif"/>
          <w:b w:val="false"/>
          <w:color w:val="000000"/>
          <w:sz w:val="20"/>
          <w:shd w:fill="FFFFFF" w:val="clear"/>
        </w:rPr>
        <w:t xml:space="preserve">will apply to the securities included in each unit, to the extent relevant and as may be updated in any prospectus supplements.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Issuance in Series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Unit Agreements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18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provisions will generally apply to all unit agreements unless otherwise stated in the applicable prospectus supplement: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Modification without Consent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and the applicable unit agent may amend any unit or unit agreement without the consent of any 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to cure any ambiguity, including modifying any provisions of the governing unit agreement that differ from those described below;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correct or supplement any defective or inconsistent provision;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to make any other change that we believe is necessary or desirable and will not adversely affect the interests of the affected holders in any material respect.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Modification with Consent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amend any particular unit or a unit agreement with respect to any particular unit unless we obtain the consent of the holder of that unit, if the amendment would: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impair any right of the holder to exercise or enforce any right under a security included in the unit if the terms of that security require the consent of the holder to any changes that would impair the exercise or enforcement of that right;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reduce the percentage of outstanding units or any series or class the consent of whose holders is required to amend that series or class, or the applicable unit agreement with respect to that series or class, as described below.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Any other change to a particular unit agreement and the units issued under that agreement would require the following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the change affects only the units of a particular series issued under that agreement, the change must be approved by the holders of a majority of the outstanding units of that series;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provisions regarding changes with majority approval also apply to changes affecting any securities issued under a unit agreement, as the governing document.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each case, the required approval must be given by written consent.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Unit Agreements Will Not Be Qualified under Trust Indenture Act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Mergers and Similar Transactions Permitted; No Restrictive Covenants or Events of Default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unit agreements will not restrict our ability to merge or consolidate with, or sell our assets to, another corporation or other entity or to engage in any other transactions. If at any time we merge or consolidate with, or sell </w:t>
      </w:r>
    </w:p>
    <w:p>
      <w:pPr>
        <w:pStyle w:val="TextBody"/>
        <w:bidi w:val="0"/>
        <w:spacing w:before="0" w:after="18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Governing Law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unit agreements and the units will be governed by Delaware law.</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Form, Exchange and Transfer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unit and all securities comprising the unit will be issued in the same form.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issue any units in registered, non-global form, the following will apply to them.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Holders may exchange or transfer their units at the office of the unit agent. Holders may also replace lost, stolen, destroyed or mutilated units at that office. We may appoint another entity to perform these functions or perform them ourselves.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Only the depositary will be entitled to transfer or exchange a unit in global form, since it will be the sole holder of the unit.</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Payments and Notices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making payments and giving notices with respect to our units, we will follow the procedures as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MATERIAL U.S. FEDERAL INCOME TAX CONSIDERATIONS FOR NON-U.S. HOLDERSs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U.S. Internal Revenue Code of 1986, as amended (the “Code”)),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financial institutions or financial services entities;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broker-dealers;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governments or agencies or instrumentalities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regulated investment companies;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real estate investment trusts;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expatriates or former long-term residents of the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persons that actually or constructively own five percent or more of our voting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insurance companies;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dealers or traders subject to a mark-to-market method of accounting with respect to the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persons holding the securities as part of a “straddle,” hedge, integrated transaction or similar transaction;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U.S. holders (as defined below) whose functional currency is not the U.S. dollar;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partnerships or other pass-through entities for U.S. federal income tax purposes and any beneficial owners of such entities;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tax-exempt entities.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 </w:t>
      </w:r>
    </w:p>
    <w:p>
      <w:pPr>
        <w:pStyle w:val="TextBody"/>
        <w:bidi w:val="0"/>
        <w:spacing w:lineRule="auto" w:line="288" w:before="0" w:after="180"/>
        <w:jc w:val="left"/>
        <w:rPr/>
      </w:pPr>
      <w:r>
        <w:rPr>
          <w:rFonts w:ascii="Times New Roman;serif" w:hAnsi="Times New Roman;serif"/>
          <w:b w:val="false"/>
          <w:color w:val="000000"/>
          <w:sz w:val="20"/>
          <w:shd w:fill="FFFFFF" w:val="clear"/>
        </w:rPr>
        <w:t>We have not sought, and will not seek, a ruling from the U.S. Internal Revenue Service (the “</w:t>
      </w:r>
      <w:r>
        <w:rPr>
          <w:rFonts w:ascii="Times New Roman;serif" w:hAnsi="Times New Roman;serif"/>
          <w:b/>
          <w:i/>
          <w:color w:val="000000"/>
          <w:sz w:val="20"/>
          <w:shd w:fill="FFFFFF" w:val="clear"/>
        </w:rPr>
        <w:t>IRS</w:t>
      </w:r>
      <w:r>
        <w:rPr>
          <w:color w:val="000000"/>
          <w:shd w:fill="FFFFFF" w:val="clear"/>
        </w:rPr>
        <w:t>”</w:t>
      </w:r>
      <w:r>
        <w:rPr>
          <w:rFonts w:ascii="Times New Roman;serif" w:hAnsi="Times New Roman;serif"/>
          <w:b w:val="false"/>
          <w:color w:val="000000"/>
          <w:sz w:val="20"/>
          <w:shd w:fill="FFFFFF" w:val="clear"/>
        </w:rPr>
        <w:t xml:space="preserve">)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w:t>
      </w:r>
    </w:p>
    <w:p>
      <w:pPr>
        <w:pStyle w:val="TextBody"/>
        <w:bidi w:val="0"/>
        <w:spacing w:before="0" w:after="18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through entity. If you are a partner or member of a partnership or other pass-through entity holding our securities, we urge you to consult your own tax advisor.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 Holders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section applies to you if you are a “U.S. holder.” A U.S. holder is a beneficial owner of our shares of Common Stock who or that is, for U.S. federal income tax purposes: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 individual who is a citizen or resident of the United States;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 corporation (or other entity taxable as a corporation) organized in or under the laws of the United States, any state thereof or the District of Columbia;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 estate the income of which is includible in gross income for U.S. federal income tax purposes regardless of its source;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Taxation of Distributions on our Common Stock. </w:t>
      </w:r>
    </w:p>
    <w:p>
      <w:pPr>
        <w:pStyle w:val="TextBody"/>
        <w:bidi w:val="0"/>
        <w:spacing w:lineRule="auto" w:line="288" w:before="0" w:after="180"/>
        <w:jc w:val="left"/>
        <w:rPr/>
      </w:pPr>
      <w:r>
        <w:rPr>
          <w:rFonts w:ascii="Times New Roman;serif" w:hAnsi="Times New Roman;serif"/>
          <w:b w:val="false"/>
          <w:color w:val="000000"/>
          <w:sz w:val="20"/>
          <w:shd w:fill="FFFFFF" w:val="clear"/>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serif" w:hAnsi="Times New Roman;serif"/>
          <w:b w:val="false"/>
          <w:i/>
          <w:color w:val="000000"/>
          <w:sz w:val="20"/>
          <w:shd w:fill="FFFFFF" w:val="clear"/>
        </w:rPr>
        <w:t>U.S. Holders - Gain or Loss on Sale, Taxable Exchange or Other Taxable Disposition of common stock</w:t>
      </w:r>
      <w:r>
        <w:rPr>
          <w:color w:val="000000"/>
          <w:shd w:fill="FFFFFF" w:val="clear"/>
        </w:rPr>
        <w:t xml:space="preserve">” </w:t>
      </w:r>
      <w:r>
        <w:rPr>
          <w:rFonts w:ascii="Times New Roman;serif" w:hAnsi="Times New Roman;serif"/>
          <w:b w:val="false"/>
          <w:color w:val="000000"/>
          <w:sz w:val="20"/>
          <w:shd w:fill="FFFFFF" w:val="clear"/>
        </w:rPr>
        <w:t xml:space="preserve">below. 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Gain or Loss on Sale, Taxable Exchange or Other Taxable Disposition of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 sale or other taxable disposition of our Common Stock, 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w:t>
      </w:r>
    </w:p>
    <w:p>
      <w:pPr>
        <w:pStyle w:val="TextBody"/>
        <w:bidi w:val="0"/>
        <w:spacing w:before="0" w:after="18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corporate U.S. holders will be eligible to be taxed at reduced rates. The deductibility of capital losses is subject to limitations.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general, information reporting requirements may apply to dividends paid to a U.S. holder and 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amounts withheld under the backup withholding rules generally should be allowed as a refund or a credit against a U.S. holder’s U.S. federal income tax liability provided the required information is timely furnished to the IRS.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Non-U.S. Holders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section applies to you if you are a “Non-U.S. holder.” As used herein, the term “Non-U.S. holder” means a beneficial owner of our Common Stock who or that is for U.S. federal income tax purposes: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 non-resident alien individual (other than certain former citizens and residents of the U.S. subject to U.S. tax as expatriates);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 foreign corporation;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an estate or trust that is not a U.S. holder;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Taxation of Distributions on our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below. 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w:t>
      </w:r>
    </w:p>
    <w:p>
      <w:pPr>
        <w:pStyle w:val="TextBody"/>
        <w:bidi w:val="0"/>
        <w:spacing w:before="0" w:after="18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effectively connected dividends may also be subject to an additional “branch profits tax” imposed at a rate of 30% (or a lower treaty rate).</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Gain on Sale, Taxable Exchange or Other Taxable Disposition of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Non-U.S. holder generally will not be subject to U.S. federal income or withholding tax in respect of gain recognized on a sale, taxable exchange or other taxable disposition of our Common Stock,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gain is effectively connected with the conduct of a trade or business by the Non-U.S. holder within the United States (and, under certain income tax treaties, is attributable to a United States permanent establishment or fixed base maintained by the Non-U.S. holder);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 If the second bullet point above applies to a Non-U.S. holder, gain recognized by such holder on the sale, exchange or other disposition of our Common Stock will be subject to tax at generally applicable U.S. federal income tax rates.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Information returns will be filed with the IRS in connection with payments of dividends and the 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FATCA Withholding Taxes.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PLAN OF DISTRIBUTION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through the facilities of The Nasdaq Capital Market or any other securities exchange or quotation or trading service on which such securities may be listed, quoted or traded at the time of sale;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otherwise than on The Nasdaq Capital Market or such other securities exchanges or quotation or trading service.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may issue the securities as a dividend or distribution or in a subscription rights offering to our existing security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securities and any applicable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with respect to the securities of a particular series will describe the terms of the offering of the securities,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of the agent or any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 offering or purchase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the agent or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exchanges on which the securities will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pStyle w:val="TextBody"/>
        <w:bidi w:val="0"/>
        <w:spacing w:before="0" w:after="18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by an institution of the securities covered under that contract shall not at the time of delivery be prohibited under the laws of the jurisdiction to which that institution is subject;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w:t>
      </w:r>
    </w:p>
    <w:p>
      <w:pPr>
        <w:pStyle w:val="TextBody"/>
        <w:bidi w:val="0"/>
        <w:spacing w:before="0" w:after="18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underwriters, dealers and agents may engage in transactions with us, or perform services for us, in the ordinary course of business for which they receive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anticipated date of delivery of offered securities will be set forth in the applicable prospectus supplement relating to each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LEGAL MATTERS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indicated in the applicable prospectus supplement, the validity of any common stock offered under this prospectus and any supplement hereto will be passed upon for us by DLA Piper LLP (US). Any underwriters will also be advised about the validity of the securities and other legal matters by their own counsel, which will be named in the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EXPERTS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QT Imaging Holdings, Inc. as of December 31, 2025 and 2024, and for each of the two years in the period ended December 31, 2025, incorporated in this prospectus by reference to the Annual Report on Form 10-K for the year ended December 31, 2025, have been so incorporated in reliance on the report of BPM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this registration statement on Form S-3, including exhibits, with respect to the shares of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lineRule="auto" w:line="288" w:before="0" w:after="180"/>
        <w:jc w:val="left"/>
        <w:rPr/>
      </w:pPr>
      <w:r>
        <w:rPr>
          <w:rFonts w:ascii="Times New Roman;serif" w:hAnsi="Times New Roman;serif"/>
          <w:b w:val="false"/>
          <w:color w:val="000000"/>
          <w:sz w:val="20"/>
        </w:rPr>
        <w:t>We are required to file annual, quarterly and current reports, proxy statements and other information with the SEC as required by the Exchange Act. You can read our SEC filings, including this prospectus, over the Internet at the SEC’s website at</w:t>
      </w:r>
      <w:r>
        <w:rPr>
          <w:color w:val="000000"/>
        </w:rPr>
        <w:t> </w:t>
      </w:r>
      <w:r>
        <w:rPr>
          <w:rFonts w:ascii="Times New Roman;serif" w:hAnsi="Times New Roman;serif"/>
          <w:b w:val="false"/>
          <w:i/>
          <w:color w:val="000000"/>
          <w:sz w:val="20"/>
        </w:rPr>
        <w:t>http://www.sec.gov</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website address is https://www.qtimaging.com.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INFORMATION INCORPORATED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rules of the SEC allow us to incorporate information into this prospectus by reference.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and all documents that we subsequently file with the SEC under Sections 13(a), 13(c), 14 or 15(d) of the Exchange Act prior to the termination of the offering of securities by means of this prospectus, from their respective filing dates (other than any portions thereof, which under the Exchange Act, and applicable SEC rules, are not deemed “filed” under the Exchange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11">
        <w:r>
          <w:rPr>
            <w:rStyle w:val="InternetLink"/>
          </w:rPr>
          <w:t>Form 10-K</w:t>
        </w:r>
      </w:hyperlink>
      <w:hyperlink r:id="rId12">
        <w:r>
          <w:rPr>
            <w:rStyle w:val="InternetLink"/>
          </w:rPr>
          <w:t xml:space="preserve"> for the year ended December 31, 2025</w:t>
        </w:r>
      </w:hyperlink>
      <w:r>
        <w:rPr>
          <w:rFonts w:ascii="Times New Roman;serif" w:hAnsi="Times New Roman;serif"/>
          <w:b w:val="false"/>
          <w:color w:val="000000"/>
          <w:sz w:val="20"/>
        </w:rPr>
        <w:t>, filed with the SEC on March 25, 2026;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 on </w:t>
      </w:r>
      <w:hyperlink r:id="rId13">
        <w:r>
          <w:rPr>
            <w:rStyle w:val="InternetLink"/>
            <w:rFonts w:ascii="Times New Roman;serif" w:hAnsi="Times New Roman;serif"/>
            <w:b w:val="false"/>
            <w:color w:val="0000FF"/>
            <w:sz w:val="20"/>
            <w:u w:val="single"/>
          </w:rPr>
          <w:t>Form 8-K</w:t>
        </w:r>
      </w:hyperlink>
      <w:r>
        <w:rPr>
          <w:rFonts w:ascii="Times New Roman;serif" w:hAnsi="Times New Roman;serif"/>
          <w:b w:val="false"/>
          <w:color w:val="000000"/>
          <w:sz w:val="20"/>
        </w:rPr>
        <w:t xml:space="preserve">, filed with the SEC at 08:13:59 a.m. EDT on March 25,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incorporated by reference into this prospectus is an important part of this prospectus. Neither we nor any underwriters have authorized anyone to provide you with information other than that contained in or incorporated by reference into this prospectus. You should not assume that the information in this prospectus is accurate as of any date other than the date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not rely on or assume the accuracy of any representation or warranty in any agreement that we have filed as an exhibit to any document that we have publicly filed or that we may otherwise publicly file in the future because such representation or warranty may be subject to exceptions and qualifications contained in separate disclosure schedules, may have been included in such agreement for the purpose of allocating risk between the parties to the particular transaction, and may no longer continue to be true as of any given date.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40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jc w:val="center"/>
        <w:rPr>
          <w:rFonts w:ascii="Times New Roman;serif" w:hAnsi="Times New Roman;serif"/>
          <w:b/>
          <w:color w:val="000000"/>
          <w:sz w:val="36"/>
        </w:rPr>
      </w:pPr>
      <w:r>
        <w:rPr>
          <w:rFonts w:ascii="Times New Roman;serif" w:hAnsi="Times New Roman;serif"/>
          <w:b/>
          <w:color w:val="000000"/>
          <w:sz w:val="36"/>
        </w:rPr>
        <w:t xml:space="preserve">QT IMAGING HOLDINGS, INC. </w:t>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$9,999,920 </w:t>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1,200,000 Shares of Common Stock</w:t>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Pre-Funded Warrants to Purchase up to 800,000 Shares of Common Stock</w:t>
      </w:r>
    </w:p>
    <w:p>
      <w:pPr>
        <w:pStyle w:val="TextBody"/>
        <w:bidi w:val="0"/>
        <w:spacing w:lineRule="auto" w:line="288" w:before="0" w:after="440"/>
        <w:jc w:val="center"/>
        <w:rPr>
          <w:rFonts w:ascii="Times New Roman;serif" w:hAnsi="Times New Roman;serif"/>
          <w:b/>
          <w:color w:val="000000"/>
          <w:sz w:val="28"/>
        </w:rPr>
      </w:pPr>
      <w:r>
        <w:rPr>
          <w:rFonts w:ascii="Times New Roman;serif" w:hAnsi="Times New Roman;serif"/>
          <w:b/>
          <w:color w:val="000000"/>
          <w:sz w:val="28"/>
        </w:rPr>
        <w:t>800,000 Shares of Common Stock Underlying the Pre-Funded Warrants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99" w:type="dxa"/>
        <w:jc w:val="left"/>
        <w:tblInd w:w="0" w:type="dxa"/>
        <w:tblLayout w:type="fixed"/>
        <w:tblCellMar>
          <w:top w:w="28" w:type="dxa"/>
          <w:left w:w="28" w:type="dxa"/>
          <w:bottom w:w="28" w:type="dxa"/>
          <w:right w:w="28" w:type="dxa"/>
        </w:tblCellMar>
      </w:tblPr>
      <w:tblGrid>
        <w:gridCol w:w="1249"/>
        <w:gridCol w:w="1098"/>
        <w:gridCol w:w="1552"/>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Sole Book-Running Manager</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Ladenburg Thalmann</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Co-Manager</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2"/>
              </w:rPr>
            </w:pPr>
            <w:r>
              <w:rPr>
                <w:rFonts w:ascii="Times New Roman;serif" w:hAnsi="Times New Roman;serif"/>
                <w:b/>
                <w:color w:val="000000"/>
                <w:sz w:val="32"/>
              </w:rPr>
              <w:t>Northland Capital Markets</w:t>
            </w:r>
          </w:p>
        </w:tc>
      </w:tr>
    </w:tbl>
    <w:p>
      <w:pPr>
        <w:pStyle w:val="TextBody"/>
        <w:bidi w:val="0"/>
        <w:spacing w:lineRule="auto" w:line="288" w:before="0" w:after="440"/>
        <w:jc w:val="center"/>
        <w:rPr>
          <w:rFonts w:ascii="Times New Roman;serif" w:hAnsi="Times New Roman;serif"/>
          <w:b/>
          <w:color w:val="000000"/>
          <w:sz w:val="20"/>
        </w:rPr>
      </w:pPr>
      <w:r>
        <w:rPr>
          <w:rFonts w:ascii="Times New Roman;serif" w:hAnsi="Times New Roman;serif"/>
          <w:b/>
          <w:color w:val="000000"/>
          <w:sz w:val="20"/>
        </w:rPr>
        <w:t xml:space="preserve">May 15,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4505/000162828026020909/qti-20251231.htm" TargetMode="External"/><Relationship Id="rId4" Type="http://schemas.openxmlformats.org/officeDocument/2006/relationships/hyperlink" Target="https://www.sec.gov/Archives/edgar/data/1844505/000162828026034381/qti-20260331.htm" TargetMode="External"/><Relationship Id="rId5" Type="http://schemas.openxmlformats.org/officeDocument/2006/relationships/hyperlink" Target="https://www.sec.gov/Archives/edgar/data/1844505/000162828026002651/qti-20260119.htm" TargetMode="External"/><Relationship Id="rId6" Type="http://schemas.openxmlformats.org/officeDocument/2006/relationships/hyperlink" Target="https://www.sec.gov/Archives/edgar/data/1844505/000162828026003206/qti-20260122.htm" TargetMode="External"/><Relationship Id="rId7" Type="http://schemas.openxmlformats.org/officeDocument/2006/relationships/hyperlink" Target="https://www.sec.gov/Archives/edgar/data/1844505/000162828026003640/qti-20260127.htm" TargetMode="External"/><Relationship Id="rId8" Type="http://schemas.openxmlformats.org/officeDocument/2006/relationships/hyperlink" Target="https://www.sec.gov/Archives/edgar/data/1844505/000162828026006094/qti-20260206.htm" TargetMode="External"/><Relationship Id="rId9" Type="http://schemas.openxmlformats.org/officeDocument/2006/relationships/hyperlink" Target="https://www.sec.gov/Archives/edgar/data/1844505/000162828026020919/qti-20260320.htm" TargetMode="External"/><Relationship Id="rId10" Type="http://schemas.openxmlformats.org/officeDocument/2006/relationships/image" Target="media/image2.jpeg"/><Relationship Id="rId11" Type="http://schemas.openxmlformats.org/officeDocument/2006/relationships/hyperlink" Target="https://www.sec.gov/ix?doc=/Archives/edgar/data/1844505/000162828026020909/qti-20251231.htm" TargetMode="External"/><Relationship Id="rId12" Type="http://schemas.openxmlformats.org/officeDocument/2006/relationships/hyperlink" Target="https://www.sec.gov/ix?doc=/Archives/edgar/data/1844505/000162828026020909/qti-20251231.htm" TargetMode="External"/><Relationship Id="rId13" Type="http://schemas.openxmlformats.org/officeDocument/2006/relationships/hyperlink" Target="https://www.sec.gov/Archives/edgar/data/1844505/000162828026020919/qti-20260320.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36641</Words>
  <Characters>195770</Characters>
  <CharactersWithSpaces>231576</CharactersWithSpaces>
  <Paragraphs>1100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