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797560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814705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48"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7"/>
          <w:szCs w:val="7"/>
          <w:b w:val="1"/>
          <w:bCs w:val="1"/>
          <w:color w:val="auto"/>
        </w:rPr>
        <w:t>_________________________________________</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8-K</w:t>
      </w:r>
    </w:p>
    <w:p>
      <w:pPr>
        <w:spacing w:after="0" w:line="66"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7"/>
          <w:szCs w:val="7"/>
          <w:b w:val="1"/>
          <w:bCs w:val="1"/>
          <w:color w:val="auto"/>
        </w:rPr>
        <w:t>_________________________________________</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 xml:space="preserve">Date of Report (Date of earliest event reported) </w:t>
      </w:r>
      <w:r>
        <w:rPr>
          <w:rFonts w:ascii="Times New Roman" w:cs="Times New Roman" w:eastAsia="Times New Roman" w:hAnsi="Times New Roman"/>
          <w:sz w:val="12"/>
          <w:szCs w:val="12"/>
          <w:b w:val="1"/>
          <w:bCs w:val="1"/>
          <w:u w:val="single" w:color="auto"/>
          <w:color w:val="auto"/>
        </w:rPr>
        <w:t>May 15, 2026</w:t>
      </w:r>
    </w:p>
    <w:p>
      <w:pPr>
        <w:spacing w:after="0" w:line="48"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7"/>
          <w:szCs w:val="7"/>
          <w:b w:val="1"/>
          <w:bCs w:val="1"/>
          <w:color w:val="auto"/>
        </w:rPr>
        <w:t>________________________________________________________</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QT IMAGING HOLDINGS, INC.</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(Exact name of Registrant as Specified in Charter)</w:t>
      </w:r>
    </w:p>
    <w:p>
      <w:pPr>
        <w:spacing w:after="0" w:line="20"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7"/>
          <w:szCs w:val="7"/>
          <w:b w:val="1"/>
          <w:bCs w:val="1"/>
          <w:color w:val="auto"/>
        </w:rPr>
        <w:t>________________________________________________________</w:t>
      </w:r>
    </w:p>
    <w:p>
      <w:pPr>
        <w:spacing w:after="0" w:line="143" w:lineRule="exact"/>
        <w:rPr>
          <w:sz w:val="24"/>
          <w:szCs w:val="24"/>
          <w:color w:val="auto"/>
        </w:rPr>
      </w:pPr>
    </w:p>
    <w:tbl>
      <w:tblPr>
        <w:tblLayout w:type="fixed"/>
        <w:tblInd w:w="1220" w:type="dxa"/>
        <w:tblCellMar>
          <w:top w:w="0" w:type="dxa"/>
          <w:left w:w="0" w:type="dxa"/>
          <w:bottom w:w="0" w:type="dxa"/>
          <w:right w:w="0" w:type="dxa"/>
        </w:tblCellMar>
      </w:tblPr>
      <w:tr>
        <w:trPr>
          <w:trHeight w:val="138"/>
        </w:trPr>
        <w:tc>
          <w:tcPr>
            <w:tcW w:w="42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1360" w:type="dxa"/>
            <w:vAlign w:val="bottom"/>
          </w:tcPr>
          <w:p>
            <w:pPr>
              <w:spacing w:after="0"/>
              <w:rPr>
                <w:sz w:val="12"/>
                <w:szCs w:val="12"/>
                <w:color w:val="auto"/>
              </w:rPr>
            </w:pPr>
          </w:p>
        </w:tc>
        <w:tc>
          <w:tcPr>
            <w:tcW w:w="2540" w:type="dxa"/>
            <w:vAlign w:val="bottom"/>
            <w:gridSpan w:val="6"/>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001-40839</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80" w:type="dxa"/>
            <w:vAlign w:val="bottom"/>
            <w:gridSpan w:val="3"/>
          </w:tcPr>
          <w:p>
            <w:pPr>
              <w:jc w:val="center"/>
              <w:ind w:left="988"/>
              <w:spacing w:after="0"/>
              <w:rPr>
                <w:sz w:val="20"/>
                <w:szCs w:val="20"/>
                <w:color w:val="auto"/>
              </w:rPr>
            </w:pPr>
            <w:r>
              <w:rPr>
                <w:rFonts w:ascii="Times New Roman" w:cs="Times New Roman" w:eastAsia="Times New Roman" w:hAnsi="Times New Roman"/>
                <w:sz w:val="12"/>
                <w:szCs w:val="12"/>
                <w:b w:val="1"/>
                <w:bCs w:val="1"/>
                <w:color w:val="auto"/>
                <w:w w:val="99"/>
              </w:rPr>
              <w:t>86-1728920</w:t>
            </w:r>
          </w:p>
        </w:tc>
      </w:tr>
      <w:tr>
        <w:trPr>
          <w:trHeight w:val="20"/>
        </w:trPr>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61"/>
        </w:trPr>
        <w:tc>
          <w:tcPr>
            <w:tcW w:w="2260" w:type="dxa"/>
            <w:vAlign w:val="bottom"/>
            <w:gridSpan w:val="3"/>
          </w:tcPr>
          <w:p>
            <w:pPr>
              <w:jc w:val="center"/>
              <w:ind w:right="940"/>
              <w:spacing w:after="0"/>
              <w:rPr>
                <w:sz w:val="20"/>
                <w:szCs w:val="20"/>
                <w:color w:val="auto"/>
              </w:rPr>
            </w:pPr>
            <w:r>
              <w:rPr>
                <w:rFonts w:ascii="Times New Roman" w:cs="Times New Roman" w:eastAsia="Times New Roman" w:hAnsi="Times New Roman"/>
                <w:sz w:val="10"/>
                <w:szCs w:val="10"/>
                <w:b w:val="1"/>
                <w:bCs w:val="1"/>
                <w:color w:val="auto"/>
                <w:w w:val="95"/>
              </w:rPr>
              <w:t>(State or Other Jurisdiction of</w:t>
            </w:r>
          </w:p>
        </w:tc>
        <w:tc>
          <w:tcPr>
            <w:tcW w:w="1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gridSpan w:val="6"/>
          </w:tcPr>
          <w:p>
            <w:pPr>
              <w:jc w:val="center"/>
              <w:ind w:right="1880"/>
              <w:spacing w:after="0"/>
              <w:rPr>
                <w:sz w:val="20"/>
                <w:szCs w:val="20"/>
                <w:color w:val="auto"/>
              </w:rPr>
            </w:pPr>
            <w:r>
              <w:rPr>
                <w:rFonts w:ascii="Times New Roman" w:cs="Times New Roman" w:eastAsia="Times New Roman" w:hAnsi="Times New Roman"/>
                <w:sz w:val="10"/>
                <w:szCs w:val="10"/>
                <w:b w:val="1"/>
                <w:bCs w:val="1"/>
                <w:color w:val="auto"/>
                <w:w w:val="92"/>
              </w:rPr>
              <w:t>(Commission</w:t>
            </w:r>
          </w:p>
        </w:tc>
        <w:tc>
          <w:tcPr>
            <w:tcW w:w="1980" w:type="dxa"/>
            <w:vAlign w:val="bottom"/>
            <w:gridSpan w:val="3"/>
          </w:tcPr>
          <w:p>
            <w:pPr>
              <w:jc w:val="center"/>
              <w:ind w:left="988"/>
              <w:spacing w:after="0"/>
              <w:rPr>
                <w:sz w:val="20"/>
                <w:szCs w:val="20"/>
                <w:color w:val="auto"/>
              </w:rPr>
            </w:pPr>
            <w:r>
              <w:rPr>
                <w:rFonts w:ascii="Times New Roman" w:cs="Times New Roman" w:eastAsia="Times New Roman" w:hAnsi="Times New Roman"/>
                <w:sz w:val="10"/>
                <w:szCs w:val="10"/>
                <w:b w:val="1"/>
                <w:bCs w:val="1"/>
                <w:color w:val="auto"/>
                <w:w w:val="95"/>
              </w:rPr>
              <w:t>(IRS Employer</w:t>
            </w:r>
          </w:p>
        </w:tc>
      </w:tr>
      <w:tr>
        <w:trPr>
          <w:trHeight w:val="153"/>
        </w:trPr>
        <w:tc>
          <w:tcPr>
            <w:tcW w:w="2260" w:type="dxa"/>
            <w:vAlign w:val="bottom"/>
            <w:gridSpan w:val="3"/>
          </w:tcPr>
          <w:p>
            <w:pPr>
              <w:jc w:val="center"/>
              <w:ind w:right="960"/>
              <w:spacing w:after="0"/>
              <w:rPr>
                <w:sz w:val="20"/>
                <w:szCs w:val="20"/>
                <w:color w:val="auto"/>
              </w:rPr>
            </w:pPr>
            <w:r>
              <w:rPr>
                <w:rFonts w:ascii="Times New Roman" w:cs="Times New Roman" w:eastAsia="Times New Roman" w:hAnsi="Times New Roman"/>
                <w:sz w:val="10"/>
                <w:szCs w:val="10"/>
                <w:b w:val="1"/>
                <w:bCs w:val="1"/>
                <w:color w:val="auto"/>
                <w:w w:val="96"/>
              </w:rPr>
              <w:t>Incorporation or Organization)</w:t>
            </w:r>
          </w:p>
        </w:tc>
        <w:tc>
          <w:tcPr>
            <w:tcW w:w="1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40" w:type="dxa"/>
            <w:vAlign w:val="bottom"/>
            <w:gridSpan w:val="6"/>
          </w:tcPr>
          <w:p>
            <w:pPr>
              <w:jc w:val="center"/>
              <w:ind w:right="1880"/>
              <w:spacing w:after="0"/>
              <w:rPr>
                <w:sz w:val="20"/>
                <w:szCs w:val="20"/>
                <w:color w:val="auto"/>
              </w:rPr>
            </w:pPr>
            <w:r>
              <w:rPr>
                <w:rFonts w:ascii="Times New Roman" w:cs="Times New Roman" w:eastAsia="Times New Roman" w:hAnsi="Times New Roman"/>
                <w:sz w:val="10"/>
                <w:szCs w:val="10"/>
                <w:b w:val="1"/>
                <w:bCs w:val="1"/>
                <w:color w:val="auto"/>
                <w:w w:val="97"/>
              </w:rPr>
              <w:t>File Number)</w:t>
            </w:r>
          </w:p>
        </w:tc>
        <w:tc>
          <w:tcPr>
            <w:tcW w:w="1980" w:type="dxa"/>
            <w:vAlign w:val="bottom"/>
            <w:gridSpan w:val="3"/>
          </w:tcPr>
          <w:p>
            <w:pPr>
              <w:jc w:val="center"/>
              <w:ind w:left="988"/>
              <w:spacing w:after="0"/>
              <w:rPr>
                <w:sz w:val="20"/>
                <w:szCs w:val="20"/>
                <w:color w:val="auto"/>
              </w:rPr>
            </w:pPr>
            <w:r>
              <w:rPr>
                <w:rFonts w:ascii="Times New Roman" w:cs="Times New Roman" w:eastAsia="Times New Roman" w:hAnsi="Times New Roman"/>
                <w:sz w:val="10"/>
                <w:szCs w:val="10"/>
                <w:b w:val="1"/>
                <w:bCs w:val="1"/>
                <w:color w:val="auto"/>
                <w:w w:val="94"/>
              </w:rPr>
              <w:t>Identification Number)</w:t>
            </w:r>
          </w:p>
        </w:tc>
      </w:tr>
      <w:tr>
        <w:trPr>
          <w:trHeight w:val="314"/>
        </w:trPr>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40" w:type="dxa"/>
            <w:vAlign w:val="bottom"/>
            <w:gridSpan w:val="8"/>
          </w:tcPr>
          <w:p>
            <w:pPr>
              <w:jc w:val="center"/>
              <w:ind w:right="1480"/>
              <w:spacing w:after="0"/>
              <w:rPr>
                <w:sz w:val="20"/>
                <w:szCs w:val="20"/>
                <w:color w:val="auto"/>
              </w:rPr>
            </w:pPr>
            <w:r>
              <w:rPr>
                <w:rFonts w:ascii="Times New Roman" w:cs="Times New Roman" w:eastAsia="Times New Roman" w:hAnsi="Times New Roman"/>
                <w:sz w:val="12"/>
                <w:szCs w:val="12"/>
                <w:b w:val="1"/>
                <w:bCs w:val="1"/>
                <w:color w:val="auto"/>
                <w:w w:val="99"/>
              </w:rPr>
              <w:t>3 Hamilton Landing, Suite 160</w:t>
            </w: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60"/>
        </w:trPr>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6"/>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8"/>
              </w:rPr>
              <w:t>Novato, CA 94949</w:t>
            </w:r>
          </w:p>
        </w:tc>
        <w:tc>
          <w:tcPr>
            <w:tcW w:w="14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
        </w:trPr>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2"/>
        </w:trPr>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420" w:type="dxa"/>
            <w:vAlign w:val="bottom"/>
            <w:gridSpan w:val="9"/>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(Address of principal executive offices, including Zip Code)</w:t>
            </w:r>
          </w:p>
        </w:tc>
        <w:tc>
          <w:tcPr>
            <w:tcW w:w="1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61"/>
        </w:trPr>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780" w:type="dxa"/>
            <w:vAlign w:val="bottom"/>
            <w:gridSpan w:val="3"/>
          </w:tcPr>
          <w:p>
            <w:pPr>
              <w:spacing w:after="0"/>
              <w:rPr>
                <w:sz w:val="14"/>
                <w:szCs w:val="14"/>
                <w:color w:val="auto"/>
              </w:rPr>
            </w:pP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8"/>
              </w:rPr>
              <w:t>(650) 276-7040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2"/>
        </w:trPr>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420" w:type="dxa"/>
            <w:vAlign w:val="bottom"/>
            <w:gridSpan w:val="9"/>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5"/>
              </w:rPr>
              <w:t>(Registrant's telephone number, including area code)</w:t>
            </w:r>
          </w:p>
        </w:tc>
        <w:tc>
          <w:tcPr>
            <w:tcW w:w="1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46"/>
        </w:trPr>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420" w:type="dxa"/>
            <w:vAlign w:val="bottom"/>
            <w:gridSpan w:val="9"/>
          </w:tcPr>
          <w:p>
            <w:pPr>
              <w:jc w:val="right"/>
              <w:ind w:right="1240"/>
              <w:spacing w:after="0"/>
              <w:rPr>
                <w:sz w:val="20"/>
                <w:szCs w:val="20"/>
                <w:color w:val="auto"/>
              </w:rPr>
            </w:pPr>
            <w:r>
              <w:rPr>
                <w:rFonts w:ascii="Times New Roman" w:cs="Times New Roman" w:eastAsia="Times New Roman" w:hAnsi="Times New Roman"/>
                <w:sz w:val="7"/>
                <w:szCs w:val="7"/>
                <w:b w:val="1"/>
                <w:bCs w:val="1"/>
                <w:color w:val="auto"/>
              </w:rPr>
              <w:t>________________________________________________________</w:t>
            </w:r>
          </w:p>
        </w:tc>
        <w:tc>
          <w:tcPr>
            <w:tcW w:w="1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r>
    </w:tbl>
    <w:p>
      <w:pPr>
        <w:spacing w:after="0" w:line="6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2"/>
          <w:szCs w:val="12"/>
          <w:i w:val="1"/>
          <w:iCs w:val="1"/>
          <w:color w:val="auto"/>
        </w:rPr>
        <w:t>see</w:t>
      </w:r>
      <w:r>
        <w:rPr>
          <w:rFonts w:ascii="Times New Roman" w:cs="Times New Roman" w:eastAsia="Times New Roman" w:hAnsi="Times New Roman"/>
          <w:sz w:val="12"/>
          <w:szCs w:val="12"/>
          <w:color w:val="auto"/>
        </w:rPr>
        <w:t xml:space="preserve"> General Instruction A.2. below):</w:t>
      </w:r>
    </w:p>
    <w:p>
      <w:pPr>
        <w:spacing w:after="0" w:line="80" w:lineRule="exact"/>
        <w:rPr>
          <w:sz w:val="24"/>
          <w:szCs w:val="24"/>
          <w:color w:val="auto"/>
        </w:rPr>
      </w:pPr>
    </w:p>
    <w:p>
      <w:pPr>
        <w:ind w:left="640" w:hanging="382"/>
        <w:spacing w:after="0"/>
        <w:tabs>
          <w:tab w:leader="none" w:pos="640"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42" w:lineRule="exact"/>
        <w:rPr>
          <w:rFonts w:ascii="Wingdings" w:cs="Wingdings" w:eastAsia="Wingdings" w:hAnsi="Wingdings"/>
          <w:sz w:val="12"/>
          <w:szCs w:val="12"/>
          <w:b w:val="1"/>
          <w:bCs w:val="1"/>
          <w:color w:val="auto"/>
        </w:rPr>
      </w:pPr>
    </w:p>
    <w:p>
      <w:pPr>
        <w:ind w:left="640" w:hanging="382"/>
        <w:spacing w:after="0"/>
        <w:tabs>
          <w:tab w:leader="none" w:pos="640"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42" w:lineRule="exact"/>
        <w:rPr>
          <w:rFonts w:ascii="Wingdings" w:cs="Wingdings" w:eastAsia="Wingdings" w:hAnsi="Wingdings"/>
          <w:sz w:val="12"/>
          <w:szCs w:val="12"/>
          <w:b w:val="1"/>
          <w:bCs w:val="1"/>
          <w:color w:val="auto"/>
        </w:rPr>
      </w:pPr>
    </w:p>
    <w:p>
      <w:pPr>
        <w:ind w:left="640" w:hanging="382"/>
        <w:spacing w:after="0"/>
        <w:tabs>
          <w:tab w:leader="none" w:pos="640"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42" w:lineRule="exact"/>
        <w:rPr>
          <w:rFonts w:ascii="Wingdings" w:cs="Wingdings" w:eastAsia="Wingdings" w:hAnsi="Wingdings"/>
          <w:sz w:val="12"/>
          <w:szCs w:val="12"/>
          <w:b w:val="1"/>
          <w:bCs w:val="1"/>
          <w:color w:val="auto"/>
        </w:rPr>
      </w:pPr>
    </w:p>
    <w:p>
      <w:pPr>
        <w:ind w:left="640" w:hanging="382"/>
        <w:spacing w:after="0"/>
        <w:tabs>
          <w:tab w:leader="none" w:pos="640"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7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17"/>
        </w:trPr>
        <w:tc>
          <w:tcPr>
            <w:tcW w:w="4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33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Name of each exchange</w:t>
            </w:r>
          </w:p>
        </w:tc>
      </w:tr>
      <w:tr>
        <w:trPr>
          <w:trHeight w:val="125"/>
        </w:trPr>
        <w:tc>
          <w:tcPr>
            <w:tcW w:w="446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5"/>
              </w:rPr>
              <w:t>Title of each class</w:t>
            </w:r>
          </w:p>
        </w:tc>
        <w:tc>
          <w:tcPr>
            <w:tcW w:w="34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3"/>
              </w:rPr>
              <w:t>Symbols</w:t>
            </w:r>
          </w:p>
        </w:tc>
        <w:tc>
          <w:tcPr>
            <w:tcW w:w="33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on which registered</w:t>
            </w:r>
          </w:p>
        </w:tc>
      </w:tr>
      <w:tr>
        <w:trPr>
          <w:trHeight w:val="26"/>
        </w:trPr>
        <w:tc>
          <w:tcPr>
            <w:tcW w:w="4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145"/>
        </w:trPr>
        <w:tc>
          <w:tcPr>
            <w:tcW w:w="44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8"/>
              </w:rPr>
              <w:t>Common stock, par value</w:t>
            </w:r>
          </w:p>
        </w:tc>
        <w:tc>
          <w:tcPr>
            <w:tcW w:w="34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QTI</w:t>
            </w:r>
          </w:p>
        </w:tc>
        <w:tc>
          <w:tcPr>
            <w:tcW w:w="33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The Nasdaq Stock Market LLC</w:t>
            </w:r>
          </w:p>
        </w:tc>
      </w:tr>
      <w:tr>
        <w:trPr>
          <w:trHeight w:val="159"/>
        </w:trPr>
        <w:tc>
          <w:tcPr>
            <w:tcW w:w="44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$0.0001 per share</w:t>
            </w:r>
          </w:p>
        </w:tc>
        <w:tc>
          <w:tcPr>
            <w:tcW w:w="3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80" w:type="dxa"/>
            <w:vAlign w:val="bottom"/>
          </w:tcPr>
          <w:p>
            <w:pPr>
              <w:spacing w:after="0"/>
              <w:rPr>
                <w:sz w:val="13"/>
                <w:szCs w:val="13"/>
                <w:color w:val="auto"/>
              </w:rPr>
            </w:pPr>
          </w:p>
        </w:tc>
      </w:tr>
    </w:tbl>
    <w:p>
      <w:pPr>
        <w:spacing w:after="0" w:line="142" w:lineRule="exact"/>
        <w:rPr>
          <w:sz w:val="24"/>
          <w:szCs w:val="24"/>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 xml:space="preserve">Emerging growth company </w:t>
      </w:r>
      <w:r>
        <w:rPr>
          <w:rFonts w:ascii="Wingdings" w:cs="Wingdings" w:eastAsia="Wingdings" w:hAnsi="Wingdings"/>
          <w:sz w:val="12"/>
          <w:szCs w:val="12"/>
          <w:b w:val="1"/>
          <w:bCs w:val="1"/>
          <w:color w:val="auto"/>
        </w:rPr>
        <w:t>x</w:t>
      </w:r>
    </w:p>
    <w:p>
      <w:pPr>
        <w:spacing w:after="0" w:line="114" w:lineRule="exact"/>
        <w:rPr>
          <w:sz w:val="24"/>
          <w:szCs w:val="24"/>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2"/>
          <w:szCs w:val="12"/>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140335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157480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372" w:right="299" w:bottom="1440" w:gutter="0" w:footer="0" w:header="0"/>
        </w:sectPr>
      </w:pPr>
    </w:p>
    <w:bookmarkStart w:id="1" w:name="page2"/>
    <w:bookmarkEnd w:id="1"/>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1.01</w:t>
      </w:r>
      <w:r>
        <w:rPr>
          <w:sz w:val="20"/>
          <w:szCs w:val="20"/>
          <w:color w:val="auto"/>
        </w:rPr>
        <w:tab/>
      </w:r>
      <w:r>
        <w:rPr>
          <w:rFonts w:ascii="Times New Roman" w:cs="Times New Roman" w:eastAsia="Times New Roman" w:hAnsi="Times New Roman"/>
          <w:sz w:val="11"/>
          <w:szCs w:val="11"/>
          <w:b w:val="1"/>
          <w:bCs w:val="1"/>
          <w:color w:val="auto"/>
        </w:rPr>
        <w:t>Entry into a Material Definitive Agreement</w:t>
      </w:r>
    </w:p>
    <w:p>
      <w:pPr>
        <w:spacing w:after="0" w:line="11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2"/>
          <w:szCs w:val="12"/>
          <w:color w:val="auto"/>
        </w:rPr>
        <w:t>On May 15, 2026, QT Imaging Holdings, Inc. (the “</w:t>
      </w:r>
      <w:r>
        <w:rPr>
          <w:rFonts w:ascii="Times New Roman" w:cs="Times New Roman" w:eastAsia="Times New Roman" w:hAnsi="Times New Roman"/>
          <w:sz w:val="12"/>
          <w:szCs w:val="12"/>
          <w:b w:val="1"/>
          <w:bCs w:val="1"/>
          <w:i w:val="1"/>
          <w:iCs w:val="1"/>
          <w:color w:val="auto"/>
        </w:rPr>
        <w:t>Company</w:t>
      </w:r>
      <w:r>
        <w:rPr>
          <w:rFonts w:ascii="Times New Roman" w:cs="Times New Roman" w:eastAsia="Times New Roman" w:hAnsi="Times New Roman"/>
          <w:sz w:val="12"/>
          <w:szCs w:val="12"/>
          <w:color w:val="auto"/>
        </w:rPr>
        <w:t>”), entered into an underwriting agreement (the “</w:t>
      </w:r>
      <w:r>
        <w:rPr>
          <w:rFonts w:ascii="Times New Roman" w:cs="Times New Roman" w:eastAsia="Times New Roman" w:hAnsi="Times New Roman"/>
          <w:sz w:val="12"/>
          <w:szCs w:val="12"/>
          <w:b w:val="1"/>
          <w:bCs w:val="1"/>
          <w:i w:val="1"/>
          <w:iCs w:val="1"/>
          <w:color w:val="auto"/>
        </w:rPr>
        <w:t>Underwriting Agreement</w:t>
      </w:r>
      <w:r>
        <w:rPr>
          <w:rFonts w:ascii="Times New Roman" w:cs="Times New Roman" w:eastAsia="Times New Roman" w:hAnsi="Times New Roman"/>
          <w:sz w:val="12"/>
          <w:szCs w:val="12"/>
          <w:color w:val="auto"/>
        </w:rPr>
        <w:t>”) with Ladenburg Thalmann &amp; Co. Inc. (the “</w:t>
      </w:r>
      <w:r>
        <w:rPr>
          <w:rFonts w:ascii="Times New Roman" w:cs="Times New Roman" w:eastAsia="Times New Roman" w:hAnsi="Times New Roman"/>
          <w:sz w:val="12"/>
          <w:szCs w:val="12"/>
          <w:b w:val="1"/>
          <w:bCs w:val="1"/>
          <w:i w:val="1"/>
          <w:iCs w:val="1"/>
          <w:color w:val="auto"/>
        </w:rPr>
        <w:t>Representative</w:t>
      </w:r>
      <w:r>
        <w:rPr>
          <w:rFonts w:ascii="Times New Roman" w:cs="Times New Roman" w:eastAsia="Times New Roman" w:hAnsi="Times New Roman"/>
          <w:sz w:val="12"/>
          <w:szCs w:val="12"/>
          <w:color w:val="auto"/>
        </w:rPr>
        <w:t>”) as the representative of the several underwriters named therein (the “</w:t>
      </w:r>
      <w:r>
        <w:rPr>
          <w:rFonts w:ascii="Times New Roman" w:cs="Times New Roman" w:eastAsia="Times New Roman" w:hAnsi="Times New Roman"/>
          <w:sz w:val="12"/>
          <w:szCs w:val="12"/>
          <w:b w:val="1"/>
          <w:bCs w:val="1"/>
          <w:i w:val="1"/>
          <w:iCs w:val="1"/>
          <w:color w:val="auto"/>
        </w:rPr>
        <w:t>Underwriters</w:t>
      </w:r>
      <w:r>
        <w:rPr>
          <w:rFonts w:ascii="Times New Roman" w:cs="Times New Roman" w:eastAsia="Times New Roman" w:hAnsi="Times New Roman"/>
          <w:sz w:val="12"/>
          <w:szCs w:val="12"/>
          <w:color w:val="auto"/>
        </w:rPr>
        <w:t>”), relating to an underwritten offering (the “</w:t>
      </w:r>
      <w:r>
        <w:rPr>
          <w:rFonts w:ascii="Times New Roman" w:cs="Times New Roman" w:eastAsia="Times New Roman" w:hAnsi="Times New Roman"/>
          <w:sz w:val="12"/>
          <w:szCs w:val="12"/>
          <w:b w:val="1"/>
          <w:bCs w:val="1"/>
          <w:i w:val="1"/>
          <w:iCs w:val="1"/>
          <w:color w:val="auto"/>
        </w:rPr>
        <w:t>Offering</w:t>
      </w:r>
      <w:r>
        <w:rPr>
          <w:rFonts w:ascii="Times New Roman" w:cs="Times New Roman" w:eastAsia="Times New Roman" w:hAnsi="Times New Roman"/>
          <w:sz w:val="12"/>
          <w:szCs w:val="12"/>
          <w:color w:val="auto"/>
        </w:rPr>
        <w:t>”) of 1,200,000 shares (the “</w:t>
      </w:r>
      <w:r>
        <w:rPr>
          <w:rFonts w:ascii="Times New Roman" w:cs="Times New Roman" w:eastAsia="Times New Roman" w:hAnsi="Times New Roman"/>
          <w:sz w:val="12"/>
          <w:szCs w:val="12"/>
          <w:b w:val="1"/>
          <w:bCs w:val="1"/>
          <w:i w:val="1"/>
          <w:iCs w:val="1"/>
          <w:color w:val="auto"/>
        </w:rPr>
        <w:t>Firm Shares</w:t>
      </w:r>
      <w:r>
        <w:rPr>
          <w:rFonts w:ascii="Times New Roman" w:cs="Times New Roman" w:eastAsia="Times New Roman" w:hAnsi="Times New Roman"/>
          <w:sz w:val="12"/>
          <w:szCs w:val="12"/>
          <w:color w:val="auto"/>
        </w:rPr>
        <w:t>”) of the Company’s common stock, par value $0.0001 per share (the “</w:t>
      </w:r>
      <w:r>
        <w:rPr>
          <w:rFonts w:ascii="Times New Roman" w:cs="Times New Roman" w:eastAsia="Times New Roman" w:hAnsi="Times New Roman"/>
          <w:sz w:val="12"/>
          <w:szCs w:val="12"/>
          <w:b w:val="1"/>
          <w:bCs w:val="1"/>
          <w:i w:val="1"/>
          <w:iCs w:val="1"/>
          <w:color w:val="auto"/>
        </w:rPr>
        <w:t>Common Stock</w:t>
      </w:r>
      <w:r>
        <w:rPr>
          <w:rFonts w:ascii="Times New Roman" w:cs="Times New Roman" w:eastAsia="Times New Roman" w:hAnsi="Times New Roman"/>
          <w:sz w:val="12"/>
          <w:szCs w:val="12"/>
          <w:color w:val="auto"/>
        </w:rPr>
        <w:t>”) at a price to the public of $5.00 per Firm Share and 800,000 pre-funded warrants (the “</w:t>
      </w:r>
      <w:r>
        <w:rPr>
          <w:rFonts w:ascii="Times New Roman" w:cs="Times New Roman" w:eastAsia="Times New Roman" w:hAnsi="Times New Roman"/>
          <w:sz w:val="12"/>
          <w:szCs w:val="12"/>
          <w:b w:val="1"/>
          <w:bCs w:val="1"/>
          <w:i w:val="1"/>
          <w:iCs w:val="1"/>
          <w:color w:val="auto"/>
        </w:rPr>
        <w:t>Pre-Funded Warrants</w:t>
      </w:r>
      <w:r>
        <w:rPr>
          <w:rFonts w:ascii="Times New Roman" w:cs="Times New Roman" w:eastAsia="Times New Roman" w:hAnsi="Times New Roman"/>
          <w:sz w:val="12"/>
          <w:szCs w:val="12"/>
          <w:color w:val="auto"/>
        </w:rPr>
        <w:t>”, and together with the Firm Shares, the “</w:t>
      </w:r>
      <w:r>
        <w:rPr>
          <w:rFonts w:ascii="Times New Roman" w:cs="Times New Roman" w:eastAsia="Times New Roman" w:hAnsi="Times New Roman"/>
          <w:sz w:val="12"/>
          <w:szCs w:val="12"/>
          <w:b w:val="1"/>
          <w:bCs w:val="1"/>
          <w:i w:val="1"/>
          <w:iCs w:val="1"/>
          <w:color w:val="auto"/>
        </w:rPr>
        <w:t>Securities</w:t>
      </w:r>
      <w:r>
        <w:rPr>
          <w:rFonts w:ascii="Times New Roman" w:cs="Times New Roman" w:eastAsia="Times New Roman" w:hAnsi="Times New Roman"/>
          <w:sz w:val="12"/>
          <w:szCs w:val="12"/>
          <w:color w:val="auto"/>
        </w:rPr>
        <w:t>”) at a price to the public of $4.9999 per Pre-Funded Warrant, less underwriting discounts and commissions. All of the Securities in the Offering were sold by the Company. The Offering closed on May 18, 2026 (the “</w:t>
      </w:r>
      <w:r>
        <w:rPr>
          <w:rFonts w:ascii="Times New Roman" w:cs="Times New Roman" w:eastAsia="Times New Roman" w:hAnsi="Times New Roman"/>
          <w:sz w:val="12"/>
          <w:szCs w:val="12"/>
          <w:b w:val="1"/>
          <w:bCs w:val="1"/>
          <w:i w:val="1"/>
          <w:iCs w:val="1"/>
          <w:color w:val="auto"/>
        </w:rPr>
        <w:t>Closing Date</w:t>
      </w:r>
      <w:r>
        <w:rPr>
          <w:rFonts w:ascii="Times New Roman" w:cs="Times New Roman" w:eastAsia="Times New Roman" w:hAnsi="Times New Roman"/>
          <w:sz w:val="12"/>
          <w:szCs w:val="12"/>
          <w:color w:val="auto"/>
        </w:rPr>
        <w:t>”).</w:t>
      </w:r>
    </w:p>
    <w:p>
      <w:pPr>
        <w:spacing w:after="0" w:line="85"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The Company estimates that the net proceeds from the Offering were approximately $9 million, after deducting underwriting discounts and commissions and estimated offering expenses payable by the Company. The Company intends to use the proceeds from the sale of its Securities for working capital and general corporate purposes.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Securities were issued pursuant to a shelf registration statement on Form S-3 (File No. 333-294705), as filed with the Securities and Exchange Commission (the “</w:t>
      </w:r>
      <w:r>
        <w:rPr>
          <w:rFonts w:ascii="Times New Roman" w:cs="Times New Roman" w:eastAsia="Times New Roman" w:hAnsi="Times New Roman"/>
          <w:sz w:val="11"/>
          <w:szCs w:val="11"/>
          <w:b w:val="1"/>
          <w:bCs w:val="1"/>
          <w:i w:val="1"/>
          <w:iCs w:val="1"/>
          <w:color w:val="auto"/>
        </w:rPr>
        <w:t>SEC</w:t>
      </w:r>
      <w:r>
        <w:rPr>
          <w:rFonts w:ascii="Times New Roman" w:cs="Times New Roman" w:eastAsia="Times New Roman" w:hAnsi="Times New Roman"/>
          <w:sz w:val="11"/>
          <w:szCs w:val="11"/>
          <w:color w:val="auto"/>
        </w:rPr>
        <w:t>”) on March 27, 2026, which became effective on April 3, 2026.</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 final prospectus related to the Offering was filed with the SEC on May 15, 2026, pursuant to Rule 424(b) under the Securities Act of 1933, as amended (the “</w:t>
      </w:r>
      <w:r>
        <w:rPr>
          <w:rFonts w:ascii="Times New Roman" w:cs="Times New Roman" w:eastAsia="Times New Roman" w:hAnsi="Times New Roman"/>
          <w:sz w:val="12"/>
          <w:szCs w:val="12"/>
          <w:b w:val="1"/>
          <w:bCs w:val="1"/>
          <w:i w:val="1"/>
          <w:iCs w:val="1"/>
          <w:color w:val="auto"/>
        </w:rPr>
        <w:t>Securities Act</w:t>
      </w:r>
      <w:r>
        <w:rPr>
          <w:rFonts w:ascii="Times New Roman" w:cs="Times New Roman" w:eastAsia="Times New Roman" w:hAnsi="Times New Roman"/>
          <w:sz w:val="12"/>
          <w:szCs w:val="12"/>
          <w:color w:val="auto"/>
        </w:rPr>
        <w:t>”).</w:t>
      </w:r>
    </w:p>
    <w:p>
      <w:pPr>
        <w:spacing w:after="0" w:line="9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2"/>
          <w:szCs w:val="12"/>
          <w:color w:val="auto"/>
        </w:rPr>
        <w:t>Also on May 15, 2026, the Company entered into a warrant agency agreement (the “</w:t>
      </w:r>
      <w:r>
        <w:rPr>
          <w:rFonts w:ascii="Times New Roman" w:cs="Times New Roman" w:eastAsia="Times New Roman" w:hAnsi="Times New Roman"/>
          <w:sz w:val="12"/>
          <w:szCs w:val="12"/>
          <w:b w:val="1"/>
          <w:bCs w:val="1"/>
          <w:i w:val="1"/>
          <w:iCs w:val="1"/>
          <w:color w:val="auto"/>
        </w:rPr>
        <w:t>Warrant Agency Agreement</w:t>
      </w:r>
      <w:r>
        <w:rPr>
          <w:rFonts w:ascii="Times New Roman" w:cs="Times New Roman" w:eastAsia="Times New Roman" w:hAnsi="Times New Roman"/>
          <w:sz w:val="12"/>
          <w:szCs w:val="12"/>
          <w:color w:val="auto"/>
        </w:rPr>
        <w:t>”, and together with the Underwriting Agreement, the “</w:t>
      </w:r>
      <w:r>
        <w:rPr>
          <w:rFonts w:ascii="Times New Roman" w:cs="Times New Roman" w:eastAsia="Times New Roman" w:hAnsi="Times New Roman"/>
          <w:sz w:val="12"/>
          <w:szCs w:val="12"/>
          <w:b w:val="1"/>
          <w:bCs w:val="1"/>
          <w:i w:val="1"/>
          <w:iCs w:val="1"/>
          <w:color w:val="auto"/>
        </w:rPr>
        <w:t>Transaction Documents</w:t>
      </w:r>
      <w:r>
        <w:rPr>
          <w:rFonts w:ascii="Times New Roman" w:cs="Times New Roman" w:eastAsia="Times New Roman" w:hAnsi="Times New Roman"/>
          <w:sz w:val="12"/>
          <w:szCs w:val="12"/>
          <w:color w:val="auto"/>
        </w:rPr>
        <w:t>”) with Continental Stock Transfer &amp; Trust Company, as warrant agent (the “</w:t>
      </w:r>
      <w:r>
        <w:rPr>
          <w:rFonts w:ascii="Times New Roman" w:cs="Times New Roman" w:eastAsia="Times New Roman" w:hAnsi="Times New Roman"/>
          <w:sz w:val="12"/>
          <w:szCs w:val="12"/>
          <w:b w:val="1"/>
          <w:bCs w:val="1"/>
          <w:i w:val="1"/>
          <w:iCs w:val="1"/>
          <w:color w:val="auto"/>
        </w:rPr>
        <w:t>Warrant Agent</w:t>
      </w:r>
      <w:r>
        <w:rPr>
          <w:rFonts w:ascii="Times New Roman" w:cs="Times New Roman" w:eastAsia="Times New Roman" w:hAnsi="Times New Roman"/>
          <w:sz w:val="12"/>
          <w:szCs w:val="12"/>
          <w:color w:val="auto"/>
        </w:rPr>
        <w:t>”). The Warrant Agency Agreement sets forth certain terms and conditions with respect to the Warrant Agent’s service as warrant agent for the Pre-Funded Warrants.</w:t>
      </w:r>
    </w:p>
    <w:p>
      <w:pPr>
        <w:spacing w:after="0" w:line="67"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2"/>
          <w:szCs w:val="12"/>
          <w:color w:val="auto"/>
        </w:rPr>
        <w:t>The Pre-Funded Warrants are exercisable for one share of Common Stock at an exercise price of $0.0001 per share and may be exercised at any time until exercised in full. The Global Warrant Certificate (the “</w:t>
      </w:r>
      <w:r>
        <w:rPr>
          <w:rFonts w:ascii="Times New Roman" w:cs="Times New Roman" w:eastAsia="Times New Roman" w:hAnsi="Times New Roman"/>
          <w:sz w:val="12"/>
          <w:szCs w:val="12"/>
          <w:b w:val="1"/>
          <w:bCs w:val="1"/>
          <w:i w:val="1"/>
          <w:iCs w:val="1"/>
          <w:color w:val="auto"/>
        </w:rPr>
        <w:t>Global Warrant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i w:val="1"/>
          <w:iCs w:val="1"/>
          <w:color w:val="auto"/>
        </w:rPr>
        <w:t>Certificate</w:t>
      </w:r>
      <w:r>
        <w:rPr>
          <w:rFonts w:ascii="Times New Roman" w:cs="Times New Roman" w:eastAsia="Times New Roman" w:hAnsi="Times New Roman"/>
          <w:sz w:val="12"/>
          <w:szCs w:val="12"/>
          <w:color w:val="auto"/>
        </w:rPr>
        <w:t>”) evidencing the Pre-Funded Warrants was issued in book-entry form through the Depository Trust Company. There is no trading market available for the Pre-Funded Warrants on any securities exchange or nationally</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recognized trading system nor does the Company intend to list the Pre-Funded Warrants on any securities exchange or nationally recognized trading system.</w:t>
      </w:r>
    </w:p>
    <w:p>
      <w:pPr>
        <w:spacing w:after="0" w:line="8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2"/>
          <w:szCs w:val="12"/>
          <w:color w:val="auto"/>
        </w:rPr>
        <w:t>The Underwriting Agreement contains customary representations, warranties, covenants, indemnification obligations of the Company and the Underwriters, including for liabilities under the Securities Act, and other obligations of the parties.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 In addition, the Company’s officers, directors and certain stockholders have each entered into lock-up agreements pursuant to which each of them has agreed not to, for a period of ninety (90) days from the Closing Date, offer, sell, contract to sell, hypothecate, pledge or otherwise dispose of the Company’s securities, subject to certain exceptions. Pursuant to the Underwriting Agreement, the Company and its subsidiaries are prohibited from issuing, entering into any agreement to issue, or announcing the issuance of any shares of Common Stock or securities convertible into or exercisable for Common Stock, other than certain exempt issuances, for a period of 60 days following the Closing Date, and from entering into any variable rate transaction for a period of 180 days following the Closing Date (provided that entry into an at-the-market offering with the Representative as sales agent is permitted after such 60-day period).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foregoing is only a brief description of the terms of the Transaction Documents and the Pre-Funded Warrant, and does not purport to be a complete statement of the rights and obligations of the parties under the Transaction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Documents or the Pre-Funded Warrant, and the transactions contemplated thereby, and is qualified in its entirety by reference to the Underwriting Agreement, which is filed as Exhibit 1.1 to this Current Report on Form 8-K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Current Report</w:t>
      </w:r>
      <w:r>
        <w:rPr>
          <w:rFonts w:ascii="Times New Roman" w:cs="Times New Roman" w:eastAsia="Times New Roman" w:hAnsi="Times New Roman"/>
          <w:sz w:val="12"/>
          <w:szCs w:val="12"/>
          <w:color w:val="auto"/>
        </w:rPr>
        <w:t>”), the Warrant Agency Agreement, which is filed as Exhibit 10.1 to this Current Report, and the form of Pre-Funded Warrant, which is filed as Exhibit 4.1 to this Current Report, all of which are incorporated herein by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reference. A copy of the Global Warrant Certificate is also filed as Exhibit 4.2 to this Current Report, and is incorporated herein by reference.</w:t>
      </w:r>
    </w:p>
    <w:p>
      <w:pPr>
        <w:sectPr>
          <w:pgSz w:w="11900" w:h="16838" w:orient="portrait"/>
          <w:cols w:equalWidth="0" w:num="1">
            <w:col w:w="11300"/>
          </w:cols>
          <w:pgMar w:left="300" w:top="1133" w:right="299" w:bottom="1440" w:gutter="0" w:footer="0" w:header="0"/>
        </w:sectPr>
      </w:pPr>
    </w:p>
    <w:bookmarkStart w:id="2" w:name="page3"/>
    <w:bookmarkEnd w:id="2"/>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18"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The Company posted to the Company’s Investor Presentations section of its website www.qtimaging.com, an investor presentation containing supplemental product and operational information regarding the Company. A copy of the investor presentation is being furnished as Exhibit 99.1 to this Current Report.</w:t>
      </w:r>
    </w:p>
    <w:p>
      <w:pPr>
        <w:spacing w:after="0" w:line="75"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2"/>
          <w:szCs w:val="12"/>
          <w:color w:val="auto"/>
        </w:rPr>
        <w:t>The information contained in, or incorporated into, this Item 7.01 of this Current Report, including Exhibit 99.1 attached hereto, is furnished under Item 7.01 of Form 8-K and shall not be deemed “filed” for the purposes of Section 18 of the Exchange Act or otherwise subject to the liabilities of that section, and shall not be deemed to be incorporated by reference into the filings of the Company under the Securities Act or the Exchange Act regardless of any general incorporation language in such filings.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Current Report shall not be deemed an admission as to the materiality of any information in this Current Report that is being disclosed pursuant to Regulation FD.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Please refer to Exhibit 99.1 for a discussion of certain forward-looking statements included therein and the risks and uncertainties related thereto.</w:t>
      </w:r>
    </w:p>
    <w:p>
      <w:pPr>
        <w:spacing w:after="0" w:line="11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8.01</w:t>
      </w:r>
      <w:r>
        <w:rPr>
          <w:sz w:val="20"/>
          <w:szCs w:val="20"/>
          <w:color w:val="auto"/>
        </w:rPr>
        <w:tab/>
      </w:r>
      <w:r>
        <w:rPr>
          <w:rFonts w:ascii="Times New Roman" w:cs="Times New Roman" w:eastAsia="Times New Roman" w:hAnsi="Times New Roman"/>
          <w:sz w:val="11"/>
          <w:szCs w:val="11"/>
          <w:b w:val="1"/>
          <w:bCs w:val="1"/>
          <w:color w:val="auto"/>
        </w:rPr>
        <w:t>Other Events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May 15, 2026, the Company issued a press release announcing the pricing of the Offering. A copy of the press release is attached to this Current Report as Exhibit 99.2 and is incorporated herein by reference.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May 18, 2026, the Company issued a press release announcing the closing of the Offering. A copy of the press release is attached to this Current Report as Exhibit 99.3 and is incorporated herein by reference.</w:t>
      </w:r>
    </w:p>
    <w:p>
      <w:pPr>
        <w:spacing w:after="0" w:line="11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020" w:type="dxa"/>
            <w:vAlign w:val="bottom"/>
          </w:tcPr>
          <w:p>
            <w:pPr>
              <w:ind w:left="180"/>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10280" w:type="dxa"/>
            <w:vAlign w:val="bottom"/>
            <w:gridSpan w:val="8"/>
          </w:tcPr>
          <w:p>
            <w:pPr>
              <w:ind w:left="20"/>
              <w:spacing w:after="0"/>
              <w:rPr>
                <w:sz w:val="20"/>
                <w:szCs w:val="20"/>
                <w:color w:val="auto"/>
              </w:rPr>
            </w:pPr>
            <w:r>
              <w:rPr>
                <w:rFonts w:ascii="Times New Roman" w:cs="Times New Roman" w:eastAsia="Times New Roman" w:hAnsi="Times New Roman"/>
                <w:sz w:val="12"/>
                <w:szCs w:val="12"/>
                <w:b w:val="1"/>
                <w:bCs w:val="1"/>
                <w:color w:val="auto"/>
              </w:rPr>
              <w:t>Item</w:t>
            </w:r>
          </w:p>
        </w:tc>
      </w:tr>
      <w:tr>
        <w:trPr>
          <w:trHeight w:val="54"/>
        </w:trPr>
        <w:tc>
          <w:tcPr>
            <w:tcW w:w="10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48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151"/>
        </w:trPr>
        <w:tc>
          <w:tcPr>
            <w:tcW w:w="1020" w:type="dxa"/>
            <w:vAlign w:val="bottom"/>
            <w:tcBorders>
              <w:bottom w:val="single" w:sz="8" w:color="CCEEFF"/>
            </w:tcBorders>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1.1*</w:t>
            </w:r>
          </w:p>
        </w:tc>
        <w:tc>
          <w:tcPr>
            <w:tcW w:w="9080" w:type="dxa"/>
            <w:vAlign w:val="bottom"/>
            <w:tcBorders>
              <w:bottom w:val="single" w:sz="8" w:color="3051F2"/>
            </w:tcBorders>
            <w:gridSpan w:val="7"/>
            <w:shd w:val="clear" w:color="auto" w:fill="CCEEFF"/>
          </w:tcPr>
          <w:p>
            <w:pPr>
              <w:ind w:left="20"/>
              <w:spacing w:after="0" w:line="126" w:lineRule="exact"/>
              <w:rPr>
                <w:sz w:val="20"/>
                <w:szCs w:val="20"/>
                <w:color w:val="auto"/>
              </w:rPr>
            </w:pPr>
            <w:r>
              <w:rPr>
                <w:rFonts w:ascii="Times New Roman" w:cs="Times New Roman" w:eastAsia="Times New Roman" w:hAnsi="Times New Roman"/>
                <w:sz w:val="12"/>
                <w:szCs w:val="12"/>
                <w:color w:val="3051F2"/>
                <w:w w:val="99"/>
              </w:rPr>
              <w:t>Underwriting Agreement, dated May 15, 2026, by and between QT Imaging Holdings, Inc. and Ladenburg Thalmann &amp; Co. Inc. as representative of the several underwriters named therein.</w:t>
            </w:r>
          </w:p>
        </w:tc>
        <w:tc>
          <w:tcPr>
            <w:tcW w:w="1200" w:type="dxa"/>
            <w:vAlign w:val="bottom"/>
            <w:tcBorders>
              <w:bottom w:val="single" w:sz="8" w:color="CCEEFF"/>
            </w:tcBorders>
            <w:shd w:val="clear" w:color="auto" w:fill="CCEEFF"/>
          </w:tcPr>
          <w:p>
            <w:pPr>
              <w:spacing w:after="0"/>
              <w:rPr>
                <w:sz w:val="13"/>
                <w:szCs w:val="13"/>
                <w:color w:val="auto"/>
              </w:rPr>
            </w:pPr>
          </w:p>
        </w:tc>
      </w:tr>
      <w:tr>
        <w:trPr>
          <w:trHeight w:val="162"/>
        </w:trPr>
        <w:tc>
          <w:tcPr>
            <w:tcW w:w="1020" w:type="dxa"/>
            <w:vAlign w:val="bottom"/>
          </w:tcPr>
          <w:p>
            <w:pPr>
              <w:spacing w:after="0"/>
              <w:rPr>
                <w:sz w:val="20"/>
                <w:szCs w:val="20"/>
                <w:color w:val="auto"/>
              </w:rPr>
            </w:pPr>
            <w:r>
              <w:rPr>
                <w:rFonts w:ascii="Times New Roman" w:cs="Times New Roman" w:eastAsia="Times New Roman" w:hAnsi="Times New Roman"/>
                <w:sz w:val="12"/>
                <w:szCs w:val="12"/>
                <w:color w:val="auto"/>
              </w:rPr>
              <w:t>4.1*</w:t>
            </w:r>
          </w:p>
        </w:tc>
        <w:tc>
          <w:tcPr>
            <w:tcW w:w="10280" w:type="dxa"/>
            <w:vAlign w:val="bottom"/>
            <w:gridSpan w:val="8"/>
          </w:tcPr>
          <w:p>
            <w:pPr>
              <w:ind w:left="20"/>
              <w:spacing w:after="0"/>
              <w:rPr>
                <w:sz w:val="20"/>
                <w:szCs w:val="20"/>
                <w:color w:val="auto"/>
              </w:rPr>
            </w:pPr>
            <w:r>
              <w:rPr>
                <w:rFonts w:ascii="Times New Roman" w:cs="Times New Roman" w:eastAsia="Times New Roman" w:hAnsi="Times New Roman"/>
                <w:sz w:val="12"/>
                <w:szCs w:val="12"/>
                <w:color w:val="3051F2"/>
              </w:rPr>
              <w:t>Form of Pre-Funded Warrant.</w:t>
            </w:r>
          </w:p>
        </w:tc>
      </w:tr>
      <w:tr>
        <w:trPr>
          <w:trHeight w:val="61"/>
        </w:trPr>
        <w:tc>
          <w:tcPr>
            <w:tcW w:w="1020" w:type="dxa"/>
            <w:vAlign w:val="bottom"/>
          </w:tcPr>
          <w:p>
            <w:pPr>
              <w:spacing w:after="0"/>
              <w:rPr>
                <w:sz w:val="5"/>
                <w:szCs w:val="5"/>
                <w:color w:val="auto"/>
              </w:rPr>
            </w:pPr>
          </w:p>
        </w:tc>
        <w:tc>
          <w:tcPr>
            <w:tcW w:w="1320" w:type="dxa"/>
            <w:vAlign w:val="bottom"/>
            <w:tcBorders>
              <w:top w:val="single" w:sz="8" w:color="3051F2"/>
            </w:tcBorders>
          </w:tcPr>
          <w:p>
            <w:pPr>
              <w:spacing w:after="0"/>
              <w:rPr>
                <w:sz w:val="5"/>
                <w:szCs w:val="5"/>
                <w:color w:val="auto"/>
              </w:rPr>
            </w:pPr>
          </w:p>
        </w:tc>
        <w:tc>
          <w:tcPr>
            <w:tcW w:w="120" w:type="dxa"/>
            <w:vAlign w:val="bottom"/>
            <w:tcBorders>
              <w:top w:val="single" w:sz="8" w:color="3051F2"/>
            </w:tcBorders>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86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200" w:type="dxa"/>
            <w:vAlign w:val="bottom"/>
          </w:tcPr>
          <w:p>
            <w:pPr>
              <w:spacing w:after="0"/>
              <w:rPr>
                <w:sz w:val="5"/>
                <w:szCs w:val="5"/>
                <w:color w:val="auto"/>
              </w:rPr>
            </w:pPr>
          </w:p>
        </w:tc>
      </w:tr>
      <w:tr>
        <w:trPr>
          <w:trHeight w:val="151"/>
        </w:trPr>
        <w:tc>
          <w:tcPr>
            <w:tcW w:w="1020" w:type="dxa"/>
            <w:vAlign w:val="bottom"/>
            <w:tcBorders>
              <w:bottom w:val="single" w:sz="8" w:color="CCEEFF"/>
            </w:tcBorders>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4.2</w:t>
            </w:r>
          </w:p>
        </w:tc>
        <w:tc>
          <w:tcPr>
            <w:tcW w:w="1320" w:type="dxa"/>
            <w:vAlign w:val="bottom"/>
            <w:tcBorders>
              <w:bottom w:val="single" w:sz="8" w:color="3051F2"/>
            </w:tcBorders>
            <w:shd w:val="clear" w:color="auto" w:fill="CCEEFF"/>
          </w:tcPr>
          <w:p>
            <w:pPr>
              <w:ind w:left="20"/>
              <w:spacing w:after="0" w:line="126" w:lineRule="exact"/>
              <w:rPr>
                <w:sz w:val="20"/>
                <w:szCs w:val="20"/>
                <w:color w:val="auto"/>
              </w:rPr>
            </w:pPr>
            <w:r>
              <w:rPr>
                <w:rFonts w:ascii="Times New Roman" w:cs="Times New Roman" w:eastAsia="Times New Roman" w:hAnsi="Times New Roman"/>
                <w:sz w:val="12"/>
                <w:szCs w:val="12"/>
                <w:color w:val="3051F2"/>
                <w:w w:val="97"/>
              </w:rPr>
              <w:t>Global Warrant Certificate.</w:t>
            </w:r>
          </w:p>
        </w:tc>
        <w:tc>
          <w:tcPr>
            <w:tcW w:w="8960" w:type="dxa"/>
            <w:vAlign w:val="bottom"/>
            <w:tcBorders>
              <w:bottom w:val="single" w:sz="8" w:color="CCEEFF"/>
            </w:tcBorders>
            <w:gridSpan w:val="7"/>
            <w:shd w:val="clear" w:color="auto" w:fill="CCEEFF"/>
          </w:tcPr>
          <w:p>
            <w:pPr>
              <w:spacing w:after="0"/>
              <w:rPr>
                <w:sz w:val="13"/>
                <w:szCs w:val="13"/>
                <w:color w:val="auto"/>
              </w:rPr>
            </w:pPr>
          </w:p>
        </w:tc>
      </w:tr>
      <w:tr>
        <w:trPr>
          <w:trHeight w:val="162"/>
        </w:trPr>
        <w:tc>
          <w:tcPr>
            <w:tcW w:w="1020" w:type="dxa"/>
            <w:vAlign w:val="bottom"/>
          </w:tcPr>
          <w:p>
            <w:pPr>
              <w:spacing w:after="0"/>
              <w:rPr>
                <w:sz w:val="20"/>
                <w:szCs w:val="20"/>
                <w:color w:val="auto"/>
              </w:rPr>
            </w:pPr>
            <w:r>
              <w:rPr>
                <w:rFonts w:ascii="Times New Roman" w:cs="Times New Roman" w:eastAsia="Times New Roman" w:hAnsi="Times New Roman"/>
                <w:sz w:val="12"/>
                <w:szCs w:val="12"/>
                <w:color w:val="auto"/>
              </w:rPr>
              <w:t>10.1*</w:t>
            </w:r>
          </w:p>
        </w:tc>
        <w:tc>
          <w:tcPr>
            <w:tcW w:w="10280" w:type="dxa"/>
            <w:vAlign w:val="bottom"/>
            <w:gridSpan w:val="8"/>
          </w:tcPr>
          <w:p>
            <w:pPr>
              <w:ind w:left="20"/>
              <w:spacing w:after="0"/>
              <w:rPr>
                <w:sz w:val="20"/>
                <w:szCs w:val="20"/>
                <w:color w:val="auto"/>
              </w:rPr>
            </w:pPr>
            <w:r>
              <w:rPr>
                <w:rFonts w:ascii="Times New Roman" w:cs="Times New Roman" w:eastAsia="Times New Roman" w:hAnsi="Times New Roman"/>
                <w:sz w:val="12"/>
                <w:szCs w:val="12"/>
                <w:color w:val="3051F2"/>
              </w:rPr>
              <w:t>Warrant Agency Agreement, dated May 15, 2026, by and between QT Imaging Holdings, Inc. and Continental Stock Transfer &amp; Trust Company.</w:t>
            </w:r>
          </w:p>
        </w:tc>
      </w:tr>
      <w:tr>
        <w:trPr>
          <w:trHeight w:val="61"/>
        </w:trPr>
        <w:tc>
          <w:tcPr>
            <w:tcW w:w="1020" w:type="dxa"/>
            <w:vAlign w:val="bottom"/>
          </w:tcPr>
          <w:p>
            <w:pPr>
              <w:spacing w:after="0"/>
              <w:rPr>
                <w:sz w:val="5"/>
                <w:szCs w:val="5"/>
                <w:color w:val="auto"/>
              </w:rPr>
            </w:pPr>
          </w:p>
        </w:tc>
        <w:tc>
          <w:tcPr>
            <w:tcW w:w="1320" w:type="dxa"/>
            <w:vAlign w:val="bottom"/>
            <w:tcBorders>
              <w:top w:val="single" w:sz="8" w:color="3051F2"/>
            </w:tcBorders>
          </w:tcPr>
          <w:p>
            <w:pPr>
              <w:spacing w:after="0"/>
              <w:rPr>
                <w:sz w:val="5"/>
                <w:szCs w:val="5"/>
                <w:color w:val="auto"/>
              </w:rPr>
            </w:pPr>
          </w:p>
        </w:tc>
        <w:tc>
          <w:tcPr>
            <w:tcW w:w="120" w:type="dxa"/>
            <w:vAlign w:val="bottom"/>
            <w:tcBorders>
              <w:top w:val="single" w:sz="8" w:color="3051F2"/>
            </w:tcBorders>
          </w:tcPr>
          <w:p>
            <w:pPr>
              <w:spacing w:after="0"/>
              <w:rPr>
                <w:sz w:val="5"/>
                <w:szCs w:val="5"/>
                <w:color w:val="auto"/>
              </w:rPr>
            </w:pPr>
          </w:p>
        </w:tc>
        <w:tc>
          <w:tcPr>
            <w:tcW w:w="460" w:type="dxa"/>
            <w:vAlign w:val="bottom"/>
            <w:tcBorders>
              <w:top w:val="single" w:sz="8" w:color="3051F2"/>
            </w:tcBorders>
          </w:tcPr>
          <w:p>
            <w:pPr>
              <w:spacing w:after="0"/>
              <w:rPr>
                <w:sz w:val="5"/>
                <w:szCs w:val="5"/>
                <w:color w:val="auto"/>
              </w:rPr>
            </w:pPr>
          </w:p>
        </w:tc>
        <w:tc>
          <w:tcPr>
            <w:tcW w:w="200" w:type="dxa"/>
            <w:vAlign w:val="bottom"/>
            <w:tcBorders>
              <w:top w:val="single" w:sz="8" w:color="3051F2"/>
            </w:tcBorders>
          </w:tcPr>
          <w:p>
            <w:pPr>
              <w:spacing w:after="0"/>
              <w:rPr>
                <w:sz w:val="5"/>
                <w:szCs w:val="5"/>
                <w:color w:val="auto"/>
              </w:rPr>
            </w:pPr>
          </w:p>
        </w:tc>
        <w:tc>
          <w:tcPr>
            <w:tcW w:w="20" w:type="dxa"/>
            <w:vAlign w:val="bottom"/>
            <w:tcBorders>
              <w:top w:val="single" w:sz="8" w:color="3051F2"/>
            </w:tcBorders>
          </w:tcPr>
          <w:p>
            <w:pPr>
              <w:spacing w:after="0"/>
              <w:rPr>
                <w:sz w:val="5"/>
                <w:szCs w:val="5"/>
                <w:color w:val="auto"/>
              </w:rPr>
            </w:pPr>
          </w:p>
        </w:tc>
        <w:tc>
          <w:tcPr>
            <w:tcW w:w="4860" w:type="dxa"/>
            <w:vAlign w:val="bottom"/>
            <w:tcBorders>
              <w:top w:val="single" w:sz="8" w:color="3051F2"/>
            </w:tcBorders>
          </w:tcPr>
          <w:p>
            <w:pPr>
              <w:spacing w:after="0"/>
              <w:rPr>
                <w:sz w:val="5"/>
                <w:szCs w:val="5"/>
                <w:color w:val="auto"/>
              </w:rPr>
            </w:pPr>
          </w:p>
        </w:tc>
        <w:tc>
          <w:tcPr>
            <w:tcW w:w="2100" w:type="dxa"/>
            <w:vAlign w:val="bottom"/>
          </w:tcPr>
          <w:p>
            <w:pPr>
              <w:spacing w:after="0"/>
              <w:rPr>
                <w:sz w:val="5"/>
                <w:szCs w:val="5"/>
                <w:color w:val="auto"/>
              </w:rPr>
            </w:pPr>
          </w:p>
        </w:tc>
        <w:tc>
          <w:tcPr>
            <w:tcW w:w="1200" w:type="dxa"/>
            <w:vAlign w:val="bottom"/>
          </w:tcPr>
          <w:p>
            <w:pPr>
              <w:spacing w:after="0"/>
              <w:rPr>
                <w:sz w:val="5"/>
                <w:szCs w:val="5"/>
                <w:color w:val="auto"/>
              </w:rPr>
            </w:pPr>
          </w:p>
        </w:tc>
      </w:tr>
      <w:tr>
        <w:trPr>
          <w:trHeight w:val="151"/>
        </w:trPr>
        <w:tc>
          <w:tcPr>
            <w:tcW w:w="1020" w:type="dxa"/>
            <w:vAlign w:val="bottom"/>
            <w:tcBorders>
              <w:bottom w:val="single" w:sz="8" w:color="CCEEFF"/>
            </w:tcBorders>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99.1</w:t>
            </w:r>
          </w:p>
        </w:tc>
        <w:tc>
          <w:tcPr>
            <w:tcW w:w="1900" w:type="dxa"/>
            <w:vAlign w:val="bottom"/>
            <w:tcBorders>
              <w:bottom w:val="single" w:sz="8" w:color="3051F2"/>
            </w:tcBorders>
            <w:gridSpan w:val="3"/>
            <w:shd w:val="clear" w:color="auto" w:fill="CCEEFF"/>
          </w:tcPr>
          <w:p>
            <w:pPr>
              <w:ind w:left="20"/>
              <w:spacing w:after="0" w:line="126" w:lineRule="exact"/>
              <w:rPr>
                <w:sz w:val="20"/>
                <w:szCs w:val="20"/>
                <w:color w:val="auto"/>
              </w:rPr>
            </w:pPr>
            <w:r>
              <w:rPr>
                <w:rFonts w:ascii="Times New Roman" w:cs="Times New Roman" w:eastAsia="Times New Roman" w:hAnsi="Times New Roman"/>
                <w:sz w:val="12"/>
                <w:szCs w:val="12"/>
                <w:color w:val="3051F2"/>
                <w:w w:val="98"/>
              </w:rPr>
              <w:t>Investor Presentation, dated May 2026.</w:t>
            </w:r>
          </w:p>
        </w:tc>
        <w:tc>
          <w:tcPr>
            <w:tcW w:w="8380" w:type="dxa"/>
            <w:vAlign w:val="bottom"/>
            <w:tcBorders>
              <w:bottom w:val="single" w:sz="8" w:color="CCEEFF"/>
            </w:tcBorders>
            <w:gridSpan w:val="5"/>
            <w:shd w:val="clear" w:color="auto" w:fill="CCEEFF"/>
          </w:tcPr>
          <w:p>
            <w:pPr>
              <w:spacing w:after="0"/>
              <w:rPr>
                <w:sz w:val="13"/>
                <w:szCs w:val="13"/>
                <w:color w:val="auto"/>
              </w:rPr>
            </w:pPr>
          </w:p>
        </w:tc>
      </w:tr>
      <w:tr>
        <w:trPr>
          <w:trHeight w:val="162"/>
        </w:trPr>
        <w:tc>
          <w:tcPr>
            <w:tcW w:w="1020" w:type="dxa"/>
            <w:vAlign w:val="bottom"/>
          </w:tcPr>
          <w:p>
            <w:pPr>
              <w:spacing w:after="0"/>
              <w:rPr>
                <w:sz w:val="20"/>
                <w:szCs w:val="20"/>
                <w:color w:val="auto"/>
              </w:rPr>
            </w:pPr>
            <w:r>
              <w:rPr>
                <w:rFonts w:ascii="Times New Roman" w:cs="Times New Roman" w:eastAsia="Times New Roman" w:hAnsi="Times New Roman"/>
                <w:sz w:val="12"/>
                <w:szCs w:val="12"/>
                <w:color w:val="auto"/>
              </w:rPr>
              <w:t>99.2</w:t>
            </w:r>
          </w:p>
        </w:tc>
        <w:tc>
          <w:tcPr>
            <w:tcW w:w="10280" w:type="dxa"/>
            <w:vAlign w:val="bottom"/>
            <w:gridSpan w:val="8"/>
          </w:tcPr>
          <w:p>
            <w:pPr>
              <w:ind w:left="20"/>
              <w:spacing w:after="0"/>
              <w:rPr>
                <w:sz w:val="20"/>
                <w:szCs w:val="20"/>
                <w:color w:val="auto"/>
              </w:rPr>
            </w:pPr>
            <w:r>
              <w:rPr>
                <w:rFonts w:ascii="Times New Roman" w:cs="Times New Roman" w:eastAsia="Times New Roman" w:hAnsi="Times New Roman"/>
                <w:sz w:val="12"/>
                <w:szCs w:val="12"/>
                <w:color w:val="3051F2"/>
              </w:rPr>
              <w:t>Pricing Press Release, dated May 15, 2026.</w:t>
            </w:r>
          </w:p>
        </w:tc>
      </w:tr>
      <w:tr>
        <w:trPr>
          <w:trHeight w:val="61"/>
        </w:trPr>
        <w:tc>
          <w:tcPr>
            <w:tcW w:w="1020" w:type="dxa"/>
            <w:vAlign w:val="bottom"/>
          </w:tcPr>
          <w:p>
            <w:pPr>
              <w:spacing w:after="0"/>
              <w:rPr>
                <w:sz w:val="5"/>
                <w:szCs w:val="5"/>
                <w:color w:val="auto"/>
              </w:rPr>
            </w:pPr>
          </w:p>
        </w:tc>
        <w:tc>
          <w:tcPr>
            <w:tcW w:w="1320" w:type="dxa"/>
            <w:vAlign w:val="bottom"/>
            <w:tcBorders>
              <w:top w:val="single" w:sz="8" w:color="3051F2"/>
            </w:tcBorders>
          </w:tcPr>
          <w:p>
            <w:pPr>
              <w:spacing w:after="0"/>
              <w:rPr>
                <w:sz w:val="5"/>
                <w:szCs w:val="5"/>
                <w:color w:val="auto"/>
              </w:rPr>
            </w:pPr>
          </w:p>
        </w:tc>
        <w:tc>
          <w:tcPr>
            <w:tcW w:w="120" w:type="dxa"/>
            <w:vAlign w:val="bottom"/>
            <w:tcBorders>
              <w:top w:val="single" w:sz="8" w:color="3051F2"/>
            </w:tcBorders>
          </w:tcPr>
          <w:p>
            <w:pPr>
              <w:spacing w:after="0"/>
              <w:rPr>
                <w:sz w:val="5"/>
                <w:szCs w:val="5"/>
                <w:color w:val="auto"/>
              </w:rPr>
            </w:pPr>
          </w:p>
        </w:tc>
        <w:tc>
          <w:tcPr>
            <w:tcW w:w="460" w:type="dxa"/>
            <w:vAlign w:val="bottom"/>
            <w:tcBorders>
              <w:top w:val="single" w:sz="8" w:color="3051F2"/>
            </w:tcBorders>
          </w:tcPr>
          <w:p>
            <w:pPr>
              <w:spacing w:after="0"/>
              <w:rPr>
                <w:sz w:val="5"/>
                <w:szCs w:val="5"/>
                <w:color w:val="auto"/>
              </w:rPr>
            </w:pPr>
          </w:p>
        </w:tc>
        <w:tc>
          <w:tcPr>
            <w:tcW w:w="200" w:type="dxa"/>
            <w:vAlign w:val="bottom"/>
            <w:tcBorders>
              <w:top w:val="single" w:sz="8" w:color="3051F2"/>
            </w:tcBorders>
          </w:tcPr>
          <w:p>
            <w:pPr>
              <w:spacing w:after="0"/>
              <w:rPr>
                <w:sz w:val="5"/>
                <w:szCs w:val="5"/>
                <w:color w:val="auto"/>
              </w:rPr>
            </w:pPr>
          </w:p>
        </w:tc>
        <w:tc>
          <w:tcPr>
            <w:tcW w:w="20" w:type="dxa"/>
            <w:vAlign w:val="bottom"/>
          </w:tcPr>
          <w:p>
            <w:pPr>
              <w:spacing w:after="0"/>
              <w:rPr>
                <w:sz w:val="5"/>
                <w:szCs w:val="5"/>
                <w:color w:val="auto"/>
              </w:rPr>
            </w:pPr>
          </w:p>
        </w:tc>
        <w:tc>
          <w:tcPr>
            <w:tcW w:w="486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200" w:type="dxa"/>
            <w:vAlign w:val="bottom"/>
          </w:tcPr>
          <w:p>
            <w:pPr>
              <w:spacing w:after="0"/>
              <w:rPr>
                <w:sz w:val="5"/>
                <w:szCs w:val="5"/>
                <w:color w:val="auto"/>
              </w:rPr>
            </w:pPr>
          </w:p>
        </w:tc>
      </w:tr>
      <w:tr>
        <w:trPr>
          <w:trHeight w:val="151"/>
        </w:trPr>
        <w:tc>
          <w:tcPr>
            <w:tcW w:w="1020" w:type="dxa"/>
            <w:vAlign w:val="bottom"/>
            <w:tcBorders>
              <w:bottom w:val="single" w:sz="8" w:color="CCEEFF"/>
            </w:tcBorders>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99.3</w:t>
            </w:r>
          </w:p>
        </w:tc>
        <w:tc>
          <w:tcPr>
            <w:tcW w:w="2120" w:type="dxa"/>
            <w:vAlign w:val="bottom"/>
            <w:tcBorders>
              <w:bottom w:val="single" w:sz="8" w:color="3051F2"/>
            </w:tcBorders>
            <w:gridSpan w:val="5"/>
            <w:shd w:val="clear" w:color="auto" w:fill="CCEEFF"/>
          </w:tcPr>
          <w:p>
            <w:pPr>
              <w:ind w:left="20"/>
              <w:spacing w:after="0" w:line="126" w:lineRule="exact"/>
              <w:rPr>
                <w:sz w:val="20"/>
                <w:szCs w:val="20"/>
                <w:color w:val="auto"/>
              </w:rPr>
            </w:pPr>
            <w:r>
              <w:rPr>
                <w:rFonts w:ascii="Times New Roman" w:cs="Times New Roman" w:eastAsia="Times New Roman" w:hAnsi="Times New Roman"/>
                <w:sz w:val="12"/>
                <w:szCs w:val="12"/>
                <w:color w:val="3051F2"/>
                <w:w w:val="98"/>
              </w:rPr>
              <w:t>Closing Press Release, dated May 18, 2026.</w:t>
            </w:r>
          </w:p>
        </w:tc>
        <w:tc>
          <w:tcPr>
            <w:tcW w:w="8160" w:type="dxa"/>
            <w:vAlign w:val="bottom"/>
            <w:tcBorders>
              <w:bottom w:val="single" w:sz="8" w:color="CCEEFF"/>
            </w:tcBorders>
            <w:gridSpan w:val="3"/>
            <w:shd w:val="clear" w:color="auto" w:fill="CCEEFF"/>
          </w:tcPr>
          <w:p>
            <w:pPr>
              <w:spacing w:after="0"/>
              <w:rPr>
                <w:sz w:val="13"/>
                <w:szCs w:val="13"/>
                <w:color w:val="auto"/>
              </w:rPr>
            </w:pPr>
          </w:p>
        </w:tc>
      </w:tr>
      <w:tr>
        <w:trPr>
          <w:trHeight w:val="189"/>
        </w:trPr>
        <w:tc>
          <w:tcPr>
            <w:tcW w:w="102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10280" w:type="dxa"/>
            <w:vAlign w:val="bottom"/>
            <w:gridSpan w:val="8"/>
          </w:tcPr>
          <w:p>
            <w:pPr>
              <w:ind w:left="20"/>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bl>
    <w:p>
      <w:pPr>
        <w:spacing w:after="0" w:line="169" w:lineRule="exact"/>
        <w:rPr>
          <w:sz w:val="20"/>
          <w:szCs w:val="20"/>
          <w:color w:val="auto"/>
        </w:rPr>
      </w:pPr>
    </w:p>
    <w:p>
      <w:pPr>
        <w:ind w:left="200" w:right="560" w:hanging="100"/>
        <w:spacing w:after="0" w:line="264" w:lineRule="auto"/>
        <w:tabs>
          <w:tab w:leader="none" w:pos="302"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portions of this exhibit (indicated by “[***]”) have been omitted pursuant to Item 601(b)(10)(iv) of Regulation S-K because it is not material and is the type of information that the Registrant treats as private or confidential. The Registrant agrees to furnish supplementally a copy of such schedules, or any section thereof, to the SEC upon request.</w:t>
      </w:r>
    </w:p>
    <w:p>
      <w:pPr>
        <w:sectPr>
          <w:pgSz w:w="11900" w:h="16838" w:orient="portrait"/>
          <w:cols w:equalWidth="0" w:num="1">
            <w:col w:w="11300"/>
          </w:cols>
          <w:pgMar w:left="300" w:top="989" w:right="2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SIGNATURE</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060" w:type="dxa"/>
            <w:vAlign w:val="bottom"/>
          </w:tcPr>
          <w:p>
            <w:pPr>
              <w:spacing w:after="0"/>
              <w:rPr>
                <w:sz w:val="20"/>
                <w:szCs w:val="20"/>
                <w:color w:val="auto"/>
              </w:rPr>
            </w:pPr>
            <w:r>
              <w:rPr>
                <w:rFonts w:ascii="Times New Roman" w:cs="Times New Roman" w:eastAsia="Times New Roman" w:hAnsi="Times New Roman"/>
                <w:sz w:val="12"/>
                <w:szCs w:val="12"/>
                <w:color w:val="auto"/>
              </w:rPr>
              <w:t>Dated:</w:t>
            </w:r>
          </w:p>
        </w:tc>
        <w:tc>
          <w:tcPr>
            <w:tcW w:w="1400" w:type="dxa"/>
            <w:vAlign w:val="bottom"/>
          </w:tcPr>
          <w:p>
            <w:pPr>
              <w:ind w:left="720"/>
              <w:spacing w:after="0"/>
              <w:rPr>
                <w:sz w:val="20"/>
                <w:szCs w:val="20"/>
                <w:color w:val="auto"/>
              </w:rPr>
            </w:pPr>
            <w:r>
              <w:rPr>
                <w:rFonts w:ascii="Times New Roman" w:cs="Times New Roman" w:eastAsia="Times New Roman" w:hAnsi="Times New Roman"/>
                <w:sz w:val="12"/>
                <w:szCs w:val="12"/>
                <w:color w:val="auto"/>
                <w:w w:val="98"/>
              </w:rPr>
              <w:t>May 21, 2026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198310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83105" cy="5715"/>
                    </a:xfrm>
                    <a:prstGeom prst="rect">
                      <a:avLst/>
                    </a:prstGeom>
                    <a:noFill/>
                  </pic:spPr>
                </pic:pic>
              </a:graphicData>
            </a:graphic>
          </wp:anchor>
        </w:drawing>
      </w:r>
    </w:p>
    <w:p>
      <w:pPr>
        <w:spacing w:after="0" w:line="5" w:lineRule="exact"/>
        <w:rPr>
          <w:sz w:val="20"/>
          <w:szCs w:val="20"/>
          <w:color w:val="auto"/>
        </w:rPr>
      </w:pPr>
    </w:p>
    <w:tbl>
      <w:tblPr>
        <w:tblLayout w:type="fixed"/>
        <w:tblInd w:w="6060" w:type="dxa"/>
        <w:tblCellMar>
          <w:top w:w="0" w:type="dxa"/>
          <w:left w:w="0" w:type="dxa"/>
          <w:bottom w:w="0" w:type="dxa"/>
          <w:right w:w="0" w:type="dxa"/>
        </w:tblCellMar>
      </w:tblPr>
      <w:tr>
        <w:trPr>
          <w:trHeight w:val="155"/>
        </w:trPr>
        <w:tc>
          <w:tcPr>
            <w:tcW w:w="78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4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 Dr. Raluca Dinu</w:t>
            </w:r>
          </w:p>
        </w:tc>
        <w:tc>
          <w:tcPr>
            <w:tcW w:w="0" w:type="dxa"/>
            <w:vAlign w:val="bottom"/>
          </w:tcPr>
          <w:p>
            <w:pPr>
              <w:spacing w:after="0"/>
              <w:rPr>
                <w:sz w:val="1"/>
                <w:szCs w:val="1"/>
                <w:color w:val="auto"/>
              </w:rPr>
            </w:pPr>
          </w:p>
        </w:tc>
      </w:tr>
      <w:tr>
        <w:trPr>
          <w:trHeight w:val="27"/>
        </w:trPr>
        <w:tc>
          <w:tcPr>
            <w:tcW w:w="7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Name:</w:t>
            </w:r>
          </w:p>
        </w:tc>
        <w:tc>
          <w:tcPr>
            <w:tcW w:w="4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780" w:type="dxa"/>
            <w:vAlign w:val="bottom"/>
            <w:vMerge w:val="continue"/>
          </w:tcPr>
          <w:p>
            <w:pPr>
              <w:spacing w:after="0"/>
              <w:rPr>
                <w:sz w:val="13"/>
                <w:szCs w:val="13"/>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Dr. Raluca Dinu</w:t>
            </w:r>
          </w:p>
        </w:tc>
        <w:tc>
          <w:tcPr>
            <w:tcW w:w="0" w:type="dxa"/>
            <w:vAlign w:val="bottom"/>
          </w:tcPr>
          <w:p>
            <w:pPr>
              <w:spacing w:after="0"/>
              <w:rPr>
                <w:sz w:val="1"/>
                <w:szCs w:val="1"/>
                <w:color w:val="auto"/>
              </w:rPr>
            </w:pPr>
          </w:p>
        </w:tc>
      </w:tr>
      <w:tr>
        <w:trPr>
          <w:trHeight w:val="189"/>
        </w:trPr>
        <w:tc>
          <w:tcPr>
            <w:tcW w:w="78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4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Executive Officer</w:t>
            </w:r>
          </w:p>
        </w:tc>
        <w:tc>
          <w:tcPr>
            <w:tcW w:w="0" w:type="dxa"/>
            <w:vAlign w:val="bottom"/>
          </w:tcPr>
          <w:p>
            <w:pPr>
              <w:spacing w:after="0"/>
              <w:rPr>
                <w:sz w:val="1"/>
                <w:szCs w:val="1"/>
                <w:color w:val="auto"/>
              </w:rPr>
            </w:pPr>
          </w:p>
        </w:tc>
      </w:tr>
    </w:tbl>
    <w:p>
      <w:pPr>
        <w:sectPr>
          <w:pgSz w:w="11900" w:h="16838" w:orient="portrait"/>
          <w:cols w:equalWidth="0" w:num="1">
            <w:col w:w="11300"/>
          </w:cols>
          <w:pgMar w:left="300" w:top="1277" w:right="2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2"/>
          <w:szCs w:val="12"/>
          <w:b w:val="1"/>
          <w:bCs w:val="1"/>
          <w:color w:val="auto"/>
        </w:rPr>
        <w:t>Exhibit 1.1</w:t>
      </w:r>
    </w:p>
    <w:p>
      <w:pPr>
        <w:spacing w:after="0" w:line="200" w:lineRule="exact"/>
        <w:rPr>
          <w:sz w:val="20"/>
          <w:szCs w:val="20"/>
          <w:color w:val="auto"/>
        </w:rPr>
      </w:pPr>
    </w:p>
    <w:p>
      <w:pPr>
        <w:spacing w:after="0" w:line="31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4"/>
          <w:szCs w:val="14"/>
          <w:b w:val="1"/>
          <w:bCs w:val="1"/>
          <w:color w:val="auto"/>
        </w:rPr>
        <w:t>1,200,000 SHARES OF COMMON STOCK,</w:t>
      </w:r>
    </w:p>
    <w:p>
      <w:pPr>
        <w:spacing w:after="0" w:line="15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b w:val="1"/>
          <w:bCs w:val="1"/>
          <w:color w:val="auto"/>
        </w:rPr>
        <w:t>AND</w:t>
      </w:r>
    </w:p>
    <w:p>
      <w:pPr>
        <w:spacing w:after="0" w:line="154"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4"/>
          <w:szCs w:val="14"/>
          <w:b w:val="1"/>
          <w:bCs w:val="1"/>
          <w:color w:val="auto"/>
        </w:rPr>
        <w:t>800,000 PRE-FUNDED WARRANTS EXERCISABLE INTO UP TO 800,000 SHARES OF COMMON STOCK.</w:t>
      </w:r>
    </w:p>
    <w:p>
      <w:pPr>
        <w:spacing w:after="0" w:line="16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b w:val="1"/>
          <w:bCs w:val="1"/>
          <w:color w:val="auto"/>
        </w:rPr>
        <w:t>QT IMAGING HOLDINGS, INC.</w:t>
      </w:r>
    </w:p>
    <w:p>
      <w:pPr>
        <w:spacing w:after="0" w:line="15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b w:val="1"/>
          <w:bCs w:val="1"/>
          <w:color w:val="auto"/>
        </w:rPr>
        <w:t>UNDERWRITING AGREEMENT</w:t>
      </w:r>
    </w:p>
    <w:p>
      <w:pPr>
        <w:spacing w:after="0" w:line="300" w:lineRule="exact"/>
        <w:rPr>
          <w:sz w:val="20"/>
          <w:szCs w:val="20"/>
          <w:color w:val="auto"/>
        </w:rPr>
      </w:pPr>
    </w:p>
    <w:p>
      <w:pPr>
        <w:ind w:left="10500"/>
        <w:spacing w:after="0"/>
        <w:rPr>
          <w:sz w:val="20"/>
          <w:szCs w:val="20"/>
          <w:color w:val="auto"/>
        </w:rPr>
      </w:pPr>
      <w:r>
        <w:rPr>
          <w:rFonts w:ascii="Times New Roman" w:cs="Times New Roman" w:eastAsia="Times New Roman" w:hAnsi="Times New Roman"/>
          <w:sz w:val="14"/>
          <w:szCs w:val="14"/>
          <w:color w:val="auto"/>
        </w:rPr>
        <w:t>May 15, 2026</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Ladenburg Thalmann &amp; Co.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640 Fifth Avenue, 4th Floor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 10019</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As the Representative of the Several underwriters, if any, named in </w:t>
      </w:r>
      <w:r>
        <w:rPr>
          <w:rFonts w:ascii="Times New Roman" w:cs="Times New Roman" w:eastAsia="Times New Roman" w:hAnsi="Times New Roman"/>
          <w:sz w:val="14"/>
          <w:szCs w:val="14"/>
          <w:u w:val="single" w:color="auto"/>
          <w:color w:val="auto"/>
        </w:rPr>
        <w:t>Schedule I</w:t>
      </w:r>
      <w:r>
        <w:rPr>
          <w:rFonts w:ascii="Times New Roman" w:cs="Times New Roman" w:eastAsia="Times New Roman" w:hAnsi="Times New Roman"/>
          <w:sz w:val="14"/>
          <w:szCs w:val="14"/>
          <w:color w:val="auto"/>
        </w:rPr>
        <w:t xml:space="preserve"> hereto</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54"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The undersigned, QT Imaging Holdings, Inc., a company incorporated under the laws of Delaware (collectively with its subsidiaries and affiliates, including, without limitation, all entities disclosed or described in the Registration Statement as being subsidiaries or affiliates of QT Imaging Holdings, Inc.,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hereby confirms its agreement (this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with the several underwriters (such underwriters, including the Representative (as defined below), the “</w:t>
      </w:r>
      <w:r>
        <w:rPr>
          <w:rFonts w:ascii="Times New Roman" w:cs="Times New Roman" w:eastAsia="Times New Roman" w:hAnsi="Times New Roman"/>
          <w:sz w:val="14"/>
          <w:szCs w:val="14"/>
          <w:u w:val="single" w:color="auto"/>
          <w:color w:val="auto"/>
        </w:rPr>
        <w:t>Underwriters</w:t>
      </w:r>
      <w:r>
        <w:rPr>
          <w:rFonts w:ascii="Times New Roman" w:cs="Times New Roman" w:eastAsia="Times New Roman" w:hAnsi="Times New Roman"/>
          <w:sz w:val="14"/>
          <w:szCs w:val="14"/>
          <w:color w:val="auto"/>
        </w:rPr>
        <w:t>” and each an “</w:t>
      </w:r>
      <w:r>
        <w:rPr>
          <w:rFonts w:ascii="Times New Roman" w:cs="Times New Roman" w:eastAsia="Times New Roman" w:hAnsi="Times New Roman"/>
          <w:sz w:val="14"/>
          <w:szCs w:val="14"/>
          <w:u w:val="single" w:color="auto"/>
          <w:color w:val="auto"/>
        </w:rPr>
        <w:t>Underwriter</w:t>
      </w:r>
      <w:r>
        <w:rPr>
          <w:rFonts w:ascii="Times New Roman" w:cs="Times New Roman" w:eastAsia="Times New Roman" w:hAnsi="Times New Roman"/>
          <w:sz w:val="14"/>
          <w:szCs w:val="14"/>
          <w:color w:val="auto"/>
        </w:rPr>
        <w:t xml:space="preserve">”) named in </w:t>
      </w:r>
      <w:r>
        <w:rPr>
          <w:rFonts w:ascii="Times New Roman" w:cs="Times New Roman" w:eastAsia="Times New Roman" w:hAnsi="Times New Roman"/>
          <w:sz w:val="14"/>
          <w:szCs w:val="14"/>
          <w:u w:val="single" w:color="auto"/>
          <w:color w:val="auto"/>
        </w:rPr>
        <w:t>Schedule I</w:t>
      </w:r>
      <w:r>
        <w:rPr>
          <w:rFonts w:ascii="Times New Roman" w:cs="Times New Roman" w:eastAsia="Times New Roman" w:hAnsi="Times New Roman"/>
          <w:sz w:val="14"/>
          <w:szCs w:val="14"/>
          <w:color w:val="auto"/>
        </w:rPr>
        <w:t xml:space="preserve"> hereto for which Ladenburg Thalmann &amp; Co. Inc. is acting as representative to the several Underwriters (the “</w:t>
      </w:r>
      <w:r>
        <w:rPr>
          <w:rFonts w:ascii="Times New Roman" w:cs="Times New Roman" w:eastAsia="Times New Roman" w:hAnsi="Times New Roman"/>
          <w:sz w:val="14"/>
          <w:szCs w:val="14"/>
          <w:u w:val="single" w:color="auto"/>
          <w:color w:val="auto"/>
        </w:rPr>
        <w:t>Representative</w:t>
      </w:r>
      <w:r>
        <w:rPr>
          <w:rFonts w:ascii="Times New Roman" w:cs="Times New Roman" w:eastAsia="Times New Roman" w:hAnsi="Times New Roman"/>
          <w:sz w:val="14"/>
          <w:szCs w:val="14"/>
          <w:color w:val="auto"/>
        </w:rPr>
        <w:t>” and if there are no Underwriters other than the Representative, references to multiple Underwriters shall be disregarded and the term Representative as used herein shall have the same meaning as Underwriter) on the terms and conditions set forth herein.</w:t>
      </w:r>
    </w:p>
    <w:p>
      <w:pPr>
        <w:spacing w:after="0" w:line="109"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It is understood that the several Underwriters are to make a public offering of the Closing Securities as soon as the Representative deems it advisable to do so. The Closing Securities are to be initially offered to the public at the public offering price set forth in the Prospectus. The Representative may from time to time thereafter change the public offering price and other selling terms.</w:t>
      </w:r>
    </w:p>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It is further understood that you will act as the Representative for the Underwriters in the offering and sale of the Closing Securities in accordance with this Agreement.</w:t>
      </w:r>
    </w:p>
    <w:p>
      <w:pPr>
        <w:sectPr>
          <w:pgSz w:w="11900" w:h="16838" w:orient="portrait"/>
          <w:cols w:equalWidth="0" w:num="1">
            <w:col w:w="11300"/>
          </w:cols>
          <w:pgMar w:left="300" w:top="125" w:right="299" w:bottom="1440" w:gutter="0" w:footer="0" w:header="0"/>
        </w:sectPr>
      </w:pPr>
    </w:p>
    <w:bookmarkStart w:id="5" w:name="page6"/>
    <w:bookmarkEnd w:id="5"/>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ARTICLE I.</w:t>
      </w:r>
    </w:p>
    <w:p>
      <w:pPr>
        <w:spacing w:after="0" w:line="2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DEFINITIONS</w:t>
      </w:r>
    </w:p>
    <w:p>
      <w:pPr>
        <w:spacing w:after="0" w:line="13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1.1</w:t>
      </w:r>
      <w:r>
        <w:rPr>
          <w:sz w:val="20"/>
          <w:szCs w:val="20"/>
          <w:color w:val="auto"/>
        </w:rPr>
        <w:tab/>
      </w:r>
      <w:r>
        <w:rPr>
          <w:rFonts w:ascii="Times New Roman" w:cs="Times New Roman" w:eastAsia="Times New Roman" w:hAnsi="Times New Roman"/>
          <w:sz w:val="14"/>
          <w:szCs w:val="14"/>
          <w:u w:val="single" w:color="auto"/>
          <w:color w:val="auto"/>
        </w:rPr>
        <w:t>Definitions</w:t>
      </w:r>
      <w:r>
        <w:rPr>
          <w:rFonts w:ascii="Times New Roman" w:cs="Times New Roman" w:eastAsia="Times New Roman" w:hAnsi="Times New Roman"/>
          <w:sz w:val="14"/>
          <w:szCs w:val="14"/>
          <w:color w:val="auto"/>
        </w:rPr>
        <w:t>. In addition to the terms defined elsewhere in this Agreement, for all purposes of this Agreement, the following terms have the meanings set forth in this Section 1.1:</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Action</w:t>
      </w:r>
      <w:r>
        <w:rPr>
          <w:rFonts w:ascii="Times New Roman" w:cs="Times New Roman" w:eastAsia="Times New Roman" w:hAnsi="Times New Roman"/>
          <w:sz w:val="14"/>
          <w:szCs w:val="14"/>
          <w:color w:val="auto"/>
        </w:rPr>
        <w:t>” shall have the meaning ascribed to such term in Section 3.1(k).</w:t>
      </w:r>
    </w:p>
    <w:p>
      <w:pPr>
        <w:spacing w:after="0" w:line="154" w:lineRule="exact"/>
        <w:rPr>
          <w:sz w:val="20"/>
          <w:szCs w:val="20"/>
          <w:color w:val="auto"/>
        </w:rPr>
      </w:pPr>
    </w:p>
    <w:p>
      <w:pPr>
        <w:jc w:val="both"/>
        <w:ind w:right="20" w:firstLine="432"/>
        <w:spacing w:after="0" w:line="29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Affiliate</w:t>
      </w:r>
      <w:r>
        <w:rPr>
          <w:rFonts w:ascii="Times New Roman" w:cs="Times New Roman" w:eastAsia="Times New Roman" w:hAnsi="Times New Roman"/>
          <w:sz w:val="14"/>
          <w:szCs w:val="14"/>
          <w:color w:val="auto"/>
        </w:rPr>
        <w:t>” means with respect to any Person, any other Person that, directly or indirectly through one or more intermediaries, controls or is controlled by or is under common control with such Person as such terms are used in and construed under Rule 405 under the Securities Act.</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Board of Directors</w:t>
      </w:r>
      <w:r>
        <w:rPr>
          <w:rFonts w:ascii="Times New Roman" w:cs="Times New Roman" w:eastAsia="Times New Roman" w:hAnsi="Times New Roman"/>
          <w:sz w:val="14"/>
          <w:szCs w:val="14"/>
          <w:color w:val="auto"/>
        </w:rPr>
        <w:t>” means the board of directors of the Company.</w:t>
      </w:r>
    </w:p>
    <w:p>
      <w:pPr>
        <w:spacing w:after="0" w:line="154"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Business Day</w:t>
      </w:r>
      <w:r>
        <w:rPr>
          <w:rFonts w:ascii="Times New Roman" w:cs="Times New Roman" w:eastAsia="Times New Roman" w:hAnsi="Times New Roman"/>
          <w:sz w:val="14"/>
          <w:szCs w:val="14"/>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Closing</w:t>
      </w:r>
      <w:r>
        <w:rPr>
          <w:rFonts w:ascii="Times New Roman" w:cs="Times New Roman" w:eastAsia="Times New Roman" w:hAnsi="Times New Roman"/>
          <w:sz w:val="14"/>
          <w:szCs w:val="14"/>
          <w:color w:val="auto"/>
        </w:rPr>
        <w:t>” means the closing of the purchase and sale of the Closing Securities pursuant to Section 2.1.</w:t>
      </w:r>
    </w:p>
    <w:p>
      <w:pPr>
        <w:spacing w:after="0" w:line="154" w:lineRule="exact"/>
        <w:rPr>
          <w:sz w:val="20"/>
          <w:szCs w:val="20"/>
          <w:color w:val="auto"/>
        </w:rPr>
      </w:pPr>
    </w:p>
    <w:p>
      <w:pPr>
        <w:jc w:val="both"/>
        <w:ind w:right="20" w:firstLine="432"/>
        <w:spacing w:after="0" w:line="25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Closing Date</w:t>
      </w:r>
      <w:r>
        <w:rPr>
          <w:rFonts w:ascii="Times New Roman" w:cs="Times New Roman" w:eastAsia="Times New Roman" w:hAnsi="Times New Roman"/>
          <w:sz w:val="14"/>
          <w:szCs w:val="14"/>
          <w:color w:val="auto"/>
        </w:rPr>
        <w:t>” means the hour and the date on the Trading Day on which all conditions precedent to (i) the Underwriters’ obligations to pay the Closing Purchase Price and (ii) the Company’s obligations to deliver the Closing Securities, in each case, have been satisfied or waived, but in no event later than 10:00 a.m. (New York City time) on the first (1st) Trading Day following the date hereof (or the second (2</w:t>
      </w:r>
      <w:r>
        <w:rPr>
          <w:rFonts w:ascii="Times New Roman" w:cs="Times New Roman" w:eastAsia="Times New Roman" w:hAnsi="Times New Roman"/>
          <w:sz w:val="18"/>
          <w:szCs w:val="18"/>
          <w:color w:val="auto"/>
          <w:vertAlign w:val="superscript"/>
        </w:rPr>
        <w:t>nd</w:t>
      </w:r>
      <w:r>
        <w:rPr>
          <w:rFonts w:ascii="Times New Roman" w:cs="Times New Roman" w:eastAsia="Times New Roman" w:hAnsi="Times New Roman"/>
          <w:sz w:val="14"/>
          <w:szCs w:val="14"/>
          <w:color w:val="auto"/>
        </w:rPr>
        <w:t>) Trading Day following the date hereof if this Agreement is signed on a day that is not a Trading Day or after 4:00 p.m. (New York City time) and before midnight (New York City time) on a Trading Day) or at such earlier time as shall be agreed upon by the Representative and the Company.</w:t>
      </w:r>
    </w:p>
    <w:p>
      <w:pPr>
        <w:spacing w:after="0" w:line="118" w:lineRule="exact"/>
        <w:rPr>
          <w:sz w:val="20"/>
          <w:szCs w:val="20"/>
          <w:color w:val="auto"/>
        </w:rPr>
      </w:pPr>
    </w:p>
    <w:p>
      <w:pPr>
        <w:jc w:val="both"/>
        <w:ind w:right="20" w:firstLine="432"/>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Closing Purchase Price</w:t>
      </w:r>
      <w:r>
        <w:rPr>
          <w:rFonts w:ascii="Times New Roman" w:cs="Times New Roman" w:eastAsia="Times New Roman" w:hAnsi="Times New Roman"/>
          <w:sz w:val="14"/>
          <w:szCs w:val="14"/>
          <w:color w:val="auto"/>
        </w:rPr>
        <w:t>” shall have the meaning ascribed to such term in Section 2.1(b), which aggregate purchase price shall be net of the underwriting discounts and commissions.</w:t>
      </w:r>
    </w:p>
    <w:p>
      <w:pPr>
        <w:spacing w:after="0" w:line="3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Closing Securities</w:t>
      </w:r>
      <w:r>
        <w:rPr>
          <w:rFonts w:ascii="Times New Roman" w:cs="Times New Roman" w:eastAsia="Times New Roman" w:hAnsi="Times New Roman"/>
          <w:sz w:val="14"/>
          <w:szCs w:val="14"/>
          <w:color w:val="auto"/>
        </w:rPr>
        <w:t>” shall have the meaning ascribed to such term in Section 2.1(a)(ii).</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Closing Shares</w:t>
      </w:r>
      <w:r>
        <w:rPr>
          <w:rFonts w:ascii="Times New Roman" w:cs="Times New Roman" w:eastAsia="Times New Roman" w:hAnsi="Times New Roman"/>
          <w:sz w:val="14"/>
          <w:szCs w:val="14"/>
          <w:color w:val="auto"/>
        </w:rPr>
        <w:t>” shall have the meaning ascribed to such term in Section 2.1(a)(i).</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Commission</w:t>
      </w:r>
      <w:r>
        <w:rPr>
          <w:rFonts w:ascii="Times New Roman" w:cs="Times New Roman" w:eastAsia="Times New Roman" w:hAnsi="Times New Roman"/>
          <w:sz w:val="14"/>
          <w:szCs w:val="14"/>
          <w:color w:val="auto"/>
        </w:rPr>
        <w:t>” means the United States Securities and Exchange Commission.</w:t>
      </w:r>
    </w:p>
    <w:p>
      <w:pPr>
        <w:sectPr>
          <w:pgSz w:w="11900" w:h="16838" w:orient="portrait"/>
          <w:cols w:equalWidth="0" w:num="1">
            <w:col w:w="10880"/>
          </w:cols>
          <w:pgMar w:left="720" w:top="848" w:right="299" w:bottom="1440" w:gutter="0" w:footer="0" w:header="0"/>
        </w:sectPr>
      </w:pPr>
    </w:p>
    <w:bookmarkStart w:id="6" w:name="page7"/>
    <w:bookmarkEnd w:id="6"/>
    <w:p>
      <w:pPr>
        <w:jc w:val="both"/>
        <w:ind w:right="20" w:firstLine="432"/>
        <w:spacing w:after="0" w:line="29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Common Stock</w:t>
      </w:r>
      <w:r>
        <w:rPr>
          <w:rFonts w:ascii="Times New Roman" w:cs="Times New Roman" w:eastAsia="Times New Roman" w:hAnsi="Times New Roman"/>
          <w:sz w:val="14"/>
          <w:szCs w:val="14"/>
          <w:color w:val="auto"/>
        </w:rPr>
        <w:t>” means the common stock of the Company, par value $0.0001 per share, and any other class of securities into which such securities may hereafter be reclassified or changed.</w:t>
      </w:r>
    </w:p>
    <w:p>
      <w:pPr>
        <w:spacing w:after="0" w:line="90"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Common Stock Equivalents</w:t>
      </w:r>
      <w:r>
        <w:rPr>
          <w:rFonts w:ascii="Times New Roman" w:cs="Times New Roman" w:eastAsia="Times New Roman" w:hAnsi="Times New Roman"/>
          <w:sz w:val="14"/>
          <w:szCs w:val="14"/>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Auditor</w:t>
      </w:r>
      <w:r>
        <w:rPr>
          <w:rFonts w:ascii="Times New Roman" w:cs="Times New Roman" w:eastAsia="Times New Roman" w:hAnsi="Times New Roman"/>
          <w:sz w:val="14"/>
          <w:szCs w:val="14"/>
          <w:color w:val="auto"/>
        </w:rPr>
        <w:t>” means BPM LLP, with offices located at 10 S. Almaden Blvd., #1000, San Jose, California 95113.</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Counsel</w:t>
      </w:r>
      <w:r>
        <w:rPr>
          <w:rFonts w:ascii="Times New Roman" w:cs="Times New Roman" w:eastAsia="Times New Roman" w:hAnsi="Times New Roman"/>
          <w:sz w:val="14"/>
          <w:szCs w:val="14"/>
          <w:color w:val="auto"/>
        </w:rPr>
        <w:t>” means DLA Piper LLP (US), with offices located at 555 Mission Street, Suite 2400, San Francisco, California 94105.</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IP Counsel</w:t>
      </w:r>
      <w:r>
        <w:rPr>
          <w:rFonts w:ascii="Times New Roman" w:cs="Times New Roman" w:eastAsia="Times New Roman" w:hAnsi="Times New Roman"/>
          <w:sz w:val="14"/>
          <w:szCs w:val="14"/>
          <w:color w:val="auto"/>
        </w:rPr>
        <w:t>” means Talem IP Law LLP, with offices located at 1204 NW 69th Terrace, Suite A, Gainesville, FL 32605.</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Effective Date</w:t>
      </w:r>
      <w:r>
        <w:rPr>
          <w:rFonts w:ascii="Times New Roman" w:cs="Times New Roman" w:eastAsia="Times New Roman" w:hAnsi="Times New Roman"/>
          <w:sz w:val="14"/>
          <w:szCs w:val="14"/>
          <w:color w:val="auto"/>
        </w:rPr>
        <w:t>” shall have the meaning ascribed to such term in Section 3.1(f).</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Evaluation Date</w:t>
      </w:r>
      <w:r>
        <w:rPr>
          <w:rFonts w:ascii="Times New Roman" w:cs="Times New Roman" w:eastAsia="Times New Roman" w:hAnsi="Times New Roman"/>
          <w:sz w:val="14"/>
          <w:szCs w:val="14"/>
          <w:color w:val="auto"/>
        </w:rPr>
        <w:t>” shall have the meaning ascribed to such term in Section 3.1(s).</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Exchange Act</w:t>
      </w:r>
      <w:r>
        <w:rPr>
          <w:rFonts w:ascii="Times New Roman" w:cs="Times New Roman" w:eastAsia="Times New Roman" w:hAnsi="Times New Roman"/>
          <w:sz w:val="14"/>
          <w:szCs w:val="14"/>
          <w:color w:val="auto"/>
        </w:rPr>
        <w:t>” means the Securities Exchange Act of 1934, as amended, and the rules and regulations promulgated thereunder.</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Execution Date</w:t>
      </w:r>
      <w:r>
        <w:rPr>
          <w:rFonts w:ascii="Times New Roman" w:cs="Times New Roman" w:eastAsia="Times New Roman" w:hAnsi="Times New Roman"/>
          <w:sz w:val="14"/>
          <w:szCs w:val="14"/>
          <w:color w:val="auto"/>
        </w:rPr>
        <w:t>” shall mean the date on which the parties execute and enter into this Agreement.</w:t>
      </w:r>
    </w:p>
    <w:p>
      <w:pPr>
        <w:spacing w:after="0" w:line="154"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Exempt Issuance</w:t>
      </w:r>
      <w:r>
        <w:rPr>
          <w:rFonts w:ascii="Times New Roman" w:cs="Times New Roman" w:eastAsia="Times New Roman" w:hAnsi="Times New Roman"/>
          <w:sz w:val="14"/>
          <w:szCs w:val="14"/>
          <w:color w:val="auto"/>
        </w:rPr>
        <w:t>” means the issuance of (a) shares of Common Stock or options to employees, officers or directors of the Company pursuant to any stock or option plan duly adopted for such purpose by a majority of the non-employee members of the Board of Directors or a majority of the members of a committee of non-employee directors established for such purpose for services rendered to the Company, (b) securities upon the exercise or exchange of or conversion of any Securities issued hereunder, any securities upon exercise of warrants and/or other securities exercisable or exchangeable for or convertible into shares of Common Stock issued and outstanding on the date of this Agreement, including any outstanding options or restricted stock units, provided that such securities have not been amended since the date of this Agreement to increase the number of such securities or to decrease the exercise price, exchange price or conversion price of such securities (except for such decreases in exercise, exchange or conversion price and corresponding increases in the number of shares of Common Stock into which such securities are exercisable in accordance with the terms of such securities) or to extend the term of such securities, and (c)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4.19(a) herein, and provided that any such issuance shall only be to a Person (or</w:t>
      </w:r>
    </w:p>
    <w:p>
      <w:pPr>
        <w:sectPr>
          <w:pgSz w:w="11900" w:h="16838" w:orient="portrait"/>
          <w:cols w:equalWidth="0" w:num="1">
            <w:col w:w="10880"/>
          </w:cols>
          <w:pgMar w:left="720" w:top="778" w:right="299" w:bottom="1440" w:gutter="0" w:footer="0" w:header="0"/>
        </w:sectPr>
      </w:pPr>
    </w:p>
    <w:bookmarkStart w:id="7" w:name="page8"/>
    <w:bookmarkEnd w:id="7"/>
    <w:p>
      <w:pPr>
        <w:jc w:val="both"/>
        <w:spacing w:after="0" w:line="275" w:lineRule="auto"/>
        <w:rPr>
          <w:sz w:val="20"/>
          <w:szCs w:val="20"/>
          <w:color w:val="auto"/>
        </w:rPr>
      </w:pPr>
      <w:r>
        <w:rPr>
          <w:rFonts w:ascii="Times New Roman" w:cs="Times New Roman" w:eastAsia="Times New Roman" w:hAnsi="Times New Roman"/>
          <w:sz w:val="14"/>
          <w:szCs w:val="14"/>
          <w:color w:val="auto"/>
        </w:rPr>
        <w:t>to the equity 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FCPA</w:t>
      </w:r>
      <w:r>
        <w:rPr>
          <w:rFonts w:ascii="Times New Roman" w:cs="Times New Roman" w:eastAsia="Times New Roman" w:hAnsi="Times New Roman"/>
          <w:sz w:val="14"/>
          <w:szCs w:val="14"/>
          <w:color w:val="auto"/>
        </w:rPr>
        <w:t>” means the Foreign Corrupt Practices Act of 1977, as amended.</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FINRA</w:t>
      </w:r>
      <w:r>
        <w:rPr>
          <w:rFonts w:ascii="Times New Roman" w:cs="Times New Roman" w:eastAsia="Times New Roman" w:hAnsi="Times New Roman"/>
          <w:sz w:val="14"/>
          <w:szCs w:val="14"/>
          <w:color w:val="auto"/>
        </w:rPr>
        <w:t>” means the Financial Industry Regulatory Authority.</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GAAP</w:t>
      </w:r>
      <w:r>
        <w:rPr>
          <w:rFonts w:ascii="Times New Roman" w:cs="Times New Roman" w:eastAsia="Times New Roman" w:hAnsi="Times New Roman"/>
          <w:sz w:val="14"/>
          <w:szCs w:val="14"/>
          <w:color w:val="auto"/>
        </w:rPr>
        <w:t>” shall have the meaning ascribed to such term in Section 3.1(i).</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Indebtedness</w:t>
      </w:r>
      <w:r>
        <w:rPr>
          <w:rFonts w:ascii="Times New Roman" w:cs="Times New Roman" w:eastAsia="Times New Roman" w:hAnsi="Times New Roman"/>
          <w:sz w:val="14"/>
          <w:szCs w:val="14"/>
          <w:color w:val="auto"/>
        </w:rPr>
        <w:t>” means (a) any liabilities for borrowed money or amounts owed in excess of $50,000 (other than trade accounts payable incurred in the ordinary course of business),</w:t>
      </w:r>
    </w:p>
    <w:p>
      <w:pPr>
        <w:spacing w:after="0" w:line="26" w:lineRule="exact"/>
        <w:rPr>
          <w:sz w:val="20"/>
          <w:szCs w:val="20"/>
          <w:color w:val="auto"/>
        </w:rPr>
      </w:pPr>
    </w:p>
    <w:p>
      <w:pPr>
        <w:jc w:val="both"/>
        <w:ind w:firstLine="4"/>
        <w:spacing w:after="0" w:line="270" w:lineRule="auto"/>
        <w:tabs>
          <w:tab w:leader="none" w:pos="215"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(c) the present value of any lease payments in excess of $50,000 due under leases required to be capitalized in accordance with GAAP.</w:t>
      </w:r>
    </w:p>
    <w:p>
      <w:pPr>
        <w:spacing w:after="0" w:line="1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Liens</w:t>
      </w:r>
      <w:r>
        <w:rPr>
          <w:rFonts w:ascii="Times New Roman" w:cs="Times New Roman" w:eastAsia="Times New Roman" w:hAnsi="Times New Roman"/>
          <w:sz w:val="14"/>
          <w:szCs w:val="14"/>
          <w:color w:val="auto"/>
        </w:rPr>
        <w:t>” means a lien, charge, pledge, security interest, encumbrance, right of first refusal, preemptive right or other restriction.</w:t>
      </w:r>
    </w:p>
    <w:p>
      <w:pPr>
        <w:spacing w:after="0" w:line="154" w:lineRule="exact"/>
        <w:rPr>
          <w:sz w:val="20"/>
          <w:szCs w:val="20"/>
          <w:color w:val="auto"/>
        </w:rPr>
      </w:pPr>
    </w:p>
    <w:p>
      <w:pPr>
        <w:jc w:val="both"/>
        <w:ind w:right="20" w:firstLine="432"/>
        <w:spacing w:after="0" w:line="29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Lock-Up Agreements</w:t>
      </w:r>
      <w:r>
        <w:rPr>
          <w:rFonts w:ascii="Times New Roman" w:cs="Times New Roman" w:eastAsia="Times New Roman" w:hAnsi="Times New Roman"/>
          <w:sz w:val="14"/>
          <w:szCs w:val="14"/>
          <w:color w:val="auto"/>
        </w:rPr>
        <w:t xml:space="preserve">” means the lock-up agreements, in the form of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attached hereto, delivered on the date hereof by each of the Company’s officers and directors and the stockholders of the Company that are set forth on </w:t>
      </w:r>
      <w:r>
        <w:rPr>
          <w:rFonts w:ascii="Times New Roman" w:cs="Times New Roman" w:eastAsia="Times New Roman" w:hAnsi="Times New Roman"/>
          <w:sz w:val="14"/>
          <w:szCs w:val="14"/>
          <w:u w:val="single" w:color="auto"/>
          <w:color w:val="auto"/>
        </w:rPr>
        <w:t>Schedule II</w:t>
      </w:r>
      <w:r>
        <w:rPr>
          <w:rFonts w:ascii="Times New Roman" w:cs="Times New Roman" w:eastAsia="Times New Roman" w:hAnsi="Times New Roman"/>
          <w:sz w:val="14"/>
          <w:szCs w:val="14"/>
          <w:color w:val="auto"/>
        </w:rPr>
        <w:t xml:space="preserve"> hereto.</w:t>
      </w:r>
    </w:p>
    <w:p>
      <w:pPr>
        <w:spacing w:after="0" w:line="9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Material Adverse Effect</w:t>
      </w:r>
      <w:r>
        <w:rPr>
          <w:rFonts w:ascii="Times New Roman" w:cs="Times New Roman" w:eastAsia="Times New Roman" w:hAnsi="Times New Roman"/>
          <w:sz w:val="14"/>
          <w:szCs w:val="14"/>
          <w:color w:val="auto"/>
        </w:rPr>
        <w:t>” means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Offering</w:t>
      </w:r>
      <w:r>
        <w:rPr>
          <w:rFonts w:ascii="Times New Roman" w:cs="Times New Roman" w:eastAsia="Times New Roman" w:hAnsi="Times New Roman"/>
          <w:sz w:val="14"/>
          <w:szCs w:val="14"/>
          <w:color w:val="auto"/>
        </w:rPr>
        <w:t>” shall have the meaning ascribed to such term in Section 2.1(c).</w:t>
      </w:r>
    </w:p>
    <w:p>
      <w:pPr>
        <w:spacing w:after="0" w:line="154"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Person</w:t>
      </w:r>
      <w:r>
        <w:rPr>
          <w:rFonts w:ascii="Times New Roman" w:cs="Times New Roman" w:eastAsia="Times New Roman" w:hAnsi="Times New Roman"/>
          <w:sz w:val="14"/>
          <w:szCs w:val="14"/>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99" w:lineRule="exact"/>
        <w:rPr>
          <w:sz w:val="20"/>
          <w:szCs w:val="20"/>
          <w:color w:val="auto"/>
        </w:rPr>
      </w:pPr>
    </w:p>
    <w:p>
      <w:pPr>
        <w:jc w:val="both"/>
        <w:ind w:right="20" w:firstLine="432"/>
        <w:spacing w:after="0" w:line="29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Pre-Funded Warrants</w:t>
      </w:r>
      <w:r>
        <w:rPr>
          <w:rFonts w:ascii="Times New Roman" w:cs="Times New Roman" w:eastAsia="Times New Roman" w:hAnsi="Times New Roman"/>
          <w:sz w:val="14"/>
          <w:szCs w:val="14"/>
          <w:color w:val="auto"/>
        </w:rPr>
        <w:t xml:space="preserve">” means, collectively, the pre-funded Common Stock purchase warrants delivered to the Underwriters in accordance with Section 2.1(a)(ii), which Pre-Funded Warrants shall be exercisable immediately and shall be exercisable until exercised in full, in the form of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attached hereto.</w:t>
      </w:r>
    </w:p>
    <w:p>
      <w:pPr>
        <w:sectPr>
          <w:pgSz w:w="11900" w:h="16838" w:orient="portrait"/>
          <w:cols w:equalWidth="0" w:num="1">
            <w:col w:w="10880"/>
          </w:cols>
          <w:pgMar w:left="720" w:top="778" w:right="299" w:bottom="1440" w:gutter="0" w:footer="0" w:header="0"/>
        </w:sectPr>
      </w:pPr>
    </w:p>
    <w:bookmarkStart w:id="8" w:name="page9"/>
    <w:bookmarkEnd w:id="8"/>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Pre-Funded Warrant Shares</w:t>
      </w:r>
      <w:r>
        <w:rPr>
          <w:rFonts w:ascii="Times New Roman" w:cs="Times New Roman" w:eastAsia="Times New Roman" w:hAnsi="Times New Roman"/>
          <w:sz w:val="14"/>
          <w:szCs w:val="14"/>
          <w:color w:val="auto"/>
        </w:rPr>
        <w:t>” means the shares of Common Stock issuable upon exercise of the Pre-Funded Warrants.</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Preliminary Prospectus</w:t>
      </w:r>
      <w:r>
        <w:rPr>
          <w:rFonts w:ascii="Times New Roman" w:cs="Times New Roman" w:eastAsia="Times New Roman" w:hAnsi="Times New Roman"/>
          <w:sz w:val="14"/>
          <w:szCs w:val="14"/>
          <w:color w:val="auto"/>
        </w:rPr>
        <w:t>” means any preliminary prospectus relating to the Securities included in the Registration Statement or filed with the Commission pursuant to Rule 424(b).</w:t>
      </w:r>
    </w:p>
    <w:p>
      <w:pPr>
        <w:spacing w:after="0" w:line="154" w:lineRule="exact"/>
        <w:rPr>
          <w:sz w:val="20"/>
          <w:szCs w:val="20"/>
          <w:color w:val="auto"/>
        </w:rPr>
      </w:pPr>
    </w:p>
    <w:p>
      <w:pPr>
        <w:jc w:val="both"/>
        <w:ind w:right="20" w:firstLine="432"/>
        <w:spacing w:after="0" w:line="30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Proceeding</w:t>
      </w:r>
      <w:r>
        <w:rPr>
          <w:rFonts w:ascii="Times New Roman" w:cs="Times New Roman" w:eastAsia="Times New Roman" w:hAnsi="Times New Roman"/>
          <w:sz w:val="14"/>
          <w:szCs w:val="14"/>
          <w:color w:val="auto"/>
        </w:rPr>
        <w:t>” means an action, claim, suit, investigation or proceeding (including, without limitation, an informal investigation or partial proceeding, such as a deposition), whether commenced or threatened.</w:t>
      </w:r>
    </w:p>
    <w:p>
      <w:pPr>
        <w:spacing w:after="0" w:line="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Prospectus</w:t>
      </w:r>
      <w:r>
        <w:rPr>
          <w:rFonts w:ascii="Times New Roman" w:cs="Times New Roman" w:eastAsia="Times New Roman" w:hAnsi="Times New Roman"/>
          <w:sz w:val="14"/>
          <w:szCs w:val="14"/>
          <w:color w:val="auto"/>
        </w:rPr>
        <w:t>” means the final prospectus filed for the Registration Statement.</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Prospectus Supplement</w:t>
      </w:r>
      <w:r>
        <w:rPr>
          <w:rFonts w:ascii="Times New Roman" w:cs="Times New Roman" w:eastAsia="Times New Roman" w:hAnsi="Times New Roman"/>
          <w:sz w:val="14"/>
          <w:szCs w:val="14"/>
          <w:color w:val="auto"/>
        </w:rPr>
        <w:t>” means, if any, any supplement to the Prospectus complying with Rule 424(b) of the Securities Act that is filed with the Commission.</w:t>
      </w:r>
    </w:p>
    <w:p>
      <w:pPr>
        <w:spacing w:after="0" w:line="15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Registration Statement</w:t>
      </w:r>
      <w:r>
        <w:rPr>
          <w:rFonts w:ascii="Times New Roman" w:cs="Times New Roman" w:eastAsia="Times New Roman" w:hAnsi="Times New Roman"/>
          <w:sz w:val="14"/>
          <w:szCs w:val="14"/>
          <w:color w:val="auto"/>
        </w:rPr>
        <w:t>” means, collectively, the various parts of the registration statement prepared by the Company on Form S-3 (File No. 333-294705) with respect to the Securities, each as amended as of the date hereof, including the Preliminary Prospectus, the Prospectus and Prospectus Supplement, if any, all SEC Reports incorporated by reference into such registration statement and all exhibits filed with or incorporated by reference into such registration statement, and includes any Rule 462(b) Registration Statement.</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Required Approvals</w:t>
      </w:r>
      <w:r>
        <w:rPr>
          <w:rFonts w:ascii="Times New Roman" w:cs="Times New Roman" w:eastAsia="Times New Roman" w:hAnsi="Times New Roman"/>
          <w:sz w:val="14"/>
          <w:szCs w:val="14"/>
          <w:color w:val="auto"/>
        </w:rPr>
        <w:t>” shall have the meaning ascribed to such term in Section 3.1(e).</w:t>
      </w:r>
    </w:p>
    <w:p>
      <w:pPr>
        <w:spacing w:after="0" w:line="154"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Rule 424</w:t>
      </w:r>
      <w:r>
        <w:rPr>
          <w:rFonts w:ascii="Times New Roman" w:cs="Times New Roman" w:eastAsia="Times New Roman" w:hAnsi="Times New Roman"/>
          <w:sz w:val="14"/>
          <w:szCs w:val="14"/>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90"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Rule 462(b) Registration Statement</w:t>
      </w:r>
      <w:r>
        <w:rPr>
          <w:rFonts w:ascii="Times New Roman" w:cs="Times New Roman" w:eastAsia="Times New Roman" w:hAnsi="Times New Roman"/>
          <w:sz w:val="14"/>
          <w:szCs w:val="14"/>
          <w:color w:val="auto"/>
        </w:rPr>
        <w:t>” means any registration statement prepared by the Company registering additional Closing Securities, which was filed with the Commission on or prior to the date hereof and became automatically effective pursuant to Rule 462(b) promulgated by the Commission pursuant to the Securities Act.</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 Reports</w:t>
      </w:r>
      <w:r>
        <w:rPr>
          <w:rFonts w:ascii="Times New Roman" w:cs="Times New Roman" w:eastAsia="Times New Roman" w:hAnsi="Times New Roman"/>
          <w:sz w:val="14"/>
          <w:szCs w:val="14"/>
          <w:color w:val="auto"/>
        </w:rPr>
        <w:t>” shall have the meaning ascribed to such term in Section 3.1(i).</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Securities</w:t>
      </w:r>
      <w:r>
        <w:rPr>
          <w:rFonts w:ascii="Times New Roman" w:cs="Times New Roman" w:eastAsia="Times New Roman" w:hAnsi="Times New Roman"/>
          <w:sz w:val="14"/>
          <w:szCs w:val="14"/>
          <w:color w:val="auto"/>
        </w:rPr>
        <w:t>” means the Closing Securities, and the Pre-Funded Warrant Shares.</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Securities Act</w:t>
      </w:r>
      <w:r>
        <w:rPr>
          <w:rFonts w:ascii="Times New Roman" w:cs="Times New Roman" w:eastAsia="Times New Roman" w:hAnsi="Times New Roman"/>
          <w:sz w:val="14"/>
          <w:szCs w:val="14"/>
          <w:color w:val="auto"/>
        </w:rPr>
        <w:t>” means the Securities Act of 1933, as amended, and the rules and regulations promulgated thereunder.</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Share Purchase Price</w:t>
      </w:r>
      <w:r>
        <w:rPr>
          <w:rFonts w:ascii="Times New Roman" w:cs="Times New Roman" w:eastAsia="Times New Roman" w:hAnsi="Times New Roman"/>
          <w:sz w:val="14"/>
          <w:szCs w:val="14"/>
          <w:color w:val="auto"/>
        </w:rPr>
        <w:t>” shall have the meaning ascribed to such term in Section 2.1(b).</w:t>
      </w:r>
    </w:p>
    <w:p>
      <w:pPr>
        <w:sectPr>
          <w:pgSz w:w="11900" w:h="16838" w:orient="portrait"/>
          <w:cols w:equalWidth="0" w:num="1">
            <w:col w:w="10880"/>
          </w:cols>
          <w:pgMar w:left="720" w:top="778" w:right="299" w:bottom="1440" w:gutter="0" w:footer="0" w:header="0"/>
        </w:sectPr>
      </w:pPr>
    </w:p>
    <w:bookmarkStart w:id="9" w:name="page10"/>
    <w:bookmarkEnd w:id="9"/>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Shares</w:t>
      </w:r>
      <w:r>
        <w:rPr>
          <w:rFonts w:ascii="Times New Roman" w:cs="Times New Roman" w:eastAsia="Times New Roman" w:hAnsi="Times New Roman"/>
          <w:sz w:val="14"/>
          <w:szCs w:val="14"/>
          <w:color w:val="auto"/>
        </w:rPr>
        <w:t>” means, collectively, the shares of Common Stock delivered to the Underwriters in accordance with Section 2.1(a)(i) and Section 2.2(a).</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Subsidiary</w:t>
      </w:r>
      <w:r>
        <w:rPr>
          <w:rFonts w:ascii="Times New Roman" w:cs="Times New Roman" w:eastAsia="Times New Roman" w:hAnsi="Times New Roman"/>
          <w:sz w:val="14"/>
          <w:szCs w:val="14"/>
          <w:color w:val="auto"/>
        </w:rPr>
        <w:t>” means any subsidiary of the Company and shall, where applicable, also include any direct or indirect subsidiary of the Company formed or acquired after the date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hereof.</w:t>
      </w:r>
    </w:p>
    <w:p>
      <w:pPr>
        <w:spacing w:after="0" w:line="1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SRFC</w:t>
      </w:r>
      <w:r>
        <w:rPr>
          <w:rFonts w:ascii="Times New Roman" w:cs="Times New Roman" w:eastAsia="Times New Roman" w:hAnsi="Times New Roman"/>
          <w:sz w:val="14"/>
          <w:szCs w:val="14"/>
          <w:color w:val="auto"/>
        </w:rPr>
        <w:t>” means Sichenzia Ross Ference Carmel LLP, with offices located at 1185 Avenue of the Americas, New York, New York 10036.</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Trading Day</w:t>
      </w:r>
      <w:r>
        <w:rPr>
          <w:rFonts w:ascii="Times New Roman" w:cs="Times New Roman" w:eastAsia="Times New Roman" w:hAnsi="Times New Roman"/>
          <w:sz w:val="14"/>
          <w:szCs w:val="14"/>
          <w:color w:val="auto"/>
        </w:rPr>
        <w:t>” means a day on which the principal Trading Market is open for trading.</w:t>
      </w:r>
    </w:p>
    <w:p>
      <w:pPr>
        <w:spacing w:after="0" w:line="154" w:lineRule="exact"/>
        <w:rPr>
          <w:sz w:val="20"/>
          <w:szCs w:val="20"/>
          <w:color w:val="auto"/>
        </w:rPr>
      </w:pPr>
    </w:p>
    <w:p>
      <w:pPr>
        <w:ind w:right="20" w:firstLine="432"/>
        <w:spacing w:after="0" w:line="29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Trading Market</w:t>
      </w:r>
      <w:r>
        <w:rPr>
          <w:rFonts w:ascii="Times New Roman" w:cs="Times New Roman" w:eastAsia="Times New Roman" w:hAnsi="Times New Roman"/>
          <w:sz w:val="14"/>
          <w:szCs w:val="14"/>
          <w:color w:val="auto"/>
        </w:rPr>
        <w:t>” means any of the following markets or exchanges on which the Common Stock is listed or quoted for trading on the date in question: the Nasdaq Capital Market, the Nasdaq Global Market, the Nasdaq Global Select Market, the NYSE American or the New York Stock Exchange (or any successors to any of the foregoing).</w:t>
      </w:r>
    </w:p>
    <w:p>
      <w:pPr>
        <w:spacing w:after="0" w:line="90" w:lineRule="exact"/>
        <w:rPr>
          <w:sz w:val="20"/>
          <w:szCs w:val="20"/>
          <w:color w:val="auto"/>
        </w:rPr>
      </w:pPr>
    </w:p>
    <w:p>
      <w:pPr>
        <w:ind w:firstLine="432"/>
        <w:spacing w:after="0" w:line="30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Transaction Documents</w:t>
      </w:r>
      <w:r>
        <w:rPr>
          <w:rFonts w:ascii="Times New Roman" w:cs="Times New Roman" w:eastAsia="Times New Roman" w:hAnsi="Times New Roman"/>
          <w:sz w:val="14"/>
          <w:szCs w:val="14"/>
          <w:color w:val="auto"/>
        </w:rPr>
        <w:t>” means this Agreement, the Pre-Funded Warrants, the Warrant Agency Agreement, the Lock-Up Agreements, and any other documents or agreements executed in connection with the transactions contemplated hereunder.</w:t>
      </w:r>
    </w:p>
    <w:p>
      <w:pPr>
        <w:spacing w:after="0" w:line="80" w:lineRule="exact"/>
        <w:rPr>
          <w:sz w:val="20"/>
          <w:szCs w:val="20"/>
          <w:color w:val="auto"/>
        </w:rPr>
      </w:pPr>
    </w:p>
    <w:p>
      <w:pPr>
        <w:ind w:firstLine="432"/>
        <w:spacing w:after="0" w:line="29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Transfer Agent</w:t>
      </w:r>
      <w:r>
        <w:rPr>
          <w:rFonts w:ascii="Times New Roman" w:cs="Times New Roman" w:eastAsia="Times New Roman" w:hAnsi="Times New Roman"/>
          <w:sz w:val="14"/>
          <w:szCs w:val="14"/>
          <w:color w:val="auto"/>
        </w:rPr>
        <w:t>” means Continental Stock Transfer &amp; Trust Company, the current transfer agent of the Company with a mailing address of 1 State Street, 30th Floor, New York, New York 10004 and any successor transfer agent of the Company.</w:t>
      </w:r>
    </w:p>
    <w:p>
      <w:pPr>
        <w:spacing w:after="0" w:line="90" w:lineRule="exact"/>
        <w:rPr>
          <w:sz w:val="20"/>
          <w:szCs w:val="20"/>
          <w:color w:val="auto"/>
        </w:rPr>
      </w:pPr>
    </w:p>
    <w:p>
      <w:pPr>
        <w:ind w:right="20" w:firstLine="432"/>
        <w:spacing w:after="0" w:line="29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Warrant Agency Agreement</w:t>
      </w:r>
      <w:r>
        <w:rPr>
          <w:rFonts w:ascii="Times New Roman" w:cs="Times New Roman" w:eastAsia="Times New Roman" w:hAnsi="Times New Roman"/>
          <w:sz w:val="14"/>
          <w:szCs w:val="14"/>
          <w:color w:val="auto"/>
        </w:rPr>
        <w:t xml:space="preserve">” means the warrant agency agreement dated on or about the Closing Date, among the Company and the Transfer Agent in the form of </w:t>
      </w:r>
      <w:r>
        <w:rPr>
          <w:rFonts w:ascii="Times New Roman" w:cs="Times New Roman" w:eastAsia="Times New Roman" w:hAnsi="Times New Roman"/>
          <w:sz w:val="14"/>
          <w:szCs w:val="14"/>
          <w:u w:val="single" w:color="auto"/>
          <w:color w:val="auto"/>
        </w:rPr>
        <w:t>Exhibit C</w:t>
      </w:r>
      <w:r>
        <w:rPr>
          <w:rFonts w:ascii="Times New Roman" w:cs="Times New Roman" w:eastAsia="Times New Roman" w:hAnsi="Times New Roman"/>
          <w:sz w:val="14"/>
          <w:szCs w:val="14"/>
          <w:color w:val="auto"/>
        </w:rPr>
        <w:t xml:space="preserve"> attached hereto.</w:t>
      </w:r>
    </w:p>
    <w:p>
      <w:pPr>
        <w:spacing w:after="0" w:line="8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ARTICLE II.</w:t>
      </w:r>
    </w:p>
    <w:p>
      <w:pPr>
        <w:spacing w:after="0" w:line="2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PURCHASE AND SALE</w:t>
      </w:r>
    </w:p>
    <w:p>
      <w:pPr>
        <w:spacing w:after="0" w:line="14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2.1</w:t>
      </w:r>
      <w:r>
        <w:rPr>
          <w:sz w:val="20"/>
          <w:szCs w:val="20"/>
          <w:color w:val="auto"/>
        </w:rPr>
        <w:tab/>
      </w:r>
      <w:r>
        <w:rPr>
          <w:rFonts w:ascii="Times New Roman" w:cs="Times New Roman" w:eastAsia="Times New Roman" w:hAnsi="Times New Roman"/>
          <w:sz w:val="14"/>
          <w:szCs w:val="14"/>
          <w:u w:val="single" w:color="auto"/>
          <w:color w:val="auto"/>
        </w:rPr>
        <w:t>Closing</w:t>
      </w:r>
      <w:r>
        <w:rPr>
          <w:rFonts w:ascii="Times New Roman" w:cs="Times New Roman" w:eastAsia="Times New Roman" w:hAnsi="Times New Roman"/>
          <w:sz w:val="14"/>
          <w:szCs w:val="14"/>
          <w:color w:val="auto"/>
        </w:rPr>
        <w:t>.</w:t>
      </w:r>
    </w:p>
    <w:p>
      <w:pPr>
        <w:spacing w:after="0" w:line="154" w:lineRule="exact"/>
        <w:rPr>
          <w:sz w:val="20"/>
          <w:szCs w:val="20"/>
          <w:color w:val="auto"/>
        </w:rPr>
      </w:pPr>
    </w:p>
    <w:p>
      <w:pPr>
        <w:jc w:val="both"/>
        <w:ind w:firstLine="436"/>
        <w:spacing w:after="0" w:line="275" w:lineRule="auto"/>
        <w:tabs>
          <w:tab w:leader="none" w:pos="741"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terms and subject to the conditions set forth herein, the Company agrees to sell in the aggregate (i) 1,200,000 shares of Common Stock, and (ii) Pre-Funded Warrants exercisable for an aggregate of up to 800,000 shares of Common Stock, and each Underwriter agrees to purchase, severally and not jointly, at the Closing, the following securities of the Company:</w:t>
      </w:r>
    </w:p>
    <w:p>
      <w:pPr>
        <w:spacing w:after="0" w:line="112" w:lineRule="exact"/>
        <w:rPr>
          <w:rFonts w:ascii="Times New Roman" w:cs="Times New Roman" w:eastAsia="Times New Roman" w:hAnsi="Times New Roman"/>
          <w:sz w:val="14"/>
          <w:szCs w:val="14"/>
          <w:color w:val="auto"/>
        </w:rPr>
      </w:pPr>
    </w:p>
    <w:p>
      <w:pPr>
        <w:ind w:left="1140" w:hanging="272"/>
        <w:spacing w:after="0"/>
        <w:tabs>
          <w:tab w:leader="none" w:pos="1140"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Common Stock (the “</w:t>
      </w:r>
      <w:r>
        <w:rPr>
          <w:rFonts w:ascii="Times New Roman" w:cs="Times New Roman" w:eastAsia="Times New Roman" w:hAnsi="Times New Roman"/>
          <w:sz w:val="14"/>
          <w:szCs w:val="14"/>
          <w:u w:val="single" w:color="auto"/>
          <w:color w:val="auto"/>
        </w:rPr>
        <w:t>Closing Shares</w:t>
      </w:r>
      <w:r>
        <w:rPr>
          <w:rFonts w:ascii="Times New Roman" w:cs="Times New Roman" w:eastAsia="Times New Roman" w:hAnsi="Times New Roman"/>
          <w:sz w:val="14"/>
          <w:szCs w:val="14"/>
          <w:color w:val="auto"/>
        </w:rPr>
        <w:t xml:space="preserve">”) set forth opposite the name of such Underwriter on </w:t>
      </w:r>
      <w:r>
        <w:rPr>
          <w:rFonts w:ascii="Times New Roman" w:cs="Times New Roman" w:eastAsia="Times New Roman" w:hAnsi="Times New Roman"/>
          <w:sz w:val="14"/>
          <w:szCs w:val="14"/>
          <w:u w:val="single" w:color="auto"/>
          <w:color w:val="auto"/>
        </w:rPr>
        <w:t>Schedule I</w:t>
      </w:r>
      <w:r>
        <w:rPr>
          <w:rFonts w:ascii="Times New Roman" w:cs="Times New Roman" w:eastAsia="Times New Roman" w:hAnsi="Times New Roman"/>
          <w:sz w:val="14"/>
          <w:szCs w:val="14"/>
          <w:color w:val="auto"/>
        </w:rPr>
        <w:t xml:space="preserve"> hereof; and</w:t>
      </w:r>
    </w:p>
    <w:p>
      <w:pPr>
        <w:spacing w:after="0" w:line="154" w:lineRule="exact"/>
        <w:rPr>
          <w:rFonts w:ascii="Times New Roman" w:cs="Times New Roman" w:eastAsia="Times New Roman" w:hAnsi="Times New Roman"/>
          <w:sz w:val="14"/>
          <w:szCs w:val="14"/>
          <w:color w:val="auto"/>
        </w:rPr>
      </w:pPr>
    </w:p>
    <w:p>
      <w:pPr>
        <w:jc w:val="both"/>
        <w:ind w:left="440" w:firstLine="428"/>
        <w:spacing w:after="0" w:line="275" w:lineRule="auto"/>
        <w:tabs>
          <w:tab w:leader="none" w:pos="1199"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Pre-Funded Warrants to purchase up to the number of shares of Common Stock set forth opposite the name of such Underwriter on </w:t>
      </w:r>
      <w:r>
        <w:rPr>
          <w:rFonts w:ascii="Times New Roman" w:cs="Times New Roman" w:eastAsia="Times New Roman" w:hAnsi="Times New Roman"/>
          <w:sz w:val="14"/>
          <w:szCs w:val="14"/>
          <w:u w:val="single" w:color="auto"/>
          <w:color w:val="auto"/>
        </w:rPr>
        <w:t>Schedule I</w:t>
      </w:r>
      <w:r>
        <w:rPr>
          <w:rFonts w:ascii="Times New Roman" w:cs="Times New Roman" w:eastAsia="Times New Roman" w:hAnsi="Times New Roman"/>
          <w:sz w:val="14"/>
          <w:szCs w:val="14"/>
          <w:color w:val="auto"/>
        </w:rPr>
        <w:t xml:space="preserve"> hereof (the “</w:t>
      </w:r>
      <w:r>
        <w:rPr>
          <w:rFonts w:ascii="Times New Roman" w:cs="Times New Roman" w:eastAsia="Times New Roman" w:hAnsi="Times New Roman"/>
          <w:sz w:val="14"/>
          <w:szCs w:val="14"/>
          <w:u w:val="single" w:color="auto"/>
          <w:color w:val="auto"/>
        </w:rPr>
        <w:t>Pre-Funded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Warrants</w:t>
      </w:r>
      <w:r>
        <w:rPr>
          <w:rFonts w:ascii="Times New Roman" w:cs="Times New Roman" w:eastAsia="Times New Roman" w:hAnsi="Times New Roman"/>
          <w:sz w:val="14"/>
          <w:szCs w:val="14"/>
          <w:color w:val="auto"/>
        </w:rPr>
        <w:t>” and, collectively with the Closing Shares, the “</w:t>
      </w:r>
      <w:r>
        <w:rPr>
          <w:rFonts w:ascii="Times New Roman" w:cs="Times New Roman" w:eastAsia="Times New Roman" w:hAnsi="Times New Roman"/>
          <w:sz w:val="14"/>
          <w:szCs w:val="14"/>
          <w:u w:val="single" w:color="auto"/>
          <w:color w:val="auto"/>
        </w:rPr>
        <w:t>Closing Securities</w:t>
      </w:r>
      <w:r>
        <w:rPr>
          <w:rFonts w:ascii="Times New Roman" w:cs="Times New Roman" w:eastAsia="Times New Roman" w:hAnsi="Times New Roman"/>
          <w:sz w:val="14"/>
          <w:szCs w:val="14"/>
          <w:color w:val="auto"/>
        </w:rPr>
        <w:t>”) which Pre-Funded Warrants shall have an exercise price of $0.0001, subject to adjustment as provided therein.</w:t>
      </w:r>
    </w:p>
    <w:p>
      <w:pPr>
        <w:sectPr>
          <w:pgSz w:w="11900" w:h="16838" w:orient="portrait"/>
          <w:cols w:equalWidth="0" w:num="1">
            <w:col w:w="10880"/>
          </w:cols>
          <w:pgMar w:left="720" w:top="778" w:right="299" w:bottom="1440" w:gutter="0" w:footer="0" w:header="0"/>
        </w:sectPr>
      </w:pPr>
    </w:p>
    <w:bookmarkStart w:id="10" w:name="page11"/>
    <w:bookmarkEnd w:id="10"/>
    <w:p>
      <w:pPr>
        <w:ind w:firstLine="436"/>
        <w:spacing w:after="0" w:line="295" w:lineRule="auto"/>
        <w:tabs>
          <w:tab w:leader="none" w:pos="77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aggregate purchase price for the Closing Securities shall equal the amount set forth opposite the name of such Underwriter on </w:t>
      </w:r>
      <w:r>
        <w:rPr>
          <w:rFonts w:ascii="Times New Roman" w:cs="Times New Roman" w:eastAsia="Times New Roman" w:hAnsi="Times New Roman"/>
          <w:sz w:val="14"/>
          <w:szCs w:val="14"/>
          <w:u w:val="single" w:color="auto"/>
          <w:color w:val="auto"/>
        </w:rPr>
        <w:t>Schedule I</w:t>
      </w:r>
      <w:r>
        <w:rPr>
          <w:rFonts w:ascii="Times New Roman" w:cs="Times New Roman" w:eastAsia="Times New Roman" w:hAnsi="Times New Roman"/>
          <w:sz w:val="14"/>
          <w:szCs w:val="14"/>
          <w:color w:val="auto"/>
        </w:rPr>
        <w:t xml:space="preserve"> hereto (the “</w:t>
      </w:r>
      <w:r>
        <w:rPr>
          <w:rFonts w:ascii="Times New Roman" w:cs="Times New Roman" w:eastAsia="Times New Roman" w:hAnsi="Times New Roman"/>
          <w:sz w:val="14"/>
          <w:szCs w:val="14"/>
          <w:u w:val="single" w:color="auto"/>
          <w:color w:val="auto"/>
        </w:rPr>
        <w:t>Closing Purchase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Price</w:t>
      </w:r>
      <w:r>
        <w:rPr>
          <w:rFonts w:ascii="Times New Roman" w:cs="Times New Roman" w:eastAsia="Times New Roman" w:hAnsi="Times New Roman"/>
          <w:sz w:val="14"/>
          <w:szCs w:val="14"/>
          <w:color w:val="auto"/>
        </w:rPr>
        <w:t>”). The purchase price for one Share shall be $4.65 (the “</w:t>
      </w:r>
      <w:r>
        <w:rPr>
          <w:rFonts w:ascii="Times New Roman" w:cs="Times New Roman" w:eastAsia="Times New Roman" w:hAnsi="Times New Roman"/>
          <w:sz w:val="14"/>
          <w:szCs w:val="14"/>
          <w:u w:val="single" w:color="auto"/>
          <w:color w:val="auto"/>
        </w:rPr>
        <w:t>Share Purchase Price</w:t>
      </w:r>
      <w:r>
        <w:rPr>
          <w:rFonts w:ascii="Times New Roman" w:cs="Times New Roman" w:eastAsia="Times New Roman" w:hAnsi="Times New Roman"/>
          <w:sz w:val="14"/>
          <w:szCs w:val="14"/>
          <w:color w:val="auto"/>
        </w:rPr>
        <w:t>”), and the purchase price for one Pre-Funded Warrant shall be $4.649907.</w:t>
      </w:r>
    </w:p>
    <w:p>
      <w:pPr>
        <w:spacing w:after="0" w:line="90" w:lineRule="exact"/>
        <w:rPr>
          <w:rFonts w:ascii="Times New Roman" w:cs="Times New Roman" w:eastAsia="Times New Roman" w:hAnsi="Times New Roman"/>
          <w:sz w:val="14"/>
          <w:szCs w:val="14"/>
          <w:color w:val="auto"/>
        </w:rPr>
      </w:pPr>
    </w:p>
    <w:p>
      <w:pPr>
        <w:jc w:val="both"/>
        <w:ind w:firstLine="436"/>
        <w:spacing w:after="0" w:line="268" w:lineRule="auto"/>
        <w:tabs>
          <w:tab w:leader="none" w:pos="795"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the Closing Date, each Underwriter shall deliver or cause to be delivered to the Company, via wire transfer, immediately available funds equal to such Underwriter’s Closing Purchase Price and the Company shall deliver to, or as directed by, such Underwriter its respective Closing Securities and the Company shall deliver the other items required pursuant to Section 2.3 deliverable at the Closing. Upon satisfaction of the covenants and conditions set forth in Sections 2.3 and 2.4, the Closing shall occur at the offices of SRFC or such other location as the Company and Representative shall mutually agree. The Closing Securities are to be offered initially to the public at the offering price set forth on the cover page of the Prospectus (the “</w:t>
      </w:r>
      <w:r>
        <w:rPr>
          <w:rFonts w:ascii="Times New Roman" w:cs="Times New Roman" w:eastAsia="Times New Roman" w:hAnsi="Times New Roman"/>
          <w:sz w:val="14"/>
          <w:szCs w:val="14"/>
          <w:u w:val="single" w:color="auto"/>
          <w:color w:val="auto"/>
        </w:rPr>
        <w:t>Offering</w:t>
      </w:r>
      <w:r>
        <w:rPr>
          <w:rFonts w:ascii="Times New Roman" w:cs="Times New Roman" w:eastAsia="Times New Roman" w:hAnsi="Times New Roman"/>
          <w:sz w:val="14"/>
          <w:szCs w:val="14"/>
          <w:color w:val="auto"/>
        </w:rPr>
        <w:t>”).</w:t>
      </w:r>
    </w:p>
    <w:p>
      <w:pPr>
        <w:spacing w:after="0" w:line="109" w:lineRule="exact"/>
        <w:rPr>
          <w:rFonts w:ascii="Times New Roman" w:cs="Times New Roman" w:eastAsia="Times New Roman" w:hAnsi="Times New Roman"/>
          <w:sz w:val="14"/>
          <w:szCs w:val="14"/>
          <w:color w:val="auto"/>
        </w:rPr>
      </w:pPr>
    </w:p>
    <w:p>
      <w:pPr>
        <w:jc w:val="both"/>
        <w:ind w:firstLine="436"/>
        <w:spacing w:after="0" w:line="270" w:lineRule="auto"/>
        <w:tabs>
          <w:tab w:leader="none" w:pos="76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acknowledges and agrees that, with respect to any Notice(s) of Exercise (as defined in the Pre-Funded Warrants) delivered by a Holder (as defined in the Pre-Funded Warrants) on or prior to 12:00 p.m. (New York City time) on the Closing Date, which Notice(s) of Exercise may be delivered at any time after the time of execution of this Agreement, the Company shall deliver the Pre-Funded Warrant Shares subject to such notice(s) to the Holder by 4:00 p.m. (New York City time) on the Closing Date and the Closing Date shall be the Warrant Share Delivery Date (as defined in the Pre-Funded Warrants). The Company acknowledges and agrees that the Holders are third-party beneficiaries of this covenant of the Company.</w:t>
      </w:r>
    </w:p>
    <w:p>
      <w:pPr>
        <w:spacing w:after="0" w:line="28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2.2</w:t>
      </w:r>
      <w:r>
        <w:rPr>
          <w:sz w:val="20"/>
          <w:szCs w:val="20"/>
          <w:color w:val="auto"/>
        </w:rPr>
        <w:tab/>
      </w:r>
      <w:r>
        <w:rPr>
          <w:rFonts w:ascii="Times New Roman" w:cs="Times New Roman" w:eastAsia="Times New Roman" w:hAnsi="Times New Roman"/>
          <w:sz w:val="14"/>
          <w:szCs w:val="14"/>
          <w:u w:val="single" w:color="auto"/>
          <w:color w:val="auto"/>
        </w:rPr>
        <w:t>Reserved.</w:t>
      </w:r>
    </w:p>
    <w:p>
      <w:pPr>
        <w:spacing w:after="0" w:line="15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2.3</w:t>
      </w:r>
      <w:r>
        <w:rPr>
          <w:sz w:val="20"/>
          <w:szCs w:val="20"/>
          <w:color w:val="auto"/>
        </w:rPr>
        <w:tab/>
      </w:r>
      <w:r>
        <w:rPr>
          <w:rFonts w:ascii="Times New Roman" w:cs="Times New Roman" w:eastAsia="Times New Roman" w:hAnsi="Times New Roman"/>
          <w:sz w:val="14"/>
          <w:szCs w:val="14"/>
          <w:u w:val="single" w:color="auto"/>
          <w:color w:val="auto"/>
        </w:rPr>
        <w:t>Deliveries</w:t>
      </w:r>
      <w:r>
        <w:rPr>
          <w:rFonts w:ascii="Times New Roman" w:cs="Times New Roman" w:eastAsia="Times New Roman" w:hAnsi="Times New Roman"/>
          <w:sz w:val="14"/>
          <w:szCs w:val="14"/>
          <w:color w:val="auto"/>
        </w:rPr>
        <w:t>. The Company shall deliver or cause to be delivered to each Underwriter (if applicable) the following:</w:t>
      </w:r>
    </w:p>
    <w:p>
      <w:pPr>
        <w:spacing w:after="0" w:line="163" w:lineRule="exact"/>
        <w:rPr>
          <w:sz w:val="20"/>
          <w:szCs w:val="20"/>
          <w:color w:val="auto"/>
        </w:rPr>
      </w:pPr>
    </w:p>
    <w:p>
      <w:pPr>
        <w:ind w:firstLine="436"/>
        <w:spacing w:after="0" w:line="295" w:lineRule="auto"/>
        <w:tabs>
          <w:tab w:leader="none" w:pos="71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Closing Date, the Closing Shares, which shares shall be delivered via The Depository Trust Company Deposit or Withdrawal at Custodian system for the accounts of the several Underwriters;</w:t>
      </w:r>
    </w:p>
    <w:p>
      <w:pPr>
        <w:spacing w:after="0" w:line="90" w:lineRule="exact"/>
        <w:rPr>
          <w:rFonts w:ascii="Times New Roman" w:cs="Times New Roman" w:eastAsia="Times New Roman" w:hAnsi="Times New Roman"/>
          <w:sz w:val="14"/>
          <w:szCs w:val="14"/>
          <w:color w:val="auto"/>
        </w:rPr>
      </w:pPr>
    </w:p>
    <w:p>
      <w:pPr>
        <w:ind w:left="740" w:hanging="304"/>
        <w:spacing w:after="0"/>
        <w:tabs>
          <w:tab w:leader="none" w:pos="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Closing Date, the Pre-Funded Warrants via The Depository Trust Company Deposit or Withdrawal at Custodian system for the accounts of the several Underwriters;</w:t>
      </w:r>
    </w:p>
    <w:p>
      <w:pPr>
        <w:spacing w:after="0" w:line="154" w:lineRule="exact"/>
        <w:rPr>
          <w:rFonts w:ascii="Times New Roman" w:cs="Times New Roman" w:eastAsia="Times New Roman" w:hAnsi="Times New Roman"/>
          <w:sz w:val="14"/>
          <w:szCs w:val="14"/>
          <w:color w:val="auto"/>
        </w:rPr>
      </w:pPr>
    </w:p>
    <w:p>
      <w:pPr>
        <w:ind w:left="780" w:hanging="344"/>
        <w:spacing w:after="0"/>
        <w:tabs>
          <w:tab w:leader="none" w:pos="7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Closing Date, the Warrant Agency Agreement duly executed by the parties thereto;</w:t>
      </w:r>
    </w:p>
    <w:p>
      <w:pPr>
        <w:spacing w:after="0" w:line="154" w:lineRule="exact"/>
        <w:rPr>
          <w:rFonts w:ascii="Times New Roman" w:cs="Times New Roman" w:eastAsia="Times New Roman" w:hAnsi="Times New Roman"/>
          <w:sz w:val="14"/>
          <w:szCs w:val="14"/>
          <w:color w:val="auto"/>
        </w:rPr>
      </w:pPr>
    </w:p>
    <w:p>
      <w:pPr>
        <w:jc w:val="both"/>
        <w:ind w:left="-420" w:firstLine="1288"/>
        <w:spacing w:after="0" w:line="282" w:lineRule="auto"/>
        <w:tabs>
          <w:tab w:leader="none" w:pos="1266"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Closing Date, (a) a legal opinion of Company Counsel addressed to the Underwriters, including, without limitation, a negative assurance letter, in form and substance reasonably satisfactory to the Representative, and (b) a legal opinion of Company IP Counsel, addressed to the Underwriters and in substantially the form and substance reasonably satisfactory to the Representative;</w:t>
      </w:r>
    </w:p>
    <w:p>
      <w:pPr>
        <w:sectPr>
          <w:pgSz w:w="11900" w:h="16838" w:orient="portrait"/>
          <w:cols w:equalWidth="0" w:num="1">
            <w:col w:w="10880"/>
          </w:cols>
          <w:pgMar w:left="720" w:top="778" w:right="299" w:bottom="1440" w:gutter="0" w:footer="0" w:header="0"/>
        </w:sectPr>
      </w:pPr>
    </w:p>
    <w:bookmarkStart w:id="11" w:name="page12"/>
    <w:bookmarkEnd w:id="11"/>
    <w:p>
      <w:pPr>
        <w:ind w:firstLine="436"/>
        <w:spacing w:after="0" w:line="295" w:lineRule="auto"/>
        <w:tabs>
          <w:tab w:leader="none" w:pos="761"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Contemporaneously herewith, a cold comfort letter, addressed to the Underwriters and in form and substance reasonably satisfactory to the Representative from the Company Auditor dated, respectively, as of the date of this Agreement and a bring-down letter dated as of the Closing Date;</w:t>
      </w:r>
    </w:p>
    <w:p>
      <w:pPr>
        <w:spacing w:after="0" w:line="90" w:lineRule="exact"/>
        <w:rPr>
          <w:rFonts w:ascii="Times New Roman" w:cs="Times New Roman" w:eastAsia="Times New Roman" w:hAnsi="Times New Roman"/>
          <w:sz w:val="14"/>
          <w:szCs w:val="14"/>
          <w:color w:val="auto"/>
        </w:rPr>
      </w:pPr>
    </w:p>
    <w:p>
      <w:pPr>
        <w:ind w:left="780" w:hanging="344"/>
        <w:spacing w:after="0"/>
        <w:tabs>
          <w:tab w:leader="none" w:pos="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the Closing Date, the duly executed and delivered Officers’ Certificate, substantially in form and substance reasonably satisfactory to the Representative;</w:t>
      </w:r>
    </w:p>
    <w:p>
      <w:pPr>
        <w:spacing w:after="0" w:line="163" w:lineRule="exact"/>
        <w:rPr>
          <w:rFonts w:ascii="Times New Roman" w:cs="Times New Roman" w:eastAsia="Times New Roman" w:hAnsi="Times New Roman"/>
          <w:sz w:val="14"/>
          <w:szCs w:val="14"/>
          <w:color w:val="auto"/>
        </w:rPr>
      </w:pPr>
    </w:p>
    <w:p>
      <w:pPr>
        <w:ind w:left="820" w:hanging="384"/>
        <w:spacing w:after="0"/>
        <w:tabs>
          <w:tab w:leader="none" w:pos="8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the Closing Date, the duly executed and delivered Secretary’s Certificate, substantially in form and substance reasonably satisfactory to the Representative; and</w:t>
      </w:r>
    </w:p>
    <w:p>
      <w:pPr>
        <w:spacing w:after="0" w:line="154" w:lineRule="exact"/>
        <w:rPr>
          <w:rFonts w:ascii="Times New Roman" w:cs="Times New Roman" w:eastAsia="Times New Roman" w:hAnsi="Times New Roman"/>
          <w:sz w:val="14"/>
          <w:szCs w:val="14"/>
          <w:color w:val="auto"/>
        </w:rPr>
      </w:pPr>
    </w:p>
    <w:p>
      <w:pPr>
        <w:ind w:left="860" w:hanging="424"/>
        <w:spacing w:after="0"/>
        <w:tabs>
          <w:tab w:leader="none" w:pos="8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Contemporaneously herewith, the duly executed and delivered Lock-Up Agreements.</w:t>
      </w:r>
    </w:p>
    <w:p>
      <w:pPr>
        <w:spacing w:after="0" w:line="15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2.4</w:t>
      </w:r>
      <w:r>
        <w:rPr>
          <w:sz w:val="20"/>
          <w:szCs w:val="20"/>
          <w:color w:val="auto"/>
        </w:rPr>
        <w:tab/>
      </w:r>
      <w:r>
        <w:rPr>
          <w:rFonts w:ascii="Times New Roman" w:cs="Times New Roman" w:eastAsia="Times New Roman" w:hAnsi="Times New Roman"/>
          <w:sz w:val="14"/>
          <w:szCs w:val="14"/>
          <w:u w:val="single" w:color="auto"/>
          <w:color w:val="auto"/>
        </w:rPr>
        <w:t>Closing Conditions</w:t>
      </w:r>
      <w:r>
        <w:rPr>
          <w:rFonts w:ascii="Times New Roman" w:cs="Times New Roman" w:eastAsia="Times New Roman" w:hAnsi="Times New Roman"/>
          <w:sz w:val="14"/>
          <w:szCs w:val="14"/>
          <w:color w:val="auto"/>
        </w:rPr>
        <w:t>. The respective obligations of each Underwriter hereunder in connection with the Closing are subject to the following conditions being met:</w:t>
      </w:r>
    </w:p>
    <w:p>
      <w:pPr>
        <w:spacing w:after="0" w:line="154" w:lineRule="exact"/>
        <w:rPr>
          <w:sz w:val="20"/>
          <w:szCs w:val="20"/>
          <w:color w:val="auto"/>
        </w:rPr>
      </w:pPr>
    </w:p>
    <w:p>
      <w:pPr>
        <w:ind w:firstLine="436"/>
        <w:spacing w:after="0" w:line="295" w:lineRule="auto"/>
        <w:tabs>
          <w:tab w:leader="none" w:pos="731"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accuracy in all material respects when made and on the date in question (other than representations and warranties of the Company already qualified by materiality, which shall be true and correct in all respects) of the representations and warranties of the Company contained herein (unless as of a specific date therein);</w:t>
      </w:r>
    </w:p>
    <w:p>
      <w:pPr>
        <w:spacing w:after="0" w:line="99" w:lineRule="exact"/>
        <w:rPr>
          <w:rFonts w:ascii="Times New Roman" w:cs="Times New Roman" w:eastAsia="Times New Roman" w:hAnsi="Times New Roman"/>
          <w:sz w:val="14"/>
          <w:szCs w:val="14"/>
          <w:color w:val="auto"/>
        </w:rPr>
      </w:pPr>
    </w:p>
    <w:p>
      <w:pPr>
        <w:ind w:left="760" w:hanging="324"/>
        <w:spacing w:after="0"/>
        <w:tabs>
          <w:tab w:leader="none" w:pos="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obligations, covenants and agreements of the Company required to be performed at or prior to the date in question shall have been performed in all material respects;</w:t>
      </w:r>
    </w:p>
    <w:p>
      <w:pPr>
        <w:spacing w:after="0" w:line="154" w:lineRule="exact"/>
        <w:rPr>
          <w:rFonts w:ascii="Times New Roman" w:cs="Times New Roman" w:eastAsia="Times New Roman" w:hAnsi="Times New Roman"/>
          <w:sz w:val="14"/>
          <w:szCs w:val="14"/>
          <w:color w:val="auto"/>
        </w:rPr>
      </w:pPr>
    </w:p>
    <w:p>
      <w:pPr>
        <w:ind w:left="800" w:hanging="364"/>
        <w:spacing w:after="0"/>
        <w:tabs>
          <w:tab w:leader="none" w:pos="8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delivery by the Company of the items set forth in Section 2.3 of this Agreement;</w:t>
      </w:r>
    </w:p>
    <w:p>
      <w:pPr>
        <w:spacing w:after="0" w:line="154" w:lineRule="exact"/>
        <w:rPr>
          <w:rFonts w:ascii="Times New Roman" w:cs="Times New Roman" w:eastAsia="Times New Roman" w:hAnsi="Times New Roman"/>
          <w:sz w:val="14"/>
          <w:szCs w:val="14"/>
          <w:color w:val="auto"/>
        </w:rPr>
      </w:pPr>
    </w:p>
    <w:p>
      <w:pPr>
        <w:jc w:val="both"/>
        <w:ind w:firstLine="436"/>
        <w:spacing w:after="0" w:line="275" w:lineRule="auto"/>
        <w:tabs>
          <w:tab w:leader="none" w:pos="82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Registration Statement shall be effective on the date of this Agreement and at each of the Closing Date, no stop order suspending the effectiveness of the Registration Statement shall have been issued and no proceedings for that purpose shall have been instituted or, to the Company’s knowledge, shall be pending or contemplated by the Commission and any request on the part of the Commission for additional information shall have been complied with to the reasonable satisfaction of the Representative;</w:t>
      </w:r>
    </w:p>
    <w:p>
      <w:pPr>
        <w:spacing w:after="0" w:line="103" w:lineRule="exact"/>
        <w:rPr>
          <w:rFonts w:ascii="Times New Roman" w:cs="Times New Roman" w:eastAsia="Times New Roman" w:hAnsi="Times New Roman"/>
          <w:sz w:val="14"/>
          <w:szCs w:val="14"/>
          <w:color w:val="auto"/>
        </w:rPr>
      </w:pPr>
    </w:p>
    <w:p>
      <w:pPr>
        <w:ind w:right="20" w:firstLine="436"/>
        <w:spacing w:after="0" w:line="309" w:lineRule="auto"/>
        <w:tabs>
          <w:tab w:leader="none" w:pos="797"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the Execution Date, if required by FINRA, the Underwriters shall have received clearance from FINRA as to the amount of compensation allowable or payable to the Underwriters as described in the Registration Statement;</w:t>
      </w:r>
    </w:p>
    <w:p>
      <w:pPr>
        <w:spacing w:after="0" w:line="80" w:lineRule="exact"/>
        <w:rPr>
          <w:rFonts w:ascii="Times New Roman" w:cs="Times New Roman" w:eastAsia="Times New Roman" w:hAnsi="Times New Roman"/>
          <w:sz w:val="14"/>
          <w:szCs w:val="14"/>
          <w:color w:val="auto"/>
        </w:rPr>
      </w:pPr>
    </w:p>
    <w:p>
      <w:pPr>
        <w:ind w:left="780" w:hanging="344"/>
        <w:spacing w:after="0"/>
        <w:tabs>
          <w:tab w:leader="none" w:pos="7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Closing Shares, and the Pre-Funded Warrant Shares have been approved for listing on the Trading Market, subject only to official notice of issuance; and</w:t>
      </w:r>
    </w:p>
    <w:p>
      <w:pPr>
        <w:spacing w:after="0" w:line="154" w:lineRule="exact"/>
        <w:rPr>
          <w:rFonts w:ascii="Times New Roman" w:cs="Times New Roman" w:eastAsia="Times New Roman" w:hAnsi="Times New Roman"/>
          <w:sz w:val="14"/>
          <w:szCs w:val="14"/>
          <w:color w:val="auto"/>
        </w:rPr>
      </w:pPr>
    </w:p>
    <w:p>
      <w:pPr>
        <w:ind w:firstLine="436"/>
        <w:spacing w:after="0" w:line="295" w:lineRule="auto"/>
        <w:tabs>
          <w:tab w:leader="none" w:pos="89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and on each of the Closing Date: (i) there shall have been no material adverse change or development involving a prospective material adverse change in the condition or prospects or the business activities, financial or otherwise, of the</w:t>
      </w:r>
    </w:p>
    <w:p>
      <w:pPr>
        <w:sectPr>
          <w:pgSz w:w="11900" w:h="16838" w:orient="portrait"/>
          <w:cols w:equalWidth="0" w:num="1">
            <w:col w:w="10880"/>
          </w:cols>
          <w:pgMar w:left="720" w:top="778" w:right="299" w:bottom="1440" w:gutter="0" w:footer="0" w:header="0"/>
        </w:sectPr>
      </w:pPr>
    </w:p>
    <w:bookmarkStart w:id="12" w:name="page13"/>
    <w:bookmarkEnd w:id="12"/>
    <w:p>
      <w:pPr>
        <w:jc w:val="both"/>
        <w:spacing w:after="0" w:line="263" w:lineRule="auto"/>
        <w:rPr>
          <w:sz w:val="20"/>
          <w:szCs w:val="20"/>
          <w:color w:val="auto"/>
        </w:rPr>
      </w:pPr>
      <w:r>
        <w:rPr>
          <w:rFonts w:ascii="Times New Roman" w:cs="Times New Roman" w:eastAsia="Times New Roman" w:hAnsi="Times New Roman"/>
          <w:sz w:val="14"/>
          <w:szCs w:val="14"/>
          <w:color w:val="auto"/>
        </w:rPr>
        <w:t>Company from the latest dates as of which such condition is set forth in the Registration Statement and Prospectus; (ii) no action suit or proceeding, at law or in equity, shall have been pending or threatened against the Company or any Affiliate of the Company before or by any court or federal or state commission, board or other administrative agency wherein an unfavorable decision, ruling or finding may materially adversely affect the business, operations, prospects or financial condition or income of the Company, except as set forth in the Registration Statement and Prospectus; (iii) no stop order shall have been issued under the Securities Act and no proceedings therefor shall have been initiated or threatened by the Commission with respect to the Registration Statement; and (iv) the Registration Statement and the Prospectus and any amendments or supplements thereto shall contain all material statements which are required to be stated therein in accordance with the Securities Act and the rules and regulations thereunder and shall conform in all material respects to the requirements of the Securities Act and the rules and regulations thereunder, and neither the Registration Statement nor the Prospectus nor any amendment or supplement thereto shall contain any untrue statement of a material fact or omit to state any material fact required to be stated therein or necessary to make the statements therein, in light of the circumstances under which they were made, not misleading.</w:t>
      </w:r>
    </w:p>
    <w:p>
      <w:pPr>
        <w:spacing w:after="0" w:line="28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ARTICLE III.</w:t>
      </w:r>
    </w:p>
    <w:p>
      <w:pPr>
        <w:spacing w:after="0" w:line="2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REPRESENTATIONS AND WARRANTIES</w:t>
      </w:r>
    </w:p>
    <w:p>
      <w:pPr>
        <w:spacing w:after="0" w:line="13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3.1</w:t>
      </w:r>
      <w:r>
        <w:rPr>
          <w:sz w:val="20"/>
          <w:szCs w:val="20"/>
          <w:color w:val="auto"/>
        </w:rPr>
        <w:tab/>
      </w:r>
      <w:r>
        <w:rPr>
          <w:rFonts w:ascii="Times New Roman" w:cs="Times New Roman" w:eastAsia="Times New Roman" w:hAnsi="Times New Roman"/>
          <w:sz w:val="14"/>
          <w:szCs w:val="14"/>
          <w:u w:val="single" w:color="auto"/>
          <w:color w:val="auto"/>
        </w:rPr>
        <w:t>Representations and Warranties of the Company</w:t>
      </w:r>
      <w:r>
        <w:rPr>
          <w:rFonts w:ascii="Times New Roman" w:cs="Times New Roman" w:eastAsia="Times New Roman" w:hAnsi="Times New Roman"/>
          <w:sz w:val="14"/>
          <w:szCs w:val="14"/>
          <w:color w:val="auto"/>
        </w:rPr>
        <w:t>. The Company represents and warrants to the Underwriters as of the Execution Date, and as of the Closing Date, as follows:</w:t>
      </w:r>
    </w:p>
    <w:p>
      <w:pPr>
        <w:spacing w:after="0" w:line="154" w:lineRule="exact"/>
        <w:rPr>
          <w:sz w:val="20"/>
          <w:szCs w:val="20"/>
          <w:color w:val="auto"/>
        </w:rPr>
      </w:pPr>
    </w:p>
    <w:p>
      <w:pPr>
        <w:jc w:val="both"/>
        <w:ind w:firstLine="436"/>
        <w:spacing w:after="0" w:line="282" w:lineRule="auto"/>
        <w:tabs>
          <w:tab w:leader="none" w:pos="754"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Subsidiaries</w:t>
      </w:r>
      <w:r>
        <w:rPr>
          <w:rFonts w:ascii="Times New Roman" w:cs="Times New Roman" w:eastAsia="Times New Roman" w:hAnsi="Times New Roman"/>
          <w:sz w:val="14"/>
          <w:szCs w:val="14"/>
          <w:color w:val="auto"/>
        </w:rPr>
        <w:t>. All of the direct and indirect Subsidiaries of the Company are set forth in the SEC Reports.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w:t>
      </w:r>
    </w:p>
    <w:p>
      <w:pPr>
        <w:spacing w:after="0" w:line="98" w:lineRule="exact"/>
        <w:rPr>
          <w:rFonts w:ascii="Times New Roman" w:cs="Times New Roman" w:eastAsia="Times New Roman" w:hAnsi="Times New Roman"/>
          <w:sz w:val="14"/>
          <w:szCs w:val="14"/>
          <w:color w:val="auto"/>
        </w:rPr>
      </w:pPr>
    </w:p>
    <w:p>
      <w:pPr>
        <w:jc w:val="both"/>
        <w:ind w:firstLine="436"/>
        <w:spacing w:after="0" w:line="263" w:lineRule="auto"/>
        <w:tabs>
          <w:tab w:leader="none" w:pos="76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Organization and Qualification</w:t>
      </w:r>
      <w:r>
        <w:rPr>
          <w:rFonts w:ascii="Times New Roman" w:cs="Times New Roman" w:eastAsia="Times New Roman" w:hAnsi="Times New Roman"/>
          <w:sz w:val="14"/>
          <w:szCs w:val="14"/>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a Material Adverse Effect and no Proceeding has been instituted in any such jurisdiction revoking, limiting or curtailing or seeking to revoke, limit or curtail such power and authority or qualification.</w:t>
      </w:r>
    </w:p>
    <w:p>
      <w:pPr>
        <w:sectPr>
          <w:pgSz w:w="11900" w:h="16838" w:orient="portrait"/>
          <w:cols w:equalWidth="0" w:num="1">
            <w:col w:w="10880"/>
          </w:cols>
          <w:pgMar w:left="720" w:top="778" w:right="299" w:bottom="1440" w:gutter="0" w:footer="0" w:header="0"/>
        </w:sectPr>
      </w:pPr>
    </w:p>
    <w:bookmarkStart w:id="13" w:name="page14"/>
    <w:bookmarkEnd w:id="13"/>
    <w:p>
      <w:pPr>
        <w:jc w:val="both"/>
        <w:ind w:left="-4" w:firstLine="436"/>
        <w:spacing w:after="0" w:line="259" w:lineRule="auto"/>
        <w:tabs>
          <w:tab w:leader="none" w:pos="75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Authorization; Enforcement</w:t>
      </w:r>
      <w:r>
        <w:rPr>
          <w:rFonts w:ascii="Times New Roman" w:cs="Times New Roman" w:eastAsia="Times New Roman" w:hAnsi="Times New Roman"/>
          <w:sz w:val="14"/>
          <w:szCs w:val="14"/>
          <w:color w:val="auto"/>
        </w:rPr>
        <w:t>. The Company has the requisite corporate power and authority to enter into and to consummate the transactions contemplated by this Agreement and each of the other Transaction Documents to which the Company is a party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the Company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w:t>
      </w:r>
    </w:p>
    <w:p>
      <w:pPr>
        <w:spacing w:after="0" w:line="4" w:lineRule="exact"/>
        <w:rPr>
          <w:rFonts w:ascii="Times New Roman" w:cs="Times New Roman" w:eastAsia="Times New Roman" w:hAnsi="Times New Roman"/>
          <w:sz w:val="14"/>
          <w:szCs w:val="14"/>
          <w:color w:val="auto"/>
        </w:rPr>
      </w:pPr>
    </w:p>
    <w:p>
      <w:pPr>
        <w:ind w:left="256" w:hanging="256"/>
        <w:spacing w:after="0"/>
        <w:tabs>
          <w:tab w:leader="none" w:pos="25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and contribution provisions may be limited by applicable law.</w:t>
      </w:r>
    </w:p>
    <w:p>
      <w:pPr>
        <w:spacing w:after="0" w:line="145" w:lineRule="exact"/>
        <w:rPr>
          <w:rFonts w:ascii="Times New Roman" w:cs="Times New Roman" w:eastAsia="Times New Roman" w:hAnsi="Times New Roman"/>
          <w:sz w:val="14"/>
          <w:szCs w:val="14"/>
          <w:color w:val="auto"/>
        </w:rPr>
      </w:pPr>
    </w:p>
    <w:p>
      <w:pPr>
        <w:jc w:val="both"/>
        <w:ind w:left="-4" w:firstLine="436"/>
        <w:spacing w:after="0" w:line="261" w:lineRule="auto"/>
        <w:tabs>
          <w:tab w:leader="none" w:pos="74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Conflicts</w:t>
      </w:r>
      <w:r>
        <w:rPr>
          <w:rFonts w:ascii="Times New Roman" w:cs="Times New Roman" w:eastAsia="Times New Roman" w:hAnsi="Times New Roman"/>
          <w:sz w:val="14"/>
          <w:szCs w:val="14"/>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296" w:lineRule="exact"/>
        <w:rPr>
          <w:rFonts w:ascii="Times New Roman" w:cs="Times New Roman" w:eastAsia="Times New Roman" w:hAnsi="Times New Roman"/>
          <w:sz w:val="14"/>
          <w:szCs w:val="14"/>
          <w:color w:val="auto"/>
        </w:rPr>
      </w:pPr>
    </w:p>
    <w:p>
      <w:pPr>
        <w:jc w:val="both"/>
        <w:ind w:left="-4" w:firstLine="436"/>
        <w:spacing w:after="0" w:line="275" w:lineRule="auto"/>
        <w:tabs>
          <w:tab w:leader="none" w:pos="759"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Filings, Consents and Approvals</w:t>
      </w:r>
      <w:r>
        <w:rPr>
          <w:rFonts w:ascii="Times New Roman" w:cs="Times New Roman" w:eastAsia="Times New Roman" w:hAnsi="Times New Roman"/>
          <w:sz w:val="14"/>
          <w:szCs w:val="14"/>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 with the Commission of the Prospectus or Prospectus Supplement, and (ii) such filings as are required to be made</w:t>
      </w:r>
    </w:p>
    <w:p>
      <w:pPr>
        <w:sectPr>
          <w:pgSz w:w="11900" w:h="16838" w:orient="portrait"/>
          <w:cols w:equalWidth="0" w:num="1">
            <w:col w:w="10876"/>
          </w:cols>
          <w:pgMar w:left="724" w:top="778" w:right="2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color w:val="auto"/>
        </w:rPr>
        <w:t>under applicable state securities or blue-sky laws or by FINRA or the Trading Market (collectively, the “</w:t>
      </w:r>
      <w:r>
        <w:rPr>
          <w:rFonts w:ascii="Times New Roman" w:cs="Times New Roman" w:eastAsia="Times New Roman" w:hAnsi="Times New Roman"/>
          <w:sz w:val="14"/>
          <w:szCs w:val="14"/>
          <w:u w:val="single" w:color="auto"/>
          <w:color w:val="auto"/>
        </w:rPr>
        <w:t>Required Approvals</w:t>
      </w:r>
      <w:r>
        <w:rPr>
          <w:rFonts w:ascii="Times New Roman" w:cs="Times New Roman" w:eastAsia="Times New Roman" w:hAnsi="Times New Roman"/>
          <w:sz w:val="14"/>
          <w:szCs w:val="14"/>
          <w:color w:val="auto"/>
        </w:rPr>
        <w:t>”).</w:t>
      </w:r>
    </w:p>
    <w:p>
      <w:pPr>
        <w:spacing w:after="0" w:line="154" w:lineRule="exact"/>
        <w:rPr>
          <w:sz w:val="20"/>
          <w:szCs w:val="20"/>
          <w:color w:val="auto"/>
        </w:rPr>
      </w:pPr>
    </w:p>
    <w:p>
      <w:pPr>
        <w:jc w:val="both"/>
        <w:ind w:firstLine="436"/>
        <w:spacing w:after="0" w:line="260" w:lineRule="auto"/>
        <w:tabs>
          <w:tab w:leader="none" w:pos="747"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Registration Statement</w:t>
      </w:r>
      <w:r>
        <w:rPr>
          <w:rFonts w:ascii="Times New Roman" w:cs="Times New Roman" w:eastAsia="Times New Roman" w:hAnsi="Times New Roman"/>
          <w:sz w:val="14"/>
          <w:szCs w:val="14"/>
          <w:color w:val="auto"/>
        </w:rPr>
        <w:t>. The Company has filed with the Commission the Registration Statement, including any related Prospectus or Prospectuses, for the registration of the Securities under the Securities Act, which Registration Statement has been prepared by the Company in all material respects in conformity with the requirements of the Securities Act and the rules and regulations of the Commission under the Securities Act. The Registration Statement has been declared effective by the Commission on April 3, 2026 (the “</w:t>
      </w:r>
      <w:r>
        <w:rPr>
          <w:rFonts w:ascii="Times New Roman" w:cs="Times New Roman" w:eastAsia="Times New Roman" w:hAnsi="Times New Roman"/>
          <w:sz w:val="14"/>
          <w:szCs w:val="14"/>
          <w:u w:val="single" w:color="auto"/>
          <w:color w:val="auto"/>
        </w:rPr>
        <w:t>Effective Date</w:t>
      </w:r>
      <w:r>
        <w:rPr>
          <w:rFonts w:ascii="Times New Roman" w:cs="Times New Roman" w:eastAsia="Times New Roman" w:hAnsi="Times New Roman"/>
          <w:sz w:val="14"/>
          <w:szCs w:val="14"/>
          <w:color w:val="auto"/>
        </w:rPr>
        <w:t>”). At the time of such filing, the Company met the requirements of Form S-3 under the Securities Act. The Registration Statement meets the requirements set forth in Rule 415(a)(1)(x) under the Securities Act and complies with said Rule, in each case, in all material respects, and the Prospectus Supplement will meet the requirements set forth in Rule 424(b) in all material respects. The Company is eligible to use Form S-3 under the Securities Act. The Company has advised the Representative of all further information (financial and other) with respect to the Company required to be set forth therein in the Registration Statement, the Preliminary Prospectus and Prospectus. Any reference in this Agreement to the Registration Statement, the Prospectus or the Prospectus Supplement shall be deemed to refer to and include the documents incorporated by reference therein pursuant to Item 12 of Form S-3 which were filed under the Exchange Act, on or before the date of this Agreement, or the issue date of the Prospectus or the Prospectus Supplement, as the case may be. All references in this Agreement to financial statements and schedules and other information which is “contained,” “included,” “described,” “referenced,” “set forth” or “stated” in the Registration Statement, the Preliminary Prospectus, the Prospectus or the Prospectus Supplement (and all other references of like import) shall be deemed to mean and include all such financial statements and schedules and other information which is or is deemed to be incorporated by reference in the Registration Statement, the Preliminary Prospectus, the Prospectus or the Prospectus Supplement, as the case may be. No stop order suspending the effectiveness of the Registration Statement or the use of the Preliminary Prospectus, the Prospectus, or the Prospectus Supplement has been issued, and no proceeding for any such purpose is pending or has been initiated or, to the Company's knowledge, is threatened by the Commission. For purposes of this Agreement, “</w:t>
      </w:r>
      <w:r>
        <w:rPr>
          <w:rFonts w:ascii="Times New Roman" w:cs="Times New Roman" w:eastAsia="Times New Roman" w:hAnsi="Times New Roman"/>
          <w:sz w:val="14"/>
          <w:szCs w:val="14"/>
          <w:u w:val="single" w:color="auto"/>
          <w:color w:val="auto"/>
        </w:rPr>
        <w:t>free writing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prospectus</w:t>
      </w:r>
      <w:r>
        <w:rPr>
          <w:rFonts w:ascii="Times New Roman" w:cs="Times New Roman" w:eastAsia="Times New Roman" w:hAnsi="Times New Roman"/>
          <w:sz w:val="14"/>
          <w:szCs w:val="14"/>
          <w:color w:val="auto"/>
        </w:rPr>
        <w:t>” has the meaning set forth in Rule 405 under the Securities Act. The Company will not, without the prior consent of the Representative, prepare, use or refer to, any free writing prospectus.</w:t>
      </w:r>
    </w:p>
    <w:p>
      <w:pPr>
        <w:spacing w:after="0" w:line="290" w:lineRule="exact"/>
        <w:rPr>
          <w:rFonts w:ascii="Times New Roman" w:cs="Times New Roman" w:eastAsia="Times New Roman" w:hAnsi="Times New Roman"/>
          <w:sz w:val="14"/>
          <w:szCs w:val="14"/>
          <w:color w:val="auto"/>
        </w:rPr>
      </w:pPr>
    </w:p>
    <w:p>
      <w:pPr>
        <w:jc w:val="both"/>
        <w:ind w:firstLine="436"/>
        <w:spacing w:after="0" w:line="266" w:lineRule="auto"/>
        <w:tabs>
          <w:tab w:leader="none" w:pos="7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Issuance of Securities</w:t>
      </w:r>
      <w:r>
        <w:rPr>
          <w:rFonts w:ascii="Times New Roman" w:cs="Times New Roman" w:eastAsia="Times New Roman" w:hAnsi="Times New Roman"/>
          <w:sz w:val="14"/>
          <w:szCs w:val="14"/>
          <w:color w:val="auto"/>
        </w:rPr>
        <w:t>. The Securities are duly authorized and, when issued and paid for in accordance with the applicable Transaction Documents, will be duly and validly issued, fully paid and nonassessable, and free and clear of all Liens imposed by the Company. The Pre-Funded Warrant Shares, when issued in accordance with the terms of the Pre-Funded Warrants, will be validly issued, fully paid and nonassessable, free and clear of all Liens imposed by the Company. The Company has reserved from its duly authorized capital stock the maximum number of shares of Common Stock issuable pursuant to this Agreement and the Pre-Funded Warrants. The holder of the Securities will not be subject to personal liability by reason of being such holders. The Securities are not and will not be subject to the preemptive rights of any holders of any security of the Company or similar contractual rights granted by the</w:t>
      </w:r>
    </w:p>
    <w:p>
      <w:pPr>
        <w:sectPr>
          <w:pgSz w:w="11900" w:h="16838" w:orient="portrait"/>
          <w:cols w:equalWidth="0" w:num="1">
            <w:col w:w="10880"/>
          </w:cols>
          <w:pgMar w:left="720" w:top="778" w:right="299" w:bottom="1440" w:gutter="0" w:footer="0" w:header="0"/>
        </w:sectPr>
      </w:pPr>
    </w:p>
    <w:bookmarkStart w:id="15" w:name="page16"/>
    <w:bookmarkEnd w:id="15"/>
    <w:p>
      <w:pPr>
        <w:ind w:right="20"/>
        <w:spacing w:after="0" w:line="295" w:lineRule="auto"/>
        <w:rPr>
          <w:sz w:val="20"/>
          <w:szCs w:val="20"/>
          <w:color w:val="auto"/>
        </w:rPr>
      </w:pPr>
      <w:r>
        <w:rPr>
          <w:rFonts w:ascii="Times New Roman" w:cs="Times New Roman" w:eastAsia="Times New Roman" w:hAnsi="Times New Roman"/>
          <w:sz w:val="14"/>
          <w:szCs w:val="14"/>
          <w:color w:val="auto"/>
        </w:rPr>
        <w:t>Company. All corporate action required to be taken for the authorization, issuance and sale of the Securities has been duly and validly taken. The Securities conform in all material respects to all statements with respect thereto contained in the Registration Statement.</w:t>
      </w:r>
    </w:p>
    <w:p>
      <w:pPr>
        <w:spacing w:after="0" w:line="90" w:lineRule="exact"/>
        <w:rPr>
          <w:sz w:val="20"/>
          <w:szCs w:val="20"/>
          <w:color w:val="auto"/>
        </w:rPr>
      </w:pPr>
    </w:p>
    <w:p>
      <w:pPr>
        <w:jc w:val="both"/>
        <w:ind w:firstLine="436"/>
        <w:spacing w:after="0" w:line="259" w:lineRule="auto"/>
        <w:tabs>
          <w:tab w:leader="none" w:pos="744"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Capitalization</w:t>
      </w:r>
      <w:r>
        <w:rPr>
          <w:rFonts w:ascii="Times New Roman" w:cs="Times New Roman" w:eastAsia="Times New Roman" w:hAnsi="Times New Roman"/>
          <w:sz w:val="14"/>
          <w:szCs w:val="14"/>
          <w:color w:val="auto"/>
        </w:rPr>
        <w:t>. The capitalization of the Company is as set forth in the SEC Reports.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a result of the purchase and sale of the Securities or as otherwise described in the Registration Statement and the Prospectus,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the capital stock of any Subsidiary. The issuance and sale of the Securities will not obligate the Company or any Subsidiary to issue shares of Common Stock or other securities to any Person (other than the Underwriters). Except as set forth in the Registration Statement, the Preliminary Prospectus, the Prospectus or any Prospectus Supplement,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The authorized shares of the Company conform in all material respects to all statements relating thereto contained in the Registration Statement, the Preliminary Prospectus and the Prospectus. The offers and sales of the Company’s securities were at all relevant times either registered under the Securities Act and the applicable state securities or Blue Sky laws or, based in part on the representations and warranties of the purchasers, exempt from such registration requirements. No further approval or authorization of any stockholder, the Board of Directors or others is required for the issuance and sale of the Securities. There are no stockholders agreements, voting agreements or other similar agreements with respect to</w:t>
      </w:r>
    </w:p>
    <w:p>
      <w:pPr>
        <w:sectPr>
          <w:pgSz w:w="11900" w:h="16838" w:orient="portrait"/>
          <w:cols w:equalWidth="0" w:num="1">
            <w:col w:w="10880"/>
          </w:cols>
          <w:pgMar w:left="720" w:top="778" w:right="2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color w:val="auto"/>
        </w:rPr>
        <w:t>the Company’s capital stock to which the Company is a party or, to the knowledge of the Company, between or among any of the Company’s stockholders.</w:t>
      </w:r>
    </w:p>
    <w:p>
      <w:pPr>
        <w:spacing w:after="0" w:line="154" w:lineRule="exact"/>
        <w:rPr>
          <w:sz w:val="20"/>
          <w:szCs w:val="20"/>
          <w:color w:val="auto"/>
        </w:rPr>
      </w:pPr>
    </w:p>
    <w:p>
      <w:pPr>
        <w:jc w:val="both"/>
        <w:ind w:firstLine="436"/>
        <w:spacing w:after="0" w:line="259" w:lineRule="auto"/>
        <w:tabs>
          <w:tab w:leader="none" w:pos="775"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 Reports; Financial Statements</w:t>
      </w:r>
      <w:r>
        <w:rPr>
          <w:rFonts w:ascii="Times New Roman" w:cs="Times New Roman" w:eastAsia="Times New Roman" w:hAnsi="Times New Roman"/>
          <w:sz w:val="14"/>
          <w:szCs w:val="14"/>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Preliminary Prospectus, the Prospectus, and the Prospectus Supplement being collectively referred to herein as the “</w:t>
      </w:r>
      <w:r>
        <w:rPr>
          <w:rFonts w:ascii="Times New Roman" w:cs="Times New Roman" w:eastAsia="Times New Roman" w:hAnsi="Times New Roman"/>
          <w:sz w:val="14"/>
          <w:szCs w:val="14"/>
          <w:u w:val="single" w:color="auto"/>
          <w:color w:val="auto"/>
        </w:rPr>
        <w:t>SEC Reports</w:t>
      </w:r>
      <w:r>
        <w:rPr>
          <w:rFonts w:ascii="Times New Roman" w:cs="Times New Roman" w:eastAsia="Times New Roman" w:hAnsi="Times New Roman"/>
          <w:sz w:val="14"/>
          <w:szCs w:val="14"/>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4"/>
          <w:szCs w:val="14"/>
          <w:u w:val="single" w:color="auto"/>
          <w:color w:val="auto"/>
        </w:rPr>
        <w:t>GAAP</w:t>
      </w:r>
      <w:r>
        <w:rPr>
          <w:rFonts w:ascii="Times New Roman" w:cs="Times New Roman" w:eastAsia="Times New Roman" w:hAnsi="Times New Roman"/>
          <w:sz w:val="14"/>
          <w:szCs w:val="14"/>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 The agreements and documents described in the Registration Statement, the Preliminary Prospectus, the Prospectus, the Prospectus Supplement and the SEC Reports conform to the descriptions thereof contained therein and there are no agreements or other documents required by the Securities Act and the rules and regulations thereunder to be described in the Registration Statement, the Preliminary Prospectus, the Prospectus, the Prospectus Supplement or the SEC Reports or to be filed with the Commission as exhibits to the Registration Statement, that have not been so described or filed. Each agreement or other instrument (however characterized or described) to which the Company is a party or by which it is or may be bound or affected and (i) that is referred to in the Registration Statement, the Preliminary Prospectus, the Prospectus, the Prospectus Supplement or the SEC Reports, or (ii) is material to the Company’s business, has been duly authorized and validly executed by the Company, is in full force and effect in all material respects and is enforceable against the Company and, to the Company’s knowledge, the other parties thereto, in accordance with its terms, except (x) as such enforceability may be limited by bankruptcy, insolvency, reorganization or similar laws affecting creditors’ rights generally,</w:t>
      </w:r>
    </w:p>
    <w:p>
      <w:pPr>
        <w:ind w:firstLine="4"/>
        <w:spacing w:after="0" w:line="271" w:lineRule="auto"/>
        <w:tabs>
          <w:tab w:leader="none" w:pos="22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enforceability of any indemnification or contribution provision may be limited under the federal and state securities laws, and (z) that the remedy of specific performance and injunctive and other forms of equitable relief may be subject to the equitable defenses and to the discretion of</w:t>
      </w:r>
    </w:p>
    <w:p>
      <w:pPr>
        <w:sectPr>
          <w:pgSz w:w="11900" w:h="16838" w:orient="portrait"/>
          <w:cols w:equalWidth="0" w:num="1">
            <w:col w:w="10880"/>
          </w:cols>
          <w:pgMar w:left="720" w:top="778" w:right="299" w:bottom="1440" w:gutter="0" w:footer="0" w:header="0"/>
        </w:sectPr>
      </w:pPr>
    </w:p>
    <w:bookmarkStart w:id="17" w:name="page18"/>
    <w:bookmarkEnd w:id="17"/>
    <w:p>
      <w:pPr>
        <w:jc w:val="both"/>
        <w:spacing w:after="0" w:line="268" w:lineRule="auto"/>
        <w:rPr>
          <w:sz w:val="20"/>
          <w:szCs w:val="20"/>
          <w:color w:val="auto"/>
        </w:rPr>
      </w:pPr>
      <w:r>
        <w:rPr>
          <w:rFonts w:ascii="Times New Roman" w:cs="Times New Roman" w:eastAsia="Times New Roman" w:hAnsi="Times New Roman"/>
          <w:sz w:val="14"/>
          <w:szCs w:val="14"/>
          <w:color w:val="auto"/>
        </w:rPr>
        <w:t>the court before which any proceeding therefore may be brought. None of such agreements or instruments has been assigned by the Company, and neither the Company nor, to the best of the Company’s knowledge, any other party is in default or in violation thereunder and, no event has occurred that, with the lapse of time or the giving of notice, or both, would constitute a default thereunder. The performance by the Company of the material provisions of such agreements or instruments will not result in a violation of any existing applicable law, rule, regulation, judgment, order or decree of any governmental agency or court, domestic or foreign, having jurisdiction over the Company or any of its assets or businesses, including, without limitation, those relating to environmental laws and regulations.</w:t>
      </w:r>
    </w:p>
    <w:p>
      <w:pPr>
        <w:spacing w:after="0" w:line="109" w:lineRule="exact"/>
        <w:rPr>
          <w:sz w:val="20"/>
          <w:szCs w:val="20"/>
          <w:color w:val="auto"/>
        </w:rPr>
      </w:pPr>
    </w:p>
    <w:p>
      <w:pPr>
        <w:jc w:val="both"/>
        <w:ind w:firstLine="436"/>
        <w:spacing w:after="0" w:line="260" w:lineRule="auto"/>
        <w:tabs>
          <w:tab w:leader="none" w:pos="784"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Material Changes; Undisclosed Events, Liabilities or Developments</w:t>
      </w:r>
      <w:r>
        <w:rPr>
          <w:rFonts w:ascii="Times New Roman" w:cs="Times New Roman" w:eastAsia="Times New Roman" w:hAnsi="Times New Roman"/>
          <w:sz w:val="14"/>
          <w:szCs w:val="14"/>
          <w:color w:val="auto"/>
        </w:rPr>
        <w:t>. Since the date of the latest audited financial statements included within the SEC Reports, except as specifically disclosed in a subsequent SEC Report filed prior to the date hereof,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(v) the Company has not issued any equity securities to any officer, director or Affiliate, except pursuant to existing Company stock option plans and (vi) no officer or director of the Company has resigned from any position with the Company. The Company does not have pending before the Commission any request for confidential treatment of information. Except for the issuance of the Securities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Trading Day prior to the date that this representation is made. Unless otherwise disclosed in an SEC Report filed prior to the date hereof, the Company has not: (i) issued any securities or incurred any liability or obligation, direct or contingent, for borrowed money; or (ii) declared or paid any dividend or made any other distribution on or in respect to its capital stock.</w:t>
      </w:r>
    </w:p>
    <w:p>
      <w:pPr>
        <w:spacing w:after="0" w:line="117" w:lineRule="exact"/>
        <w:rPr>
          <w:rFonts w:ascii="Times New Roman" w:cs="Times New Roman" w:eastAsia="Times New Roman" w:hAnsi="Times New Roman"/>
          <w:sz w:val="14"/>
          <w:szCs w:val="14"/>
          <w:color w:val="auto"/>
        </w:rPr>
      </w:pPr>
    </w:p>
    <w:p>
      <w:pPr>
        <w:jc w:val="both"/>
        <w:ind w:firstLine="436"/>
        <w:spacing w:after="0" w:line="268" w:lineRule="auto"/>
        <w:tabs>
          <w:tab w:leader="none" w:pos="771"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Litigation</w:t>
      </w:r>
      <w:r>
        <w:rPr>
          <w:rFonts w:ascii="Times New Roman" w:cs="Times New Roman" w:eastAsia="Times New Roman" w:hAnsi="Times New Roman"/>
          <w:sz w:val="14"/>
          <w:szCs w:val="14"/>
          <w:color w:val="auto"/>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4"/>
          <w:szCs w:val="14"/>
          <w:u w:val="single" w:color="auto"/>
          <w:color w:val="auto"/>
        </w:rPr>
        <w:t>Action</w:t>
      </w:r>
      <w:r>
        <w:rPr>
          <w:rFonts w:ascii="Times New Roman" w:cs="Times New Roman" w:eastAsia="Times New Roman" w:hAnsi="Times New Roman"/>
          <w:sz w:val="14"/>
          <w:szCs w:val="14"/>
          <w:color w:val="auto"/>
        </w:rPr>
        <w:t>”) which (i) adversely affects or challenges the legality, validity or enforceability of any of the Transaction Documents or the Securities or (ii) could, if there were an unfavorable decision, have or reasonably be expected to result in a Material Adverse Effect. Neither the Company nor any Subsidiary, nor any director or officer thereof, is or has been the subject of any</w:t>
      </w:r>
    </w:p>
    <w:p>
      <w:pPr>
        <w:sectPr>
          <w:pgSz w:w="11900" w:h="16838" w:orient="portrait"/>
          <w:cols w:equalWidth="0" w:num="1">
            <w:col w:w="10880"/>
          </w:cols>
          <w:pgMar w:left="720" w:top="778" w:right="299" w:bottom="1440" w:gutter="0" w:footer="0" w:header="0"/>
        </w:sectPr>
      </w:pPr>
    </w:p>
    <w:bookmarkStart w:id="18" w:name="page19"/>
    <w:bookmarkEnd w:id="18"/>
    <w:p>
      <w:pPr>
        <w:jc w:val="both"/>
        <w:spacing w:after="0" w:line="275" w:lineRule="auto"/>
        <w:rPr>
          <w:sz w:val="20"/>
          <w:szCs w:val="20"/>
          <w:color w:val="auto"/>
        </w:rPr>
      </w:pPr>
      <w:r>
        <w:rPr>
          <w:rFonts w:ascii="Times New Roman" w:cs="Times New Roman" w:eastAsia="Times New Roman" w:hAnsi="Times New Roman"/>
          <w:sz w:val="14"/>
          <w:szCs w:val="14"/>
          <w:color w:val="auto"/>
        </w:rPr>
        <w:t>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113" w:lineRule="exact"/>
        <w:rPr>
          <w:sz w:val="20"/>
          <w:szCs w:val="20"/>
          <w:color w:val="auto"/>
        </w:rPr>
      </w:pPr>
    </w:p>
    <w:p>
      <w:pPr>
        <w:jc w:val="both"/>
        <w:ind w:firstLine="436"/>
        <w:spacing w:after="0" w:line="261" w:lineRule="auto"/>
        <w:tabs>
          <w:tab w:leader="none" w:pos="73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Labor Relations</w:t>
      </w:r>
      <w:r>
        <w:rPr>
          <w:rFonts w:ascii="Times New Roman" w:cs="Times New Roman" w:eastAsia="Times New Roman" w:hAnsi="Times New Roman"/>
          <w:sz w:val="14"/>
          <w:szCs w:val="14"/>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applicable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116" w:lineRule="exact"/>
        <w:rPr>
          <w:rFonts w:ascii="Times New Roman" w:cs="Times New Roman" w:eastAsia="Times New Roman" w:hAnsi="Times New Roman"/>
          <w:sz w:val="14"/>
          <w:szCs w:val="14"/>
          <w:color w:val="auto"/>
        </w:rPr>
      </w:pPr>
    </w:p>
    <w:p>
      <w:pPr>
        <w:jc w:val="both"/>
        <w:ind w:firstLine="436"/>
        <w:spacing w:after="0" w:line="264" w:lineRule="auto"/>
        <w:tabs>
          <w:tab w:leader="none" w:pos="80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Compliance</w:t>
      </w:r>
      <w:r>
        <w:rPr>
          <w:rFonts w:ascii="Times New Roman" w:cs="Times New Roman" w:eastAsia="Times New Roman" w:hAnsi="Times New Roman"/>
          <w:sz w:val="14"/>
          <w:szCs w:val="14"/>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spacing w:after="0" w:line="296" w:lineRule="exact"/>
        <w:rPr>
          <w:rFonts w:ascii="Times New Roman" w:cs="Times New Roman" w:eastAsia="Times New Roman" w:hAnsi="Times New Roman"/>
          <w:sz w:val="14"/>
          <w:szCs w:val="14"/>
          <w:color w:val="auto"/>
        </w:rPr>
      </w:pPr>
    </w:p>
    <w:p>
      <w:pPr>
        <w:jc w:val="both"/>
        <w:ind w:firstLine="436"/>
        <w:spacing w:after="0" w:line="268" w:lineRule="auto"/>
        <w:tabs>
          <w:tab w:leader="none" w:pos="76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Regulatory Permits</w:t>
      </w:r>
      <w:r>
        <w:rPr>
          <w:rFonts w:ascii="Times New Roman" w:cs="Times New Roman" w:eastAsia="Times New Roman" w:hAnsi="Times New Roman"/>
          <w:sz w:val="14"/>
          <w:szCs w:val="14"/>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(each, a “</w:t>
      </w:r>
      <w:r>
        <w:rPr>
          <w:rFonts w:ascii="Times New Roman" w:cs="Times New Roman" w:eastAsia="Times New Roman" w:hAnsi="Times New Roman"/>
          <w:sz w:val="14"/>
          <w:szCs w:val="14"/>
          <w:u w:val="single" w:color="auto"/>
          <w:color w:val="auto"/>
        </w:rPr>
        <w:t>Material Permit</w:t>
      </w:r>
      <w:r>
        <w:rPr>
          <w:rFonts w:ascii="Times New Roman" w:cs="Times New Roman" w:eastAsia="Times New Roman" w:hAnsi="Times New Roman"/>
          <w:sz w:val="14"/>
          <w:szCs w:val="14"/>
          <w:color w:val="auto"/>
        </w:rPr>
        <w:t>”), and neither the Company nor any Subsidiary has received any notice of proceedings relating to the revocation or modification of any Material Permit. The disclosures in the</w:t>
      </w:r>
    </w:p>
    <w:p>
      <w:pPr>
        <w:sectPr>
          <w:pgSz w:w="11900" w:h="16838" w:orient="portrait"/>
          <w:cols w:equalWidth="0" w:num="1">
            <w:col w:w="10880"/>
          </w:cols>
          <w:pgMar w:left="720" w:top="778" w:right="2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color w:val="auto"/>
        </w:rPr>
        <w:t>Registration Statement concerning the effects of federal, state, local and all foreign regulation on the Company’s business as currently contemplated are correct in all material respects.</w:t>
      </w:r>
    </w:p>
    <w:p>
      <w:pPr>
        <w:spacing w:after="0" w:line="154" w:lineRule="exact"/>
        <w:rPr>
          <w:sz w:val="20"/>
          <w:szCs w:val="20"/>
          <w:color w:val="auto"/>
        </w:rPr>
      </w:pPr>
    </w:p>
    <w:p>
      <w:pPr>
        <w:jc w:val="both"/>
        <w:ind w:firstLine="436"/>
        <w:spacing w:after="0" w:line="266" w:lineRule="auto"/>
        <w:tabs>
          <w:tab w:leader="none" w:pos="798"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Title to Assets</w:t>
      </w:r>
      <w:r>
        <w:rPr>
          <w:rFonts w:ascii="Times New Roman" w:cs="Times New Roman" w:eastAsia="Times New Roman" w:hAnsi="Times New Roman"/>
          <w:sz w:val="14"/>
          <w:szCs w:val="14"/>
          <w:color w:val="auto"/>
        </w:rPr>
        <w:t>. The Company and the Subsidiaries have good and marketable title in fee simple to, or have valid and marketable rights to lease or otherwise use, all real property and all personal property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286" w:lineRule="exact"/>
        <w:rPr>
          <w:rFonts w:ascii="Times New Roman" w:cs="Times New Roman" w:eastAsia="Times New Roman" w:hAnsi="Times New Roman"/>
          <w:sz w:val="14"/>
          <w:szCs w:val="14"/>
          <w:color w:val="auto"/>
        </w:rPr>
      </w:pPr>
    </w:p>
    <w:p>
      <w:pPr>
        <w:jc w:val="both"/>
        <w:ind w:firstLine="436"/>
        <w:spacing w:after="0" w:line="263" w:lineRule="auto"/>
        <w:tabs>
          <w:tab w:leader="none" w:pos="76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Intellectual Property</w:t>
      </w:r>
      <w:r>
        <w:rPr>
          <w:rFonts w:ascii="Times New Roman" w:cs="Times New Roman" w:eastAsia="Times New Roman" w:hAnsi="Times New Roman"/>
          <w:sz w:val="14"/>
          <w:szCs w:val="14"/>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do so could have a Material Adverse Effect (collectively, the “</w:t>
      </w:r>
      <w:r>
        <w:rPr>
          <w:rFonts w:ascii="Times New Roman" w:cs="Times New Roman" w:eastAsia="Times New Roman" w:hAnsi="Times New Roman"/>
          <w:sz w:val="14"/>
          <w:szCs w:val="14"/>
          <w:u w:val="single" w:color="auto"/>
          <w:color w:val="auto"/>
        </w:rPr>
        <w:t>Intellectual Property Rights</w:t>
      </w:r>
      <w:r>
        <w:rPr>
          <w:rFonts w:ascii="Times New Roman" w:cs="Times New Roman" w:eastAsia="Times New Roman" w:hAnsi="Times New Roman"/>
          <w:sz w:val="14"/>
          <w:szCs w:val="14"/>
          <w:color w:val="auto"/>
        </w:rPr>
        <w:t>”). None of the Company nor any Subsidiary has received written, or to the knowledge of the Company other, notice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113" w:lineRule="exact"/>
        <w:rPr>
          <w:rFonts w:ascii="Times New Roman" w:cs="Times New Roman" w:eastAsia="Times New Roman" w:hAnsi="Times New Roman"/>
          <w:sz w:val="14"/>
          <w:szCs w:val="14"/>
          <w:color w:val="auto"/>
        </w:rPr>
      </w:pPr>
    </w:p>
    <w:p>
      <w:pPr>
        <w:jc w:val="both"/>
        <w:ind w:firstLine="436"/>
        <w:spacing w:after="0" w:line="272" w:lineRule="auto"/>
        <w:tabs>
          <w:tab w:leader="none" w:pos="771"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Insurance</w:t>
      </w:r>
      <w:r>
        <w:rPr>
          <w:rFonts w:ascii="Times New Roman" w:cs="Times New Roman" w:eastAsia="Times New Roman" w:hAnsi="Times New Roman"/>
          <w:sz w:val="14"/>
          <w:szCs w:val="14"/>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07" w:lineRule="exact"/>
        <w:rPr>
          <w:rFonts w:ascii="Times New Roman" w:cs="Times New Roman" w:eastAsia="Times New Roman" w:hAnsi="Times New Roman"/>
          <w:sz w:val="14"/>
          <w:szCs w:val="14"/>
          <w:color w:val="auto"/>
        </w:rPr>
      </w:pPr>
    </w:p>
    <w:p>
      <w:pPr>
        <w:ind w:left="720" w:hanging="284"/>
        <w:spacing w:after="0"/>
        <w:tabs>
          <w:tab w:leader="none" w:pos="7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Transactions With Affiliates and Employees</w:t>
      </w:r>
      <w:r>
        <w:rPr>
          <w:rFonts w:ascii="Times New Roman" w:cs="Times New Roman" w:eastAsia="Times New Roman" w:hAnsi="Times New Roman"/>
          <w:sz w:val="14"/>
          <w:szCs w:val="14"/>
          <w:color w:val="auto"/>
        </w:rPr>
        <w:t>. Except as set forth in the SEC Reports, none of the officers or directors of the Company or any Subsidiary and, to</w:t>
      </w:r>
    </w:p>
    <w:p>
      <w:pPr>
        <w:sectPr>
          <w:pgSz w:w="11900" w:h="16838" w:orient="portrait"/>
          <w:cols w:equalWidth="0" w:num="1">
            <w:col w:w="10880"/>
          </w:cols>
          <w:pgMar w:left="720" w:top="778" w:right="299" w:bottom="1440" w:gutter="0" w:footer="0" w:header="0"/>
        </w:sectPr>
      </w:pPr>
    </w:p>
    <w:bookmarkStart w:id="20" w:name="page21"/>
    <w:bookmarkEnd w:id="20"/>
    <w:p>
      <w:pPr>
        <w:jc w:val="both"/>
        <w:spacing w:after="0" w:line="265" w:lineRule="auto"/>
        <w:rPr>
          <w:sz w:val="20"/>
          <w:szCs w:val="20"/>
          <w:color w:val="auto"/>
        </w:rPr>
      </w:pPr>
      <w:r>
        <w:rPr>
          <w:rFonts w:ascii="Times New Roman" w:cs="Times New Roman" w:eastAsia="Times New Roman" w:hAnsi="Times New Roman"/>
          <w:sz w:val="14"/>
          <w:szCs w:val="14"/>
          <w:color w:val="auto"/>
        </w:rPr>
        <w:t>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112" w:lineRule="exact"/>
        <w:rPr>
          <w:sz w:val="20"/>
          <w:szCs w:val="20"/>
          <w:color w:val="auto"/>
        </w:rPr>
      </w:pPr>
    </w:p>
    <w:p>
      <w:pPr>
        <w:jc w:val="both"/>
        <w:ind w:firstLine="436"/>
        <w:spacing w:after="0" w:line="261" w:lineRule="auto"/>
        <w:tabs>
          <w:tab w:leader="none" w:pos="755"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Sarbanes-Oxley; Internal Accounting Controls</w:t>
      </w:r>
      <w:r>
        <w:rPr>
          <w:rFonts w:ascii="Times New Roman" w:cs="Times New Roman" w:eastAsia="Times New Roman" w:hAnsi="Times New Roman"/>
          <w:sz w:val="14"/>
          <w:szCs w:val="14"/>
          <w:color w:val="auto"/>
        </w:rPr>
        <w:t>. The Company and the Subsidiaries are in compliance with any and all applicable requirements of the Sarbanes-Oxley Act of 2002 that are effective as of the date hereof and applicable to the Company,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cs="Times New Roman" w:eastAsia="Times New Roman" w:hAnsi="Times New Roman"/>
          <w:sz w:val="14"/>
          <w:szCs w:val="14"/>
          <w:u w:val="single" w:color="auto"/>
          <w:color w:val="auto"/>
        </w:rPr>
        <w:t>Evaluation Date</w:t>
      </w:r>
      <w:r>
        <w:rPr>
          <w:rFonts w:ascii="Times New Roman" w:cs="Times New Roman" w:eastAsia="Times New Roman" w:hAnsi="Times New Roman"/>
          <w:sz w:val="14"/>
          <w:szCs w:val="14"/>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289" w:lineRule="exact"/>
        <w:rPr>
          <w:rFonts w:ascii="Times New Roman" w:cs="Times New Roman" w:eastAsia="Times New Roman" w:hAnsi="Times New Roman"/>
          <w:sz w:val="14"/>
          <w:szCs w:val="14"/>
          <w:color w:val="auto"/>
        </w:rPr>
      </w:pPr>
    </w:p>
    <w:p>
      <w:pPr>
        <w:jc w:val="both"/>
        <w:ind w:firstLine="436"/>
        <w:spacing w:after="0" w:line="275" w:lineRule="auto"/>
        <w:tabs>
          <w:tab w:leader="none" w:pos="71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Certain Fees</w:t>
      </w:r>
      <w:r>
        <w:rPr>
          <w:rFonts w:ascii="Times New Roman" w:cs="Times New Roman" w:eastAsia="Times New Roman" w:hAnsi="Times New Roman"/>
          <w:sz w:val="14"/>
          <w:szCs w:val="14"/>
          <w:color w:val="auto"/>
        </w:rPr>
        <w:t>. Except as set forth in the Prospectus Supplement, no brokerage or finder’s fees or commissions are or will be payable by the Company, any Subsidiary or Affiliate of the Company to any broker, financial advisor or consultant, finder, placement agent, investment banker, bank or other Person with respect to the transactions contemplated by the Transaction Documents. Notwithstanding the</w:t>
      </w:r>
    </w:p>
    <w:p>
      <w:pPr>
        <w:sectPr>
          <w:pgSz w:w="11900" w:h="16838" w:orient="portrait"/>
          <w:cols w:equalWidth="0" w:num="1">
            <w:col w:w="10880"/>
          </w:cols>
          <w:pgMar w:left="720" w:top="778" w:right="299" w:bottom="1440" w:gutter="0" w:footer="0" w:header="0"/>
        </w:sectPr>
      </w:pPr>
    </w:p>
    <w:bookmarkStart w:id="21" w:name="page22"/>
    <w:bookmarkEnd w:id="21"/>
    <w:p>
      <w:pPr>
        <w:jc w:val="both"/>
        <w:spacing w:after="0" w:line="262" w:lineRule="auto"/>
        <w:rPr>
          <w:sz w:val="20"/>
          <w:szCs w:val="20"/>
          <w:color w:val="auto"/>
        </w:rPr>
      </w:pPr>
      <w:r>
        <w:rPr>
          <w:rFonts w:ascii="Times New Roman" w:cs="Times New Roman" w:eastAsia="Times New Roman" w:hAnsi="Times New Roman"/>
          <w:sz w:val="14"/>
          <w:szCs w:val="14"/>
          <w:color w:val="auto"/>
        </w:rPr>
        <w:t>foregoing, on the Closing Date, the Company shall pay the Underwriters a cash fee of in the form of a discount to the Combined Purchase Price as set forth in the Investment Banking Agreement (as defined herein) (the “</w:t>
      </w:r>
      <w:r>
        <w:rPr>
          <w:rFonts w:ascii="Times New Roman" w:cs="Times New Roman" w:eastAsia="Times New Roman" w:hAnsi="Times New Roman"/>
          <w:sz w:val="14"/>
          <w:szCs w:val="14"/>
          <w:u w:val="single" w:color="auto"/>
          <w:color w:val="auto"/>
        </w:rPr>
        <w:t>Underwriters Discount</w:t>
      </w:r>
      <w:r>
        <w:rPr>
          <w:rFonts w:ascii="Times New Roman" w:cs="Times New Roman" w:eastAsia="Times New Roman" w:hAnsi="Times New Roman"/>
          <w:sz w:val="14"/>
          <w:szCs w:val="14"/>
          <w:color w:val="auto"/>
        </w:rPr>
        <w:t>”). The Underwriters Discount shall be allocated between the Underwriters on the Closing Date as set forth in the Investment Banking Agreement. The Company has also agreed to reimburse the Representative for certain of its offering-related expenses as set forth in the Investment Banking Agreement. To the Company’s knowledge, there are no other arrangements, agreements or understandings of the Company or, to the Company’s knowledge, any of its stockholders that may affect the Underwriters’ compensation, as determined by FINRA. The Company has not made any direct or indirect payments (in cash, securities or otherwise) to: (i) any person, as a finder’s fee, consulting fee or otherwise, in consideration of such person raising capital for the Company or introducing to the Company persons who raised or provided capital to the Company; (ii) any FINRA member; or (iii) any person or entity that has any direct or indirect affiliation or association with any FINRA member, within the twelve months prior to the Execution Date. None of the net proceeds of the Offering will be paid by the Company to any participating FINRA member or its affiliates, except as specifically authorized herein.</w:t>
      </w:r>
    </w:p>
    <w:p>
      <w:pPr>
        <w:spacing w:after="0" w:line="124" w:lineRule="exact"/>
        <w:rPr>
          <w:sz w:val="20"/>
          <w:szCs w:val="20"/>
          <w:color w:val="auto"/>
        </w:rPr>
      </w:pPr>
    </w:p>
    <w:p>
      <w:pPr>
        <w:jc w:val="both"/>
        <w:ind w:firstLine="436"/>
        <w:spacing w:after="0" w:line="275" w:lineRule="auto"/>
        <w:tabs>
          <w:tab w:leader="none" w:pos="798"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Investment Company</w:t>
      </w:r>
      <w:r>
        <w:rPr>
          <w:rFonts w:ascii="Times New Roman" w:cs="Times New Roman" w:eastAsia="Times New Roman" w:hAnsi="Times New Roman"/>
          <w:sz w:val="14"/>
          <w:szCs w:val="14"/>
          <w:color w:val="auto"/>
        </w:rPr>
        <w:t>. The Company is not, and to its knowledge, is not an Affiliate of, and immediately after receipt of payment for the Securities will not be, or, to its knowledge,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03" w:lineRule="exact"/>
        <w:rPr>
          <w:rFonts w:ascii="Times New Roman" w:cs="Times New Roman" w:eastAsia="Times New Roman" w:hAnsi="Times New Roman"/>
          <w:sz w:val="14"/>
          <w:szCs w:val="14"/>
          <w:color w:val="auto"/>
        </w:rPr>
      </w:pPr>
    </w:p>
    <w:p>
      <w:pPr>
        <w:ind w:firstLine="436"/>
        <w:spacing w:after="0" w:line="295" w:lineRule="auto"/>
        <w:tabs>
          <w:tab w:leader="none" w:pos="76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Registration Rights</w:t>
      </w:r>
      <w:r>
        <w:rPr>
          <w:rFonts w:ascii="Times New Roman" w:cs="Times New Roman" w:eastAsia="Times New Roman" w:hAnsi="Times New Roman"/>
          <w:sz w:val="14"/>
          <w:szCs w:val="14"/>
          <w:color w:val="auto"/>
        </w:rPr>
        <w:t>. Except as set forth in the Registration Statement, the Prospectus or the SEC Reports, no Person has any right to cause the Company or any Subsidiary to effect the registration under the Securities Act of any securities of the Company or any Subsidiary.</w:t>
      </w:r>
    </w:p>
    <w:p>
      <w:pPr>
        <w:spacing w:after="0" w:line="90" w:lineRule="exact"/>
        <w:rPr>
          <w:rFonts w:ascii="Times New Roman" w:cs="Times New Roman" w:eastAsia="Times New Roman" w:hAnsi="Times New Roman"/>
          <w:sz w:val="14"/>
          <w:szCs w:val="14"/>
          <w:color w:val="auto"/>
        </w:rPr>
      </w:pPr>
    </w:p>
    <w:p>
      <w:pPr>
        <w:jc w:val="both"/>
        <w:ind w:firstLine="436"/>
        <w:spacing w:after="0" w:line="263" w:lineRule="auto"/>
        <w:tabs>
          <w:tab w:leader="none" w:pos="857"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Listing and Maintenance Requirements</w:t>
      </w:r>
      <w:r>
        <w:rPr>
          <w:rFonts w:ascii="Times New Roman" w:cs="Times New Roman" w:eastAsia="Times New Roman" w:hAnsi="Times New Roman"/>
          <w:sz w:val="14"/>
          <w:szCs w:val="14"/>
          <w:color w:val="auto"/>
        </w:rPr>
        <w:t>. The Common Stock is registered pursuant to Section 12(b) of the Exchange Act, and, except as disclosed in the Registration Statement, the Preliminary Prospectus and the Prospectus,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Except as disclosed in the SEC Reports,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 The shares of Common Stock have been approved for listing on the Nasdaq Capital Market (the “Exchange”) and the Company has taken no action designed to, or likely to have the effect of, delisting the</w:t>
      </w:r>
    </w:p>
    <w:p>
      <w:pPr>
        <w:sectPr>
          <w:pgSz w:w="11900" w:h="16838" w:orient="portrait"/>
          <w:cols w:equalWidth="0" w:num="1">
            <w:col w:w="10880"/>
          </w:cols>
          <w:pgMar w:left="720" w:top="778" w:right="299" w:bottom="1440" w:gutter="0" w:footer="0" w:header="0"/>
        </w:sectPr>
      </w:pPr>
    </w:p>
    <w:bookmarkStart w:id="22" w:name="page23"/>
    <w:bookmarkEnd w:id="22"/>
    <w:p>
      <w:pPr>
        <w:jc w:val="both"/>
        <w:spacing w:after="0" w:line="275" w:lineRule="auto"/>
        <w:rPr>
          <w:sz w:val="20"/>
          <w:szCs w:val="20"/>
          <w:color w:val="auto"/>
        </w:rPr>
      </w:pPr>
      <w:r>
        <w:rPr>
          <w:rFonts w:ascii="Times New Roman" w:cs="Times New Roman" w:eastAsia="Times New Roman" w:hAnsi="Times New Roman"/>
          <w:sz w:val="14"/>
          <w:szCs w:val="14"/>
          <w:color w:val="auto"/>
        </w:rPr>
        <w:t>shares of Common Stock from the Exchange, nor has the Company received any notification that the Exchange is contemplating terminating such listing except as described in the Registration Statement, the Prospectus and the Prospectus Supplement. The Company has submitted the Listing Of Additional Shares Notification with the Exchange with respect to the Offering of the Closing Securities.</w:t>
      </w:r>
    </w:p>
    <w:p>
      <w:pPr>
        <w:spacing w:after="0" w:line="113" w:lineRule="exact"/>
        <w:rPr>
          <w:sz w:val="20"/>
          <w:szCs w:val="20"/>
          <w:color w:val="auto"/>
        </w:rPr>
      </w:pPr>
    </w:p>
    <w:p>
      <w:pPr>
        <w:jc w:val="both"/>
        <w:ind w:firstLine="436"/>
        <w:spacing w:after="0" w:line="268" w:lineRule="auto"/>
        <w:tabs>
          <w:tab w:leader="none" w:pos="807"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Application of Takeover Protections</w:t>
      </w:r>
      <w:r>
        <w:rPr>
          <w:rFonts w:ascii="Times New Roman" w:cs="Times New Roman" w:eastAsia="Times New Roman" w:hAnsi="Times New Roman"/>
          <w:sz w:val="14"/>
          <w:szCs w:val="14"/>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as a result of the Underwriters and the Company fulfilling their obligations or exercising their rights under the Transaction Documents.</w:t>
      </w:r>
    </w:p>
    <w:p>
      <w:pPr>
        <w:spacing w:after="0" w:line="108" w:lineRule="exact"/>
        <w:rPr>
          <w:rFonts w:ascii="Times New Roman" w:cs="Times New Roman" w:eastAsia="Times New Roman" w:hAnsi="Times New Roman"/>
          <w:sz w:val="14"/>
          <w:szCs w:val="14"/>
          <w:color w:val="auto"/>
        </w:rPr>
      </w:pPr>
    </w:p>
    <w:p>
      <w:pPr>
        <w:jc w:val="both"/>
        <w:ind w:firstLine="436"/>
        <w:spacing w:after="0" w:line="260" w:lineRule="auto"/>
        <w:tabs>
          <w:tab w:leader="none" w:pos="771"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Disclosure; 10b-5</w:t>
      </w:r>
      <w:r>
        <w:rPr>
          <w:rFonts w:ascii="Times New Roman" w:cs="Times New Roman" w:eastAsia="Times New Roman" w:hAnsi="Times New Roman"/>
          <w:sz w:val="14"/>
          <w:szCs w:val="14"/>
          <w:color w:val="auto"/>
        </w:rPr>
        <w:t>. The Registration Statement (and any further documents to be filed with the Commission) contains all exhibits and schedules as required by the Securities Act. Each of the Registration Statement and any post-effective amendment thereto, if any, at the time it became effective, complied in all material respects with the Securities Act and the Exchange Act and the applicable rules and regulations under the Securities Act and did not and, as amended or supplemented, if applicable, will not, contain any untrue statement of a material fact or omit to state a material fact required to be stated therein or necessary to make the statements therein not misleading. The Preliminary Prospectus, Prospectus and any Prospectus Supplement, each as of its respective date, comply in all material respects with the Securities Act and the Exchange Act and the applicable rules and regulations. Each of the Preliminary Prospectus, Prospectus and any Prospectus Supplement, as amended or supplemented, did not and will not contain as of the date thereof any untrue statement of a material fact or omit to state a material fact necessary in order to make the statements therein, in light of the circumstances under which they were made, not misleading. The SEC Reports, when they were filed with the Commission, conformed in all material respects to the requirements of the Exchange Act and the applicable rules and regulations, and none of such documents, when they were filed with the Commission, contained any untrue statement of a material fact or omitted to state a material fact necessary to make the statements therein (with respect to the SEC Reports incorporated by reference in the Preliminary Prospectus, Prospectus or any Prospectus Supplement), in light of the circumstances under which they were made not misleading; and any further documents so filed and incorporated by reference in the Preliminary Prospectus, Prospectus or any Prospectus Supplement, when such documents are filed with the Commission, will conform in all material respects to the requirements of the Exchange Act and the applicable rules and regulations, as applicable, and will not contain any untrue statement of a material fact or omit to state a material fact necessary to make the statements therein, in light of the circumstances under which they were made not misleading. No post-effective amendment to the Registration Statement reflecting any facts or events arising after the date thereof which represent, individually or in the aggregate, a fundamental change in the information set forth therein is required to be filed with the Commission. There are no documents required to be filed with the Commission in connection with the transaction contemplated hereby that (x) have not been filed as required pursuant to the</w:t>
      </w:r>
    </w:p>
    <w:p>
      <w:pPr>
        <w:sectPr>
          <w:pgSz w:w="11900" w:h="16838" w:orient="portrait"/>
          <w:cols w:equalWidth="0" w:num="1">
            <w:col w:w="10880"/>
          </w:cols>
          <w:pgMar w:left="720" w:top="778" w:right="299" w:bottom="1440" w:gutter="0" w:footer="0" w:header="0"/>
        </w:sectPr>
      </w:pPr>
    </w:p>
    <w:bookmarkStart w:id="23" w:name="page24"/>
    <w:bookmarkEnd w:id="23"/>
    <w:p>
      <w:pPr>
        <w:jc w:val="both"/>
        <w:spacing w:after="0" w:line="272" w:lineRule="auto"/>
        <w:rPr>
          <w:sz w:val="20"/>
          <w:szCs w:val="20"/>
          <w:color w:val="auto"/>
        </w:rPr>
      </w:pPr>
      <w:r>
        <w:rPr>
          <w:rFonts w:ascii="Times New Roman" w:cs="Times New Roman" w:eastAsia="Times New Roman" w:hAnsi="Times New Roman"/>
          <w:sz w:val="14"/>
          <w:szCs w:val="14"/>
          <w:color w:val="auto"/>
        </w:rPr>
        <w:t>Securities Act or (y) will not be filed within the requisite time period. There are no contracts or other documents required to be described in the Preliminary Prospectus, Prospectus or any Prospectus Supplement, or to be filed as exhibits or schedules to the Registration Statement, which have not been described or filed as required.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light of the circumstances under which they were made and when made, not misleading.</w:t>
      </w:r>
    </w:p>
    <w:p>
      <w:pPr>
        <w:spacing w:after="0" w:line="107" w:lineRule="exact"/>
        <w:rPr>
          <w:sz w:val="20"/>
          <w:szCs w:val="20"/>
          <w:color w:val="auto"/>
        </w:rPr>
      </w:pPr>
    </w:p>
    <w:p>
      <w:pPr>
        <w:jc w:val="both"/>
        <w:ind w:firstLine="436"/>
        <w:spacing w:after="0" w:line="275" w:lineRule="auto"/>
        <w:tabs>
          <w:tab w:leader="none" w:pos="754"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Integrated Offering</w:t>
      </w:r>
      <w:r>
        <w:rPr>
          <w:rFonts w:ascii="Times New Roman" w:cs="Times New Roman" w:eastAsia="Times New Roman" w:hAnsi="Times New Roman"/>
          <w:sz w:val="14"/>
          <w:szCs w:val="14"/>
          <w:color w:val="auto"/>
        </w:rPr>
        <w:t>.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any applicable shareholder approval provisions of any Trading Market on which any of the securities of the Company are listed or designated.</w:t>
      </w:r>
    </w:p>
    <w:p>
      <w:pPr>
        <w:spacing w:after="0" w:line="104" w:lineRule="exact"/>
        <w:rPr>
          <w:sz w:val="20"/>
          <w:szCs w:val="20"/>
          <w:color w:val="auto"/>
        </w:rPr>
      </w:pPr>
    </w:p>
    <w:p>
      <w:pPr>
        <w:jc w:val="both"/>
        <w:ind w:firstLine="436"/>
        <w:spacing w:after="0" w:line="262" w:lineRule="auto"/>
        <w:tabs>
          <w:tab w:leader="none" w:pos="82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Solvency</w:t>
      </w:r>
      <w:r>
        <w:rPr>
          <w:rFonts w:ascii="Times New Roman" w:cs="Times New Roman" w:eastAsia="Times New Roman" w:hAnsi="Times New Roman"/>
          <w:sz w:val="14"/>
          <w:szCs w:val="14"/>
          <w:color w:val="auto"/>
        </w:rPr>
        <w:t>.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The SEC Reports sets forth as of the date hereof all outstanding secured and unsecured Indebtedness of the Company or any Subsidiary, or for which the Company or any Subsidiary has commitments. Neither the Company nor any Subsidiary is in default with respect to any Indebtedness.</w:t>
      </w:r>
    </w:p>
    <w:p>
      <w:pPr>
        <w:spacing w:after="0" w:line="114" w:lineRule="exact"/>
        <w:rPr>
          <w:rFonts w:ascii="Times New Roman" w:cs="Times New Roman" w:eastAsia="Times New Roman" w:hAnsi="Times New Roman"/>
          <w:sz w:val="14"/>
          <w:szCs w:val="14"/>
          <w:color w:val="auto"/>
        </w:rPr>
      </w:pPr>
    </w:p>
    <w:p>
      <w:pPr>
        <w:jc w:val="both"/>
        <w:ind w:firstLine="436"/>
        <w:spacing w:after="0" w:line="268" w:lineRule="auto"/>
        <w:tabs>
          <w:tab w:leader="none" w:pos="843"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Tax Status</w:t>
      </w:r>
      <w:r>
        <w:rPr>
          <w:rFonts w:ascii="Times New Roman" w:cs="Times New Roman" w:eastAsia="Times New Roman" w:hAnsi="Times New Roman"/>
          <w:sz w:val="14"/>
          <w:szCs w:val="14"/>
          <w:color w:val="auto"/>
        </w:rPr>
        <w:t>. Except for matters that would not, individually or in the aggregate, have or reasonably be expected to result in a Material Adverse Effect, the Company and its Subsidiaries each (i) has made or filed, or secured extensions for the filing of, all United States federal, state and local income and all foreign income and franchise tax returns, reports and declarations required to be filed through the date hereof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w:t>
      </w:r>
    </w:p>
    <w:p>
      <w:pPr>
        <w:sectPr>
          <w:pgSz w:w="11900" w:h="16838" w:orient="portrait"/>
          <w:cols w:equalWidth="0" w:num="1">
            <w:col w:w="10880"/>
          </w:cols>
          <w:pgMar w:left="720" w:top="778" w:right="299" w:bottom="1440" w:gutter="0" w:footer="0" w:header="0"/>
        </w:sectPr>
      </w:pPr>
    </w:p>
    <w:bookmarkStart w:id="24" w:name="page25"/>
    <w:bookmarkEnd w:id="24"/>
    <w:p>
      <w:pPr>
        <w:jc w:val="both"/>
        <w:spacing w:after="0" w:line="263" w:lineRule="auto"/>
        <w:rPr>
          <w:sz w:val="20"/>
          <w:szCs w:val="20"/>
          <w:color w:val="auto"/>
        </w:rPr>
      </w:pPr>
      <w:r>
        <w:rPr>
          <w:rFonts w:ascii="Times New Roman" w:cs="Times New Roman" w:eastAsia="Times New Roman" w:hAnsi="Times New Roman"/>
          <w:sz w:val="14"/>
          <w:szCs w:val="14"/>
          <w:color w:val="auto"/>
        </w:rPr>
        <w:t>periods to which such returns, reports or declarations apply. There are no unpaid taxes in any material amount claimed to be due by the taxing authority of any jurisdiction, and the officers of the Company or of any Subsidiary know of no basis for any such claim. The provisions for taxes payable, if any, shown on the financial statements filed with or as part of the Registration Statement are sufficient for all accrued and unpaid taxes, whether or not disputed, and for all periods to and including the dates of such consolidated financial statements. The term “taxes” mean all federal, state, local, foreign, and other net income, gross income, gross receipts, sales, use, ad valorem, transfer, franchise, profits, license, lease, service, service use, withholding, payroll, employment, excise, severance, stamp, occupation, premium, property, windfall profits, customs, duties or other taxes, fees, assessments, or charges of any kind whatsoever, together with any interest and any penalties, additions to tax, or additional amounts with respect thereto. The term “returns” means all returns, declarations, reports, statements, and other documents required to be filed in respect to taxes.</w:t>
      </w:r>
    </w:p>
    <w:p>
      <w:pPr>
        <w:spacing w:after="0" w:line="115" w:lineRule="exact"/>
        <w:rPr>
          <w:sz w:val="20"/>
          <w:szCs w:val="20"/>
          <w:color w:val="auto"/>
        </w:rPr>
      </w:pPr>
    </w:p>
    <w:p>
      <w:pPr>
        <w:jc w:val="both"/>
        <w:ind w:firstLine="436"/>
        <w:spacing w:after="0" w:line="265" w:lineRule="auto"/>
        <w:tabs>
          <w:tab w:leader="none" w:pos="818"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Foreign Corrupt Practices</w:t>
      </w:r>
      <w:r>
        <w:rPr>
          <w:rFonts w:ascii="Times New Roman" w:cs="Times New Roman" w:eastAsia="Times New Roman" w:hAnsi="Times New Roman"/>
          <w:sz w:val="14"/>
          <w:szCs w:val="14"/>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 The Company has taken reasonable steps to ensure that its accounting controls and procedures are sufficient to cause the Company to comply in all material respects with the FCPA.</w:t>
      </w:r>
    </w:p>
    <w:p>
      <w:pPr>
        <w:spacing w:after="0" w:line="112" w:lineRule="exact"/>
        <w:rPr>
          <w:rFonts w:ascii="Times New Roman" w:cs="Times New Roman" w:eastAsia="Times New Roman" w:hAnsi="Times New Roman"/>
          <w:sz w:val="14"/>
          <w:szCs w:val="14"/>
          <w:color w:val="auto"/>
        </w:rPr>
      </w:pPr>
    </w:p>
    <w:p>
      <w:pPr>
        <w:jc w:val="both"/>
        <w:ind w:firstLine="436"/>
        <w:spacing w:after="0" w:line="282" w:lineRule="auto"/>
        <w:tabs>
          <w:tab w:leader="none" w:pos="843"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Accountants</w:t>
      </w:r>
      <w:r>
        <w:rPr>
          <w:rFonts w:ascii="Times New Roman" w:cs="Times New Roman" w:eastAsia="Times New Roman" w:hAnsi="Times New Roman"/>
          <w:sz w:val="14"/>
          <w:szCs w:val="14"/>
          <w:color w:val="auto"/>
        </w:rPr>
        <w:t>. To the knowledge of the Company, the Company Auditor, whose report is filed with the Commission as part of the Registration Statement, is an independent registered public accounting firm as required by the Securities Act and the rules and regulations thereunder. The Company Auditor has not, during the periods covered by the financial statements included in the Prospectus, provided to the Company any non-audit services, as such term is used in Section 10A(g) of the Exchange Act.</w:t>
      </w:r>
    </w:p>
    <w:p>
      <w:pPr>
        <w:spacing w:after="0" w:line="98" w:lineRule="exact"/>
        <w:rPr>
          <w:rFonts w:ascii="Times New Roman" w:cs="Times New Roman" w:eastAsia="Times New Roman" w:hAnsi="Times New Roman"/>
          <w:sz w:val="14"/>
          <w:szCs w:val="14"/>
          <w:color w:val="auto"/>
        </w:rPr>
      </w:pPr>
    </w:p>
    <w:p>
      <w:pPr>
        <w:jc w:val="both"/>
        <w:ind w:firstLine="436"/>
        <w:spacing w:after="0" w:line="265" w:lineRule="auto"/>
        <w:tabs>
          <w:tab w:leader="none" w:pos="8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FDA</w:t>
      </w:r>
      <w:r>
        <w:rPr>
          <w:rFonts w:ascii="Times New Roman" w:cs="Times New Roman" w:eastAsia="Times New Roman" w:hAnsi="Times New Roman"/>
          <w:sz w:val="14"/>
          <w:szCs w:val="14"/>
          <w:color w:val="auto"/>
        </w:rPr>
        <w:t>. As to each product subject to the jurisdiction of the U.S. Food and Drug Administration (“</w:t>
      </w:r>
      <w:r>
        <w:rPr>
          <w:rFonts w:ascii="Times New Roman" w:cs="Times New Roman" w:eastAsia="Times New Roman" w:hAnsi="Times New Roman"/>
          <w:sz w:val="14"/>
          <w:szCs w:val="14"/>
          <w:u w:val="single" w:color="auto"/>
          <w:color w:val="auto"/>
        </w:rPr>
        <w:t>FDA</w:t>
      </w:r>
      <w:r>
        <w:rPr>
          <w:rFonts w:ascii="Times New Roman" w:cs="Times New Roman" w:eastAsia="Times New Roman" w:hAnsi="Times New Roman"/>
          <w:sz w:val="14"/>
          <w:szCs w:val="14"/>
          <w:color w:val="auto"/>
        </w:rPr>
        <w:t>”) under the Federal Food, Drug and Cosmetic Act, as amended, and the regulations thereunder (“</w:t>
      </w:r>
      <w:r>
        <w:rPr>
          <w:rFonts w:ascii="Times New Roman" w:cs="Times New Roman" w:eastAsia="Times New Roman" w:hAnsi="Times New Roman"/>
          <w:sz w:val="14"/>
          <w:szCs w:val="14"/>
          <w:u w:val="single" w:color="auto"/>
          <w:color w:val="auto"/>
        </w:rPr>
        <w:t>FDCA</w:t>
      </w:r>
      <w:r>
        <w:rPr>
          <w:rFonts w:ascii="Times New Roman" w:cs="Times New Roman" w:eastAsia="Times New Roman" w:hAnsi="Times New Roman"/>
          <w:sz w:val="14"/>
          <w:szCs w:val="14"/>
          <w:color w:val="auto"/>
        </w:rPr>
        <w:t>”) that is manufactured, packaged, labeled, tested, distributed, sold, and/or marketed by the Company or any of its Subsidiaries (each such product, a “</w:t>
      </w:r>
      <w:r>
        <w:rPr>
          <w:rFonts w:ascii="Times New Roman" w:cs="Times New Roman" w:eastAsia="Times New Roman" w:hAnsi="Times New Roman"/>
          <w:sz w:val="14"/>
          <w:szCs w:val="14"/>
          <w:u w:val="single" w:color="auto"/>
          <w:color w:val="auto"/>
        </w:rPr>
        <w:t>Product</w:t>
      </w:r>
      <w:r>
        <w:rPr>
          <w:rFonts w:ascii="Times New Roman" w:cs="Times New Roman" w:eastAsia="Times New Roman" w:hAnsi="Times New Roman"/>
          <w:sz w:val="14"/>
          <w:szCs w:val="14"/>
          <w:color w:val="auto"/>
        </w:rPr>
        <w:t>”), such Product is being manufactured, packaged, labeled, tested, distributed, sold and/or marketed by the Company in compliance with all applicable requirements under FDCA and similar laws, rules and regulations relating to registration, investigational use, premarket clearance, licensure, or application approval, good manufacturing practices, good laboratory practices, good clinical practices, product listing, quotas, labeling, advertising, record keeping and filing of reports, except where the failure to be in compliance would not have a Material Adverse Effect. There is no pending, completed or, to the Company’s knowledge, threatened, action (including any lawsuit, arbitration, or legal or administrative or</w:t>
      </w:r>
    </w:p>
    <w:p>
      <w:pPr>
        <w:sectPr>
          <w:pgSz w:w="11900" w:h="16838" w:orient="portrait"/>
          <w:cols w:equalWidth="0" w:num="1">
            <w:col w:w="10880"/>
          </w:cols>
          <w:pgMar w:left="720" w:top="778" w:right="299" w:bottom="1440" w:gutter="0" w:footer="0" w:header="0"/>
        </w:sectPr>
      </w:pPr>
    </w:p>
    <w:bookmarkStart w:id="25" w:name="page26"/>
    <w:bookmarkEnd w:id="25"/>
    <w:p>
      <w:pPr>
        <w:jc w:val="both"/>
        <w:spacing w:after="0" w:line="262" w:lineRule="auto"/>
        <w:rPr>
          <w:sz w:val="20"/>
          <w:szCs w:val="20"/>
          <w:color w:val="auto"/>
        </w:rPr>
      </w:pPr>
      <w:r>
        <w:rPr>
          <w:rFonts w:ascii="Times New Roman" w:cs="Times New Roman" w:eastAsia="Times New Roman" w:hAnsi="Times New Roman"/>
          <w:sz w:val="14"/>
          <w:szCs w:val="14"/>
          <w:color w:val="auto"/>
        </w:rPr>
        <w:t>regulatory proceeding, charge, complaint, or investigation) against the Company or any of its Subsidiaries, and none of the Company or any of its Subsidiaries has received any notice, warning letter or other communication from the FDA or any other governmental entity, which (i) contests the premarket clearance, licensure, registration, or approval of, the uses of, the distribution of, the manufacturing or packaging of, the testing of, the sale of, or the labeling and promotion of any Product, (ii) withdraws its approval of, requests the recall, suspension, or seizure of, or withdraws or orders the withdrawal of advertising or sales promotional materials relating to, any Product, (iii) imposes a clinical hold on any clinical investigation by the Company or any of its Subsidiaries, (iv) enjoins production at any facility of the Company or any of its Subsidiaries, (v) enters or proposes to enter into a consent decree of permanent injunction with the Company or any of its Subsidiaries, or (vi) otherwise alleges any violation of any laws, rules or regulations by the Company or any of its Subsidiaries, and which, either individually or in the aggregate, could reasonably be expected to have a Material Adverse Effect. The properties, business and operations of the Company have been and are being conducted in all material respects in accordance with all applicable laws, rules and regulations of the FDA. The Company has not been informed by the FDA that the FDA will prohibit the marketing, sale, license or use in the United States of any product proposed to be developed, produced or marketed by the Company nor has the FDA expressed any concern as to approving or clearing for marketing any product being developed or proposed to be developed by the Company.</w:t>
      </w:r>
    </w:p>
    <w:p>
      <w:pPr>
        <w:spacing w:after="0" w:line="115" w:lineRule="exact"/>
        <w:rPr>
          <w:sz w:val="20"/>
          <w:szCs w:val="20"/>
          <w:color w:val="auto"/>
        </w:rPr>
      </w:pPr>
    </w:p>
    <w:p>
      <w:pPr>
        <w:jc w:val="both"/>
        <w:ind w:firstLine="436"/>
        <w:spacing w:after="0" w:line="268" w:lineRule="auto"/>
        <w:tabs>
          <w:tab w:leader="none" w:pos="783"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Stock Option Plans</w:t>
      </w:r>
      <w:r>
        <w:rPr>
          <w:rFonts w:ascii="Times New Roman" w:cs="Times New Roman" w:eastAsia="Times New Roman" w:hAnsi="Times New Roman"/>
          <w:sz w:val="14"/>
          <w:szCs w:val="14"/>
          <w:color w:val="auto"/>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09" w:lineRule="exact"/>
        <w:rPr>
          <w:rFonts w:ascii="Times New Roman" w:cs="Times New Roman" w:eastAsia="Times New Roman" w:hAnsi="Times New Roman"/>
          <w:sz w:val="14"/>
          <w:szCs w:val="14"/>
          <w:color w:val="auto"/>
        </w:rPr>
      </w:pPr>
    </w:p>
    <w:p>
      <w:pPr>
        <w:ind w:firstLine="436"/>
        <w:spacing w:after="0" w:line="295" w:lineRule="auto"/>
        <w:tabs>
          <w:tab w:leader="none" w:pos="825"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Office of Foreign Assets Control</w:t>
      </w:r>
      <w:r>
        <w:rPr>
          <w:rFonts w:ascii="Times New Roman" w:cs="Times New Roman" w:eastAsia="Times New Roman" w:hAnsi="Times New Roman"/>
          <w:sz w:val="14"/>
          <w:szCs w:val="14"/>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w:t>
      </w:r>
    </w:p>
    <w:p>
      <w:pPr>
        <w:spacing w:after="0" w:line="90" w:lineRule="exact"/>
        <w:rPr>
          <w:rFonts w:ascii="Times New Roman" w:cs="Times New Roman" w:eastAsia="Times New Roman" w:hAnsi="Times New Roman"/>
          <w:sz w:val="14"/>
          <w:szCs w:val="14"/>
          <w:color w:val="auto"/>
        </w:rPr>
      </w:pPr>
    </w:p>
    <w:p>
      <w:pPr>
        <w:ind w:firstLine="436"/>
        <w:spacing w:after="0" w:line="295" w:lineRule="auto"/>
        <w:tabs>
          <w:tab w:leader="none" w:pos="87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U.S. Real Property Holding Corporation</w:t>
      </w:r>
      <w:r>
        <w:rPr>
          <w:rFonts w:ascii="Times New Roman" w:cs="Times New Roman" w:eastAsia="Times New Roman" w:hAnsi="Times New Roman"/>
          <w:sz w:val="14"/>
          <w:szCs w:val="14"/>
          <w:color w:val="auto"/>
        </w:rPr>
        <w:t>. The Company is not and has never been a U.S. real property holding corporation within the meaning of Section 897 of the Internal Revenue Code of 1986, as amended, and the Company shall so certify upon the Representative’s request.</w:t>
      </w:r>
    </w:p>
    <w:p>
      <w:pPr>
        <w:spacing w:after="0" w:line="99" w:lineRule="exact"/>
        <w:rPr>
          <w:rFonts w:ascii="Times New Roman" w:cs="Times New Roman" w:eastAsia="Times New Roman" w:hAnsi="Times New Roman"/>
          <w:sz w:val="14"/>
          <w:szCs w:val="14"/>
          <w:color w:val="auto"/>
        </w:rPr>
      </w:pPr>
    </w:p>
    <w:p>
      <w:pPr>
        <w:jc w:val="both"/>
        <w:ind w:firstLine="436"/>
        <w:spacing w:after="0" w:line="275" w:lineRule="auto"/>
        <w:tabs>
          <w:tab w:leader="none" w:pos="75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Bank Holding Company Act</w:t>
      </w:r>
      <w:r>
        <w:rPr>
          <w:rFonts w:ascii="Times New Roman" w:cs="Times New Roman" w:eastAsia="Times New Roman" w:hAnsi="Times New Roman"/>
          <w:sz w:val="14"/>
          <w:szCs w:val="14"/>
          <w:color w:val="auto"/>
        </w:rPr>
        <w:t>. Neither the Company nor any of its Subsidiaries or Affiliates is subject to the Bank Holding Company Act of 1956, as amended (the “</w:t>
      </w:r>
      <w:r>
        <w:rPr>
          <w:rFonts w:ascii="Times New Roman" w:cs="Times New Roman" w:eastAsia="Times New Roman" w:hAnsi="Times New Roman"/>
          <w:sz w:val="14"/>
          <w:szCs w:val="14"/>
          <w:u w:val="single" w:color="auto"/>
          <w:color w:val="auto"/>
        </w:rPr>
        <w:t>BHCA</w:t>
      </w:r>
      <w:r>
        <w:rPr>
          <w:rFonts w:ascii="Times New Roman" w:cs="Times New Roman" w:eastAsia="Times New Roman" w:hAnsi="Times New Roman"/>
          <w:sz w:val="14"/>
          <w:szCs w:val="14"/>
          <w:color w:val="auto"/>
        </w:rPr>
        <w:t>”) and to regulation by the Board of Governors of the Federal Reserve System (the “</w:t>
      </w:r>
      <w:r>
        <w:rPr>
          <w:rFonts w:ascii="Times New Roman" w:cs="Times New Roman" w:eastAsia="Times New Roman" w:hAnsi="Times New Roman"/>
          <w:sz w:val="14"/>
          <w:szCs w:val="14"/>
          <w:u w:val="single" w:color="auto"/>
          <w:color w:val="auto"/>
        </w:rPr>
        <w:t>Federal Reserve</w:t>
      </w:r>
      <w:r>
        <w:rPr>
          <w:rFonts w:ascii="Times New Roman" w:cs="Times New Roman" w:eastAsia="Times New Roman" w:hAnsi="Times New Roman"/>
          <w:sz w:val="14"/>
          <w:szCs w:val="14"/>
          <w:color w:val="auto"/>
        </w:rPr>
        <w:t>”). Neither the Company nor any of its Subsidiaries or Affiliates owns or controls, directly or indirectly, five percent (5%) or more of the outstanding shares of any</w:t>
      </w:r>
    </w:p>
    <w:p>
      <w:pPr>
        <w:sectPr>
          <w:pgSz w:w="11900" w:h="16838" w:orient="portrait"/>
          <w:cols w:equalWidth="0" w:num="1">
            <w:col w:w="10880"/>
          </w:cols>
          <w:pgMar w:left="720" w:top="778" w:right="299" w:bottom="1440" w:gutter="0" w:footer="0" w:header="0"/>
        </w:sectPr>
      </w:pPr>
    </w:p>
    <w:bookmarkStart w:id="26" w:name="page27"/>
    <w:bookmarkEnd w:id="26"/>
    <w:p>
      <w:pPr>
        <w:jc w:val="both"/>
        <w:spacing w:after="0" w:line="275" w:lineRule="auto"/>
        <w:rPr>
          <w:sz w:val="20"/>
          <w:szCs w:val="20"/>
          <w:color w:val="auto"/>
        </w:rPr>
      </w:pPr>
      <w:r>
        <w:rPr>
          <w:rFonts w:ascii="Times New Roman" w:cs="Times New Roman" w:eastAsia="Times New Roman" w:hAnsi="Times New Roman"/>
          <w:sz w:val="14"/>
          <w:szCs w:val="14"/>
          <w:color w:val="auto"/>
        </w:rPr>
        <w:t>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13" w:lineRule="exact"/>
        <w:rPr>
          <w:sz w:val="20"/>
          <w:szCs w:val="20"/>
          <w:color w:val="auto"/>
        </w:rPr>
      </w:pPr>
    </w:p>
    <w:p>
      <w:pPr>
        <w:jc w:val="both"/>
        <w:ind w:firstLine="436"/>
        <w:spacing w:after="0" w:line="268" w:lineRule="auto"/>
        <w:tabs>
          <w:tab w:leader="none" w:pos="80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Money Laundering</w:t>
      </w:r>
      <w:r>
        <w:rPr>
          <w:rFonts w:ascii="Times New Roman" w:cs="Times New Roman" w:eastAsia="Times New Roman" w:hAnsi="Times New Roman"/>
          <w:sz w:val="14"/>
          <w:szCs w:val="14"/>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4"/>
          <w:szCs w:val="14"/>
          <w:u w:val="single" w:color="auto"/>
          <w:color w:val="auto"/>
        </w:rPr>
        <w:t>Money Laundering Laws</w:t>
      </w:r>
      <w:r>
        <w:rPr>
          <w:rFonts w:ascii="Times New Roman" w:cs="Times New Roman" w:eastAsia="Times New Roman" w:hAnsi="Times New Roman"/>
          <w:sz w:val="14"/>
          <w:szCs w:val="14"/>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08" w:lineRule="exact"/>
        <w:rPr>
          <w:rFonts w:ascii="Times New Roman" w:cs="Times New Roman" w:eastAsia="Times New Roman" w:hAnsi="Times New Roman"/>
          <w:sz w:val="14"/>
          <w:szCs w:val="14"/>
          <w:color w:val="auto"/>
        </w:rPr>
      </w:pPr>
    </w:p>
    <w:p>
      <w:pPr>
        <w:jc w:val="both"/>
        <w:ind w:firstLine="436"/>
        <w:spacing w:after="0" w:line="282" w:lineRule="auto"/>
        <w:tabs>
          <w:tab w:leader="none" w:pos="825"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D&amp;O Questionnaires</w:t>
      </w:r>
      <w:r>
        <w:rPr>
          <w:rFonts w:ascii="Times New Roman" w:cs="Times New Roman" w:eastAsia="Times New Roman" w:hAnsi="Times New Roman"/>
          <w:sz w:val="14"/>
          <w:szCs w:val="14"/>
          <w:color w:val="auto"/>
        </w:rPr>
        <w:t>. To the Company’s knowledge, all information contained in the questionnaires completed by each of the Company’s directors and officers immediately prior to the Offering as well as in the Lock-Up Agreement provided to the Underwriters is true and correct in all respects and the Company has not become aware of any information which would cause the information disclosed in such questionnaires become inaccurate and incorrect.</w:t>
      </w:r>
    </w:p>
    <w:p>
      <w:pPr>
        <w:spacing w:after="0" w:line="98" w:lineRule="exact"/>
        <w:rPr>
          <w:rFonts w:ascii="Times New Roman" w:cs="Times New Roman" w:eastAsia="Times New Roman" w:hAnsi="Times New Roman"/>
          <w:sz w:val="14"/>
          <w:szCs w:val="14"/>
          <w:color w:val="auto"/>
        </w:rPr>
      </w:pPr>
    </w:p>
    <w:p>
      <w:pPr>
        <w:jc w:val="both"/>
        <w:ind w:firstLine="436"/>
        <w:spacing w:after="0" w:line="268" w:lineRule="auto"/>
        <w:tabs>
          <w:tab w:leader="none" w:pos="80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FINRA Affiliation</w:t>
      </w:r>
      <w:r>
        <w:rPr>
          <w:rFonts w:ascii="Times New Roman" w:cs="Times New Roman" w:eastAsia="Times New Roman" w:hAnsi="Times New Roman"/>
          <w:sz w:val="14"/>
          <w:szCs w:val="14"/>
          <w:color w:val="auto"/>
        </w:rPr>
        <w:t>. No officer, director or, to the Company’s knowledge, any beneficial owner of 5% or more of the Company’s unregistered securities has any direct or indirect affiliation or association with any FINRA member (as determined in accordance with the rules and regulations of FINRA) that is participating in the Offering. The Company will advise the Representative and SRFC if it learns that any officer, director or owner of 5% or more of the Company’s outstanding shares of Common Stock or Common Stock Equivalents is or becomes an affiliate or associated person of a FINRA member firm.</w:t>
      </w:r>
    </w:p>
    <w:p>
      <w:pPr>
        <w:spacing w:after="0" w:line="117" w:lineRule="exact"/>
        <w:rPr>
          <w:rFonts w:ascii="Times New Roman" w:cs="Times New Roman" w:eastAsia="Times New Roman" w:hAnsi="Times New Roman"/>
          <w:sz w:val="14"/>
          <w:szCs w:val="14"/>
          <w:color w:val="auto"/>
        </w:rPr>
      </w:pPr>
    </w:p>
    <w:p>
      <w:pPr>
        <w:ind w:right="20" w:firstLine="436"/>
        <w:spacing w:after="0" w:line="295" w:lineRule="auto"/>
        <w:tabs>
          <w:tab w:leader="none" w:pos="923"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Officers’ Certificate</w:t>
      </w:r>
      <w:r>
        <w:rPr>
          <w:rFonts w:ascii="Times New Roman" w:cs="Times New Roman" w:eastAsia="Times New Roman" w:hAnsi="Times New Roman"/>
          <w:sz w:val="14"/>
          <w:szCs w:val="14"/>
          <w:color w:val="auto"/>
        </w:rPr>
        <w:t>. Any certificate signed by any duly authorized officer of the Company and delivered to the Representative or SRFC shall be deemed a representation and warranty by the Company to the Underwriters as to the matters covered thereby.</w:t>
      </w:r>
    </w:p>
    <w:p>
      <w:pPr>
        <w:spacing w:after="0" w:line="90" w:lineRule="exact"/>
        <w:rPr>
          <w:rFonts w:ascii="Times New Roman" w:cs="Times New Roman" w:eastAsia="Times New Roman" w:hAnsi="Times New Roman"/>
          <w:sz w:val="14"/>
          <w:szCs w:val="14"/>
          <w:color w:val="auto"/>
        </w:rPr>
      </w:pPr>
    </w:p>
    <w:p>
      <w:pPr>
        <w:jc w:val="both"/>
        <w:ind w:firstLine="436"/>
        <w:spacing w:after="0" w:line="268" w:lineRule="auto"/>
        <w:tabs>
          <w:tab w:leader="none" w:pos="861"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Board of Directors</w:t>
      </w:r>
      <w:r>
        <w:rPr>
          <w:rFonts w:ascii="Times New Roman" w:cs="Times New Roman" w:eastAsia="Times New Roman" w:hAnsi="Times New Roman"/>
          <w:sz w:val="14"/>
          <w:szCs w:val="14"/>
          <w:color w:val="auto"/>
        </w:rPr>
        <w:t>. The Board of Directors is comprised of the persons set forth under the heading of the Prospectus captioned “Management.” The qualifications of the persons serving as board members and the overall composition of the Board of Directors comply with the Sarbanes-Oxley Act of 2002 and the rules promulgated thereunder applicable to the Company and the rules of the Trading Market. At least one member of the Board of Directors qualifies as a “financial expert” as such term is defined under the Sarbanes-Oxley Act of 2002 and the rules promulgated thereunder and the rules of the Trading Market. In addition, at least a majority of the persons serving on the Board of Directors qualify as “independent” as defined under the rules of the Trading Market.</w:t>
      </w:r>
    </w:p>
    <w:p>
      <w:pPr>
        <w:sectPr>
          <w:pgSz w:w="11900" w:h="16838" w:orient="portrait"/>
          <w:cols w:equalWidth="0" w:num="1">
            <w:col w:w="10880"/>
          </w:cols>
          <w:pgMar w:left="720" w:top="778" w:right="299" w:bottom="1440" w:gutter="0" w:footer="0" w:header="0"/>
        </w:sectPr>
      </w:pPr>
    </w:p>
    <w:bookmarkStart w:id="27" w:name="page28"/>
    <w:bookmarkEnd w:id="27"/>
    <w:p>
      <w:pPr>
        <w:jc w:val="both"/>
        <w:ind w:left="-436" w:firstLine="436"/>
        <w:spacing w:after="0" w:line="263" w:lineRule="auto"/>
        <w:tabs>
          <w:tab w:leader="none" w:pos="425"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Cybersecurity</w:t>
      </w:r>
      <w:r>
        <w:rPr>
          <w:rFonts w:ascii="Times New Roman" w:cs="Times New Roman" w:eastAsia="Times New Roman" w:hAnsi="Times New Roman"/>
          <w:sz w:val="14"/>
          <w:szCs w:val="14"/>
          <w:color w:val="auto"/>
        </w:rPr>
        <w:t>.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cs="Times New Roman" w:eastAsia="Times New Roman" w:hAnsi="Times New Roman"/>
          <w:sz w:val="14"/>
          <w:szCs w:val="14"/>
          <w:u w:val="single" w:color="auto"/>
          <w:color w:val="auto"/>
        </w:rPr>
        <w:t>IT Systems and Data</w:t>
      </w:r>
      <w:r>
        <w:rPr>
          <w:rFonts w:ascii="Times New Roman" w:cs="Times New Roman" w:eastAsia="Times New Roman" w:hAnsi="Times New Roman"/>
          <w:sz w:val="14"/>
          <w:szCs w:val="14"/>
          <w:color w:val="auto"/>
        </w:rPr>
        <w:t>”) and (y)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spacing w:after="0" w:line="113" w:lineRule="exact"/>
        <w:rPr>
          <w:rFonts w:ascii="Times New Roman" w:cs="Times New Roman" w:eastAsia="Times New Roman" w:hAnsi="Times New Roman"/>
          <w:sz w:val="14"/>
          <w:szCs w:val="14"/>
          <w:color w:val="auto"/>
        </w:rPr>
      </w:pPr>
    </w:p>
    <w:p>
      <w:pPr>
        <w:jc w:val="both"/>
        <w:ind w:left="-436" w:firstLine="436"/>
        <w:spacing w:after="0" w:line="260" w:lineRule="auto"/>
        <w:tabs>
          <w:tab w:leader="none" w:pos="398"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Compliance with Data Privacy Laws</w:t>
      </w:r>
      <w:r>
        <w:rPr>
          <w:rFonts w:ascii="Times New Roman" w:cs="Times New Roman" w:eastAsia="Times New Roman" w:hAnsi="Times New Roman"/>
          <w:sz w:val="14"/>
          <w:szCs w:val="14"/>
          <w:color w:val="auto"/>
        </w:rPr>
        <w:t>. (i) The Company and the Subsidiaries are, and at all times during the last three (3) years were, in compliance with all applicable state, federal and foreign data privacy and security laws and regulations, including, without limitation, the European Union General Data Protection Regulation (“</w:t>
      </w:r>
      <w:r>
        <w:rPr>
          <w:rFonts w:ascii="Times New Roman" w:cs="Times New Roman" w:eastAsia="Times New Roman" w:hAnsi="Times New Roman"/>
          <w:sz w:val="14"/>
          <w:szCs w:val="14"/>
          <w:u w:val="single" w:color="auto"/>
          <w:color w:val="auto"/>
        </w:rPr>
        <w:t>GDPR</w:t>
      </w:r>
      <w:r>
        <w:rPr>
          <w:rFonts w:ascii="Times New Roman" w:cs="Times New Roman" w:eastAsia="Times New Roman" w:hAnsi="Times New Roman"/>
          <w:sz w:val="14"/>
          <w:szCs w:val="14"/>
          <w:color w:val="auto"/>
        </w:rPr>
        <w:t>”) (EU 2016/679) (collectively, “</w:t>
      </w:r>
      <w:r>
        <w:rPr>
          <w:rFonts w:ascii="Times New Roman" w:cs="Times New Roman" w:eastAsia="Times New Roman" w:hAnsi="Times New Roman"/>
          <w:sz w:val="14"/>
          <w:szCs w:val="14"/>
          <w:u w:val="single" w:color="auto"/>
          <w:color w:val="auto"/>
        </w:rPr>
        <w:t>Privacy Laws</w:t>
      </w:r>
      <w:r>
        <w:rPr>
          <w:rFonts w:ascii="Times New Roman" w:cs="Times New Roman" w:eastAsia="Times New Roman" w:hAnsi="Times New Roman"/>
          <w:sz w:val="14"/>
          <w:szCs w:val="14"/>
          <w:color w:val="auto"/>
        </w:rPr>
        <w:t>”); (ii) the Company and the Subsidiaries have in place, comply with, and take appropriate steps reasonably designed to ensure compliance with their policies and procedures relating to data privacy and security and the collection, storage, use, disclosure, handling and analysis of Personal Data (as defined below) (the “</w:t>
      </w:r>
      <w:r>
        <w:rPr>
          <w:rFonts w:ascii="Times New Roman" w:cs="Times New Roman" w:eastAsia="Times New Roman" w:hAnsi="Times New Roman"/>
          <w:sz w:val="14"/>
          <w:szCs w:val="14"/>
          <w:u w:val="single" w:color="auto"/>
          <w:color w:val="auto"/>
        </w:rPr>
        <w:t>Policies</w:t>
      </w:r>
      <w:r>
        <w:rPr>
          <w:rFonts w:ascii="Times New Roman" w:cs="Times New Roman" w:eastAsia="Times New Roman" w:hAnsi="Times New Roman"/>
          <w:sz w:val="14"/>
          <w:szCs w:val="14"/>
          <w:color w:val="auto"/>
        </w:rPr>
        <w:t>”); (iii) the Company provides accurate notice of its applicable Policies to its customers, employees, third party vendors and representatives as required by the Privacy Laws; and (iv) applicable Policies provide accurate and sufficient notice of the Company’s then-current privacy practices relating to its subject matter, and do not contain any material omissions of the Company’s then-current privacy practices, as required by Privacy Laws. “</w:t>
      </w:r>
      <w:r>
        <w:rPr>
          <w:rFonts w:ascii="Times New Roman" w:cs="Times New Roman" w:eastAsia="Times New Roman" w:hAnsi="Times New Roman"/>
          <w:sz w:val="14"/>
          <w:szCs w:val="14"/>
          <w:u w:val="single" w:color="auto"/>
          <w:color w:val="auto"/>
        </w:rPr>
        <w:t>Personal Data</w:t>
      </w:r>
      <w:r>
        <w:rPr>
          <w:rFonts w:ascii="Times New Roman" w:cs="Times New Roman" w:eastAsia="Times New Roman" w:hAnsi="Times New Roman"/>
          <w:sz w:val="14"/>
          <w:szCs w:val="14"/>
          <w:color w:val="auto"/>
        </w:rPr>
        <w:t>” means (i) a natural person’s name, street address, telephone number, email address, photograph, social security number, bank information, or customer or account number; (ii) any information which would qualify as “personally identifying information” under the Federal Trade Commission Act, as amended; (iii) “personal data” as defined by GDPR; and (iv) any other piece of information that allows the identification of such natural person, or his or her family, or permits the collection or analysis of any identifiable data related to an identified person’s health or sexual orientation. (i) None of such disclosures made or contained in any of the Policies have been inaccurate, misleading, or deceptive in violation of any Privacy Laws and (ii) the execution, delivery and performance of the Transaction Documents will not result in a breach of any Privacy Laws or Policies. Neither the Company nor the Subsidiaries (i) to the knowledge of the Company, has received written notice of any actual or potential liability of the Company or the Subsidiaries under, or actual or potential violation by the Company or the Subsidiaries of, any of the Privacy Laws; (ii) is</w:t>
      </w:r>
    </w:p>
    <w:p>
      <w:pPr>
        <w:sectPr>
          <w:pgSz w:w="11900" w:h="16838" w:orient="portrait"/>
          <w:cols w:equalWidth="0" w:num="1">
            <w:col w:w="10444"/>
          </w:cols>
          <w:pgMar w:left="1156" w:top="778" w:right="299" w:bottom="1440" w:gutter="0" w:footer="0" w:header="0"/>
        </w:sectPr>
      </w:pPr>
    </w:p>
    <w:bookmarkStart w:id="28" w:name="page29"/>
    <w:bookmarkEnd w:id="28"/>
    <w:p>
      <w:pPr>
        <w:jc w:val="both"/>
        <w:ind w:left="420"/>
        <w:spacing w:after="0" w:line="287" w:lineRule="auto"/>
        <w:rPr>
          <w:sz w:val="20"/>
          <w:szCs w:val="20"/>
          <w:color w:val="auto"/>
        </w:rPr>
      </w:pPr>
      <w:r>
        <w:rPr>
          <w:rFonts w:ascii="Times New Roman" w:cs="Times New Roman" w:eastAsia="Times New Roman" w:hAnsi="Times New Roman"/>
          <w:sz w:val="14"/>
          <w:szCs w:val="14"/>
          <w:color w:val="auto"/>
        </w:rPr>
        <w:t>currently conducting or paying for, in whole or in part, any investigation, remediation or other corrective action pursuant to any regulatory request or demand pursuant to any Privacy Law; or (iii) is a party to any order, decree, or agreement by or with any court or arbitrator or governmental or regulatory authority that imposed any obligation or liability under any Privacy Law.</w:t>
      </w:r>
    </w:p>
    <w:p>
      <w:pPr>
        <w:spacing w:after="0" w:line="281" w:lineRule="exact"/>
        <w:rPr>
          <w:sz w:val="20"/>
          <w:szCs w:val="20"/>
          <w:color w:val="auto"/>
        </w:rPr>
      </w:pPr>
    </w:p>
    <w:p>
      <w:pPr>
        <w:jc w:val="both"/>
        <w:ind w:left="420" w:firstLine="436"/>
        <w:spacing w:after="0" w:line="263" w:lineRule="auto"/>
        <w:tabs>
          <w:tab w:leader="none" w:pos="127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Environmental Laws</w:t>
      </w:r>
      <w:r>
        <w:rPr>
          <w:rFonts w:ascii="Times New Roman" w:cs="Times New Roman" w:eastAsia="Times New Roman" w:hAnsi="Times New Roman"/>
          <w:sz w:val="14"/>
          <w:szCs w:val="14"/>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4"/>
          <w:szCs w:val="14"/>
          <w:u w:val="single" w:color="auto"/>
          <w:color w:val="auto"/>
        </w:rPr>
        <w:t>Hazardous Materials</w:t>
      </w:r>
      <w:r>
        <w:rPr>
          <w:rFonts w:ascii="Times New Roman" w:cs="Times New Roman" w:eastAsia="Times New Roman" w:hAnsi="Times New Roman"/>
          <w:sz w:val="14"/>
          <w:szCs w:val="14"/>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14"/>
          <w:szCs w:val="14"/>
          <w:u w:val="single" w:color="auto"/>
          <w:color w:val="auto"/>
        </w:rPr>
        <w:t>Environmental Laws</w:t>
      </w:r>
      <w:r>
        <w:rPr>
          <w:rFonts w:ascii="Times New Roman" w:cs="Times New Roman" w:eastAsia="Times New Roman" w:hAnsi="Times New Roman"/>
          <w:sz w:val="14"/>
          <w:szCs w:val="14"/>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286" w:lineRule="exact"/>
        <w:rPr>
          <w:rFonts w:ascii="Times New Roman" w:cs="Times New Roman" w:eastAsia="Times New Roman" w:hAnsi="Times New Roman"/>
          <w:sz w:val="14"/>
          <w:szCs w:val="14"/>
          <w:color w:val="auto"/>
        </w:rPr>
      </w:pPr>
    </w:p>
    <w:p>
      <w:pPr>
        <w:jc w:val="both"/>
        <w:ind w:left="420" w:firstLine="436"/>
        <w:spacing w:after="0" w:line="275" w:lineRule="auto"/>
        <w:tabs>
          <w:tab w:leader="none" w:pos="1197"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Statistical and Market-Related Data</w:t>
      </w:r>
      <w:r>
        <w:rPr>
          <w:rFonts w:ascii="Times New Roman" w:cs="Times New Roman" w:eastAsia="Times New Roman" w:hAnsi="Times New Roman"/>
          <w:sz w:val="14"/>
          <w:szCs w:val="14"/>
          <w:color w:val="auto"/>
        </w:rPr>
        <w:t>. Any statistical and market-related data included in the Registration Statement or the Prospectus are based on or derived from sources that the Company believes, after reasonable inquiry, to be reliable and accurate in all material respects and, to the extent required, the Company has obtained the written consent to the use of such data from such sources.</w:t>
      </w:r>
    </w:p>
    <w:p>
      <w:pPr>
        <w:spacing w:after="0" w:line="112" w:lineRule="exact"/>
        <w:rPr>
          <w:rFonts w:ascii="Times New Roman" w:cs="Times New Roman" w:eastAsia="Times New Roman" w:hAnsi="Times New Roman"/>
          <w:sz w:val="14"/>
          <w:szCs w:val="14"/>
          <w:color w:val="auto"/>
        </w:rPr>
      </w:pPr>
    </w:p>
    <w:p>
      <w:pPr>
        <w:jc w:val="both"/>
        <w:ind w:left="420" w:firstLine="436"/>
        <w:spacing w:after="0" w:line="265" w:lineRule="auto"/>
        <w:tabs>
          <w:tab w:leader="none" w:pos="122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Forward-Looking Statements</w:t>
      </w:r>
      <w:r>
        <w:rPr>
          <w:rFonts w:ascii="Times New Roman" w:cs="Times New Roman" w:eastAsia="Times New Roman" w:hAnsi="Times New Roman"/>
          <w:sz w:val="14"/>
          <w:szCs w:val="14"/>
          <w:color w:val="auto"/>
        </w:rPr>
        <w:t>. Each financial or operational projection or other “forward-looking statement” (as defined by Section 27A of the Securities Act or Section 21E of the Exchange Act) contained in the Registration Statement, the Prospectus or the Prospectus Supplement (i) was so included by the Company in good faith and with reasonable basis after due consideration by the Company of the underlying assumptions, estimates and other applicable facts and circumstances and (ii) as required, is accompanied by meaningful cautionary statements identifying those factors that could cause actual results to differ materially from those in such forward-looking statement. No such statement was made that was false or misleading with the knowledge of a director or senior manager of the Company that it was false or misleading.</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IV.</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OTHER AGREEMENTS OF THE PARTIES</w:t>
      </w:r>
    </w:p>
    <w:p>
      <w:pPr>
        <w:spacing w:after="0" w:line="138" w:lineRule="exact"/>
        <w:rPr>
          <w:sz w:val="20"/>
          <w:szCs w:val="20"/>
          <w:color w:val="auto"/>
        </w:rPr>
      </w:pPr>
    </w:p>
    <w:p>
      <w:pPr>
        <w:jc w:val="both"/>
        <w:ind w:firstLine="432"/>
        <w:spacing w:after="0" w:line="275" w:lineRule="auto"/>
        <w:rPr>
          <w:sz w:val="20"/>
          <w:szCs w:val="20"/>
          <w:color w:val="auto"/>
        </w:rPr>
      </w:pPr>
      <w:r>
        <w:rPr>
          <w:rFonts w:ascii="Times New Roman" w:cs="Times New Roman" w:eastAsia="Times New Roman" w:hAnsi="Times New Roman"/>
          <w:sz w:val="14"/>
          <w:szCs w:val="14"/>
          <w:color w:val="auto"/>
        </w:rPr>
        <w:t xml:space="preserve">4.1 </w:t>
      </w:r>
      <w:r>
        <w:rPr>
          <w:rFonts w:ascii="Times New Roman" w:cs="Times New Roman" w:eastAsia="Times New Roman" w:hAnsi="Times New Roman"/>
          <w:sz w:val="14"/>
          <w:szCs w:val="14"/>
          <w:u w:val="single" w:color="auto"/>
          <w:color w:val="auto"/>
        </w:rPr>
        <w:t>Amendments to Registration Statement</w:t>
      </w:r>
      <w:r>
        <w:rPr>
          <w:rFonts w:ascii="Times New Roman" w:cs="Times New Roman" w:eastAsia="Times New Roman" w:hAnsi="Times New Roman"/>
          <w:sz w:val="14"/>
          <w:szCs w:val="14"/>
          <w:color w:val="auto"/>
        </w:rPr>
        <w:t>. The Company has delivered, or will as promptly as practicable deliver, to the Underwriters complete conformed copies of the Registration Statement and of each consent and certificate of experts, as applicable, filed as a part thereof, and conformed copies of the Registration Statement (without exhibits), the Prospectus and the Prospectus Supplement, as amended or supplemented, in such quantities and</w:t>
      </w:r>
    </w:p>
    <w:p>
      <w:pPr>
        <w:sectPr>
          <w:pgSz w:w="11900" w:h="16838" w:orient="portrait"/>
          <w:cols w:equalWidth="0" w:num="1">
            <w:col w:w="11300"/>
          </w:cols>
          <w:pgMar w:left="300" w:top="778" w:right="299" w:bottom="1440" w:gutter="0" w:footer="0" w:header="0"/>
        </w:sectPr>
      </w:pPr>
    </w:p>
    <w:bookmarkStart w:id="29" w:name="page30"/>
    <w:bookmarkEnd w:id="29"/>
    <w:p>
      <w:pPr>
        <w:jc w:val="both"/>
        <w:spacing w:after="0" w:line="275" w:lineRule="auto"/>
        <w:rPr>
          <w:sz w:val="20"/>
          <w:szCs w:val="20"/>
          <w:color w:val="auto"/>
        </w:rPr>
      </w:pPr>
      <w:r>
        <w:rPr>
          <w:rFonts w:ascii="Times New Roman" w:cs="Times New Roman" w:eastAsia="Times New Roman" w:hAnsi="Times New Roman"/>
          <w:sz w:val="14"/>
          <w:szCs w:val="14"/>
          <w:color w:val="auto"/>
        </w:rPr>
        <w:t>at such places as an Underwriter reasonably requests. Neither the Company nor any of its directors and officers has distributed and none of them will distribute, prior to the Closing Date, any offering material in connection with the offering and sale of the Securities other than the Prospectus, the Prospectus Supplement, the Registration Statement, any Free Writing Prospectus, and copies of the documents incorporated by reference therein. The Company shall not file any such amendment or supplement to which the Representative shall reasonably object in writing.</w:t>
      </w:r>
    </w:p>
    <w:p>
      <w:pPr>
        <w:spacing w:after="0" w:line="113" w:lineRule="exact"/>
        <w:rPr>
          <w:sz w:val="20"/>
          <w:szCs w:val="20"/>
          <w:color w:val="auto"/>
        </w:rPr>
      </w:pPr>
    </w:p>
    <w:p>
      <w:pPr>
        <w:ind w:left="420"/>
        <w:spacing w:after="0"/>
        <w:tabs>
          <w:tab w:leader="none" w:pos="720" w:val="left"/>
        </w:tabs>
        <w:rPr>
          <w:sz w:val="20"/>
          <w:szCs w:val="20"/>
          <w:color w:val="auto"/>
        </w:rPr>
      </w:pPr>
      <w:r>
        <w:rPr>
          <w:rFonts w:ascii="Times New Roman" w:cs="Times New Roman" w:eastAsia="Times New Roman" w:hAnsi="Times New Roman"/>
          <w:sz w:val="14"/>
          <w:szCs w:val="14"/>
          <w:color w:val="auto"/>
        </w:rPr>
        <w:t>4.2</w:t>
      </w:r>
      <w:r>
        <w:rPr>
          <w:sz w:val="20"/>
          <w:szCs w:val="20"/>
          <w:color w:val="auto"/>
        </w:rPr>
        <w:tab/>
      </w:r>
      <w:r>
        <w:rPr>
          <w:rFonts w:ascii="Times New Roman" w:cs="Times New Roman" w:eastAsia="Times New Roman" w:hAnsi="Times New Roman"/>
          <w:sz w:val="14"/>
          <w:szCs w:val="14"/>
          <w:u w:val="single" w:color="auto"/>
          <w:color w:val="auto"/>
        </w:rPr>
        <w:t>Federal Securities Laws</w:t>
      </w:r>
      <w:r>
        <w:rPr>
          <w:rFonts w:ascii="Times New Roman" w:cs="Times New Roman" w:eastAsia="Times New Roman" w:hAnsi="Times New Roman"/>
          <w:sz w:val="14"/>
          <w:szCs w:val="14"/>
          <w:color w:val="auto"/>
        </w:rPr>
        <w:t>.</w:t>
      </w:r>
    </w:p>
    <w:p>
      <w:pPr>
        <w:spacing w:after="0" w:line="154" w:lineRule="exact"/>
        <w:rPr>
          <w:sz w:val="20"/>
          <w:szCs w:val="20"/>
          <w:color w:val="auto"/>
        </w:rPr>
      </w:pPr>
    </w:p>
    <w:p>
      <w:pPr>
        <w:jc w:val="both"/>
        <w:ind w:left="420" w:firstLine="436"/>
        <w:spacing w:after="0" w:line="262" w:lineRule="auto"/>
        <w:tabs>
          <w:tab w:leader="none" w:pos="121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Compliance</w:t>
      </w:r>
      <w:r>
        <w:rPr>
          <w:rFonts w:ascii="Times New Roman" w:cs="Times New Roman" w:eastAsia="Times New Roman" w:hAnsi="Times New Roman"/>
          <w:sz w:val="14"/>
          <w:szCs w:val="14"/>
          <w:color w:val="auto"/>
        </w:rPr>
        <w:t>. During the time when a Prospectus is required to be delivered under the Securities Act, the Company will use its reasonable best efforts to comply with all requirements imposed upon it by the Securities Act and the rules and regulations thereunder and the Exchange Act and the rules and regulations thereunder, as from time to time in force, so far as necessary to permit the continuance of sales of or dealings in the Securities in accordance with the provisions hereof and the Prospectus, and any amendments or supplements thereto. If at any time when a Prospectus relating to the Securities is required to be delivered under the Securities Act, any event shall have occurred as a result of which, in the opinion of counsel for the Company or counsel for the Underwriters, the Prospectus, as then amended or supplemented, includes an untrue statement of a material fact or omits to state any material fact required to be stated therein or necessary to make the statements therein, in light of the circumstances under which they were made, not misleading, or if it is necessary at any time to amend the Prospectus to comply with the Securities Act, the Company will notify the Underwriters promptly and prepare and file with the Commission, subject to Section 4.1 hereof, an appropriate amendment or supplement in accordance with Section 10 of the Securities Act.</w:t>
      </w:r>
    </w:p>
    <w:p>
      <w:pPr>
        <w:spacing w:after="0" w:line="115" w:lineRule="exact"/>
        <w:rPr>
          <w:rFonts w:ascii="Times New Roman" w:cs="Times New Roman" w:eastAsia="Times New Roman" w:hAnsi="Times New Roman"/>
          <w:sz w:val="14"/>
          <w:szCs w:val="14"/>
          <w:color w:val="auto"/>
        </w:rPr>
      </w:pPr>
    </w:p>
    <w:p>
      <w:pPr>
        <w:ind w:left="420" w:firstLine="436"/>
        <w:spacing w:after="0" w:line="295" w:lineRule="auto"/>
        <w:tabs>
          <w:tab w:leader="none" w:pos="1209"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Filing of Final Prospectus Supplement</w:t>
      </w:r>
      <w:r>
        <w:rPr>
          <w:rFonts w:ascii="Times New Roman" w:cs="Times New Roman" w:eastAsia="Times New Roman" w:hAnsi="Times New Roman"/>
          <w:sz w:val="14"/>
          <w:szCs w:val="14"/>
          <w:color w:val="auto"/>
        </w:rPr>
        <w:t>. The Company will file the Prospectus Supplement (in form and substance satisfactory to the Representative) with the Commission pursuant to the requirements of Rule 424.</w:t>
      </w:r>
    </w:p>
    <w:p>
      <w:pPr>
        <w:spacing w:after="0" w:line="99" w:lineRule="exact"/>
        <w:rPr>
          <w:rFonts w:ascii="Times New Roman" w:cs="Times New Roman" w:eastAsia="Times New Roman" w:hAnsi="Times New Roman"/>
          <w:sz w:val="14"/>
          <w:szCs w:val="14"/>
          <w:color w:val="auto"/>
        </w:rPr>
      </w:pPr>
    </w:p>
    <w:p>
      <w:pPr>
        <w:ind w:left="420" w:firstLine="436"/>
        <w:spacing w:after="0" w:line="295" w:lineRule="auto"/>
        <w:tabs>
          <w:tab w:leader="none" w:pos="1174"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Exchange Act Registration</w:t>
      </w:r>
      <w:r>
        <w:rPr>
          <w:rFonts w:ascii="Times New Roman" w:cs="Times New Roman" w:eastAsia="Times New Roman" w:hAnsi="Times New Roman"/>
          <w:sz w:val="14"/>
          <w:szCs w:val="14"/>
          <w:color w:val="auto"/>
        </w:rPr>
        <w:t>. For a period of two years from the Execution Date, the Company will use its best efforts to maintain the registration of the Common Stock under the Exchange Act. The Company will not deregister the Common Stock under the Exchange Act without the prior written consent of the Representative.</w:t>
      </w:r>
    </w:p>
    <w:p>
      <w:pPr>
        <w:spacing w:after="0" w:line="90" w:lineRule="exact"/>
        <w:rPr>
          <w:rFonts w:ascii="Times New Roman" w:cs="Times New Roman" w:eastAsia="Times New Roman" w:hAnsi="Times New Roman"/>
          <w:sz w:val="14"/>
          <w:szCs w:val="14"/>
          <w:color w:val="auto"/>
        </w:rPr>
      </w:pPr>
    </w:p>
    <w:p>
      <w:pPr>
        <w:jc w:val="both"/>
        <w:ind w:left="420" w:firstLine="436"/>
        <w:spacing w:after="0" w:line="268" w:lineRule="auto"/>
        <w:tabs>
          <w:tab w:leader="none" w:pos="118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Free Writing Prospectuses</w:t>
      </w:r>
      <w:r>
        <w:rPr>
          <w:rFonts w:ascii="Times New Roman" w:cs="Times New Roman" w:eastAsia="Times New Roman" w:hAnsi="Times New Roman"/>
          <w:sz w:val="14"/>
          <w:szCs w:val="14"/>
          <w:color w:val="auto"/>
        </w:rPr>
        <w:t xml:space="preserve">. The Company represents and agrees that it has not made and will not make any offer relating to the Securities that would constitute an issuer free writing prospectus, as defined in Rule 433 of the rules and regulations under the Securities Act, without the prior written consent of the Representative. Any such free writing prospectus consented to by the Representative is herein referred to as a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auto"/>
        </w:rPr>
        <w:t>Permitted Free Writing Prospectus</w:t>
      </w:r>
      <w:r>
        <w:rPr>
          <w:rFonts w:ascii="Times New Roman" w:cs="Times New Roman" w:eastAsia="Times New Roman" w:hAnsi="Times New Roman"/>
          <w:sz w:val="14"/>
          <w:szCs w:val="14"/>
          <w:color w:val="auto"/>
        </w:rPr>
        <w:t>.” The Company represents that it will treat each Permitted Free Writing Prospectus as an “issuer free writing prospectus” as defined in rule and regulations under the Securities Act, and has complied and will comply with the applicable requirements of Rule 433 of the Securities Act, including timely Commission filing where required, legending and record keeping.</w:t>
      </w:r>
    </w:p>
    <w:p>
      <w:pPr>
        <w:spacing w:after="0" w:line="109" w:lineRule="exact"/>
        <w:rPr>
          <w:sz w:val="20"/>
          <w:szCs w:val="20"/>
          <w:color w:val="auto"/>
        </w:rPr>
      </w:pPr>
    </w:p>
    <w:p>
      <w:pPr>
        <w:ind w:left="420"/>
        <w:spacing w:after="0"/>
        <w:tabs>
          <w:tab w:leader="none" w:pos="720" w:val="left"/>
        </w:tabs>
        <w:rPr>
          <w:sz w:val="20"/>
          <w:szCs w:val="20"/>
          <w:color w:val="auto"/>
        </w:rPr>
      </w:pPr>
      <w:r>
        <w:rPr>
          <w:rFonts w:ascii="Times New Roman" w:cs="Times New Roman" w:eastAsia="Times New Roman" w:hAnsi="Times New Roman"/>
          <w:sz w:val="14"/>
          <w:szCs w:val="14"/>
          <w:color w:val="auto"/>
        </w:rPr>
        <w:t>4.3</w:t>
      </w:r>
      <w:r>
        <w:rPr>
          <w:sz w:val="20"/>
          <w:szCs w:val="20"/>
          <w:color w:val="auto"/>
        </w:rPr>
        <w:tab/>
      </w:r>
      <w:r>
        <w:rPr>
          <w:rFonts w:ascii="Times New Roman" w:cs="Times New Roman" w:eastAsia="Times New Roman" w:hAnsi="Times New Roman"/>
          <w:sz w:val="14"/>
          <w:szCs w:val="14"/>
          <w:u w:val="single" w:color="auto"/>
          <w:color w:val="auto"/>
        </w:rPr>
        <w:t>Delivery to the Underwriters of Prospectuses</w:t>
      </w:r>
      <w:r>
        <w:rPr>
          <w:rFonts w:ascii="Times New Roman" w:cs="Times New Roman" w:eastAsia="Times New Roman" w:hAnsi="Times New Roman"/>
          <w:sz w:val="14"/>
          <w:szCs w:val="14"/>
          <w:color w:val="auto"/>
        </w:rPr>
        <w:t>. The Company will deliver to the Underwriters, without charge, from time to time during the period when the Prospectus is</w:t>
      </w:r>
    </w:p>
    <w:p>
      <w:pPr>
        <w:sectPr>
          <w:pgSz w:w="11900" w:h="16838" w:orient="portrait"/>
          <w:cols w:equalWidth="0" w:num="1">
            <w:col w:w="11300"/>
          </w:cols>
          <w:pgMar w:left="300" w:top="778" w:right="299" w:bottom="1440" w:gutter="0" w:footer="0" w:header="0"/>
        </w:sectPr>
      </w:pPr>
    </w:p>
    <w:bookmarkStart w:id="30" w:name="page31"/>
    <w:bookmarkEnd w:id="30"/>
    <w:p>
      <w:pPr>
        <w:jc w:val="both"/>
        <w:ind w:right="20"/>
        <w:spacing w:after="0" w:line="275" w:lineRule="auto"/>
        <w:rPr>
          <w:sz w:val="20"/>
          <w:szCs w:val="20"/>
          <w:color w:val="auto"/>
        </w:rPr>
      </w:pPr>
      <w:r>
        <w:rPr>
          <w:rFonts w:ascii="Times New Roman" w:cs="Times New Roman" w:eastAsia="Times New Roman" w:hAnsi="Times New Roman"/>
          <w:sz w:val="14"/>
          <w:szCs w:val="14"/>
          <w:color w:val="auto"/>
        </w:rPr>
        <w:t>required to be delivered under the Securities Act or the Exchange Act such number of copies of each Prospectus as the Underwriters may reasonably request and, as soon as the Registration Statement or any amendment or supplement thereto becomes effective, deliver to you two original executed Registration Statements, including exhibits, and all post-effective amendments thereto and copies of all exhibits filed therewith or incorporated therein by reference and all original executed consents of certified experts.</w:t>
      </w:r>
    </w:p>
    <w:p>
      <w:pPr>
        <w:spacing w:after="0" w:line="113"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4"/>
          <w:szCs w:val="14"/>
          <w:color w:val="auto"/>
        </w:rPr>
        <w:t xml:space="preserve">4.4 </w:t>
      </w:r>
      <w:r>
        <w:rPr>
          <w:rFonts w:ascii="Times New Roman" w:cs="Times New Roman" w:eastAsia="Times New Roman" w:hAnsi="Times New Roman"/>
          <w:sz w:val="14"/>
          <w:szCs w:val="14"/>
          <w:u w:val="single" w:color="auto"/>
          <w:color w:val="auto"/>
        </w:rPr>
        <w:t>Effectiveness and Events Requiring Notice to the Underwriters</w:t>
      </w:r>
      <w:r>
        <w:rPr>
          <w:rFonts w:ascii="Times New Roman" w:cs="Times New Roman" w:eastAsia="Times New Roman" w:hAnsi="Times New Roman"/>
          <w:sz w:val="14"/>
          <w:szCs w:val="14"/>
          <w:color w:val="auto"/>
        </w:rPr>
        <w:t>. The Company will use its reasonable best efforts to cause the Registration Statement to remain effective with a current prospectus until the later of nine (9) months from the Execution Date, and will notify the Underwriters promptly and confirm the notice in writing: (i) of the effectiveness of the Registration Statement and any amendment thereto; (ii) of the issuance by the Commission of any stop order or of the initiation, or the threatening, of any proceeding for that purpose; (iii) of the issuance by any state securities commission of any proceedings for the suspension of the qualification of the Securities for offering or sale in any jurisdiction or of the initiation, or the threatening, of any proceeding for that purpose; (iv) of the mailing and delivery to the Commission for filing of any amendment or supplement to the Registration Statement or Prospectus, provided that the filing of an amendment or supplement to the Registration Statement on the SEC’s EDGAR system shall be deemed to be such notification; (v) of the receipt of any comments or request for any additional information from the Commission; and (vi) of the happening of any event during the period described in this Section 4.4 that, in the judgment of the Company, makes any statement of a material fact made in the Registration Statement or the Prospectus untrue or that requires the making of any changes in the Registration Statement or the Prospectus in order to make the statements therein, in light of the circumstances under which they were made, not misleading. If the Commission or any state securities commission shall enter a stop order or suspend such qualification at any time, the Company will use its reasonable best efforts to obtain promptly the lifting of such order.</w:t>
      </w:r>
    </w:p>
    <w:p>
      <w:pPr>
        <w:spacing w:after="0" w:line="119" w:lineRule="exact"/>
        <w:rPr>
          <w:sz w:val="20"/>
          <w:szCs w:val="20"/>
          <w:color w:val="auto"/>
        </w:rPr>
      </w:pPr>
    </w:p>
    <w:p>
      <w:pPr>
        <w:ind w:left="420"/>
        <w:spacing w:after="0"/>
        <w:tabs>
          <w:tab w:leader="none" w:pos="720" w:val="left"/>
        </w:tabs>
        <w:rPr>
          <w:sz w:val="20"/>
          <w:szCs w:val="20"/>
          <w:color w:val="auto"/>
        </w:rPr>
      </w:pPr>
      <w:r>
        <w:rPr>
          <w:rFonts w:ascii="Times New Roman" w:cs="Times New Roman" w:eastAsia="Times New Roman" w:hAnsi="Times New Roman"/>
          <w:sz w:val="14"/>
          <w:szCs w:val="14"/>
          <w:color w:val="auto"/>
        </w:rPr>
        <w:t>4.5</w:t>
      </w:r>
      <w:r>
        <w:rPr>
          <w:sz w:val="20"/>
          <w:szCs w:val="20"/>
          <w:color w:val="auto"/>
        </w:rPr>
        <w:tab/>
      </w:r>
      <w:r>
        <w:rPr>
          <w:rFonts w:ascii="Times New Roman" w:cs="Times New Roman" w:eastAsia="Times New Roman" w:hAnsi="Times New Roman"/>
          <w:sz w:val="14"/>
          <w:szCs w:val="14"/>
          <w:u w:val="single" w:color="auto"/>
          <w:color w:val="auto"/>
        </w:rPr>
        <w:t>Expenses Related to the Offering</w:t>
      </w:r>
      <w:r>
        <w:rPr>
          <w:rFonts w:ascii="Times New Roman" w:cs="Times New Roman" w:eastAsia="Times New Roman" w:hAnsi="Times New Roman"/>
          <w:sz w:val="14"/>
          <w:szCs w:val="14"/>
          <w:color w:val="auto"/>
        </w:rPr>
        <w:t>.</w:t>
      </w:r>
    </w:p>
    <w:p>
      <w:pPr>
        <w:spacing w:after="0" w:line="163" w:lineRule="exact"/>
        <w:rPr>
          <w:sz w:val="20"/>
          <w:szCs w:val="20"/>
          <w:color w:val="auto"/>
        </w:rPr>
      </w:pPr>
    </w:p>
    <w:p>
      <w:pPr>
        <w:jc w:val="both"/>
        <w:ind w:left="420" w:firstLine="436"/>
        <w:spacing w:after="0" w:line="261" w:lineRule="auto"/>
        <w:tabs>
          <w:tab w:leader="none" w:pos="1165"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General Expenses Related to the Offering</w:t>
      </w:r>
      <w:r>
        <w:rPr>
          <w:rFonts w:ascii="Times New Roman" w:cs="Times New Roman" w:eastAsia="Times New Roman" w:hAnsi="Times New Roman"/>
          <w:sz w:val="14"/>
          <w:szCs w:val="14"/>
          <w:color w:val="auto"/>
        </w:rPr>
        <w:t>. The Company hereby agrees to pay on each of the Closing Date, to the extent not paid at the Closing Date, all expenses incident to the performance of the obligations of the Company under this Agreement, including, but not limited to: (a) all filing fees and communication expenses relating to the registration of the Securities to be sold in the Offering with the Commission; (b) all FINRA Public Offering Filing System fees associated with the review of the Offering by FINRA; all fees and expenses relating to the listing of such Closing Shares, and Pre-Funded Warrant Shares on the Trading Market and such other stock exchanges as the Company and the Representative together determine; (c) all fees, expenses and disbursements relating to the registration or qualification of such Securities under the “blue sky” securities laws of such states and other foreign jurisdictions as the Representative may reasonably designate; (d) the costs of all mailing and printing of the underwriting documents (including, without limitation, this Agreement, any Blue Sky Surveys and, if appropriate, any Agreement Among Underwriters, Selected Dealers’ Agreement, Underwriters’ Questionnaire and Power of Attorney), Registration Statements, Prospectuses and all amendments, supplements and exhibits thereto and as many preliminary and final Prospectuses as the Representative may reasonably deem necessary; (e) the costs and expenses of the Company’s public relations firm; (f) the costs</w:t>
      </w:r>
    </w:p>
    <w:p>
      <w:pPr>
        <w:sectPr>
          <w:pgSz w:w="11900" w:h="16838" w:orient="portrait"/>
          <w:cols w:equalWidth="0" w:num="1">
            <w:col w:w="11300"/>
          </w:cols>
          <w:pgMar w:left="300" w:top="778" w:right="299" w:bottom="1440" w:gutter="0" w:footer="0" w:header="0"/>
        </w:sectPr>
      </w:pPr>
    </w:p>
    <w:bookmarkStart w:id="31" w:name="page32"/>
    <w:bookmarkEnd w:id="31"/>
    <w:p>
      <w:pPr>
        <w:jc w:val="both"/>
        <w:ind w:left="420"/>
        <w:spacing w:after="0" w:line="268" w:lineRule="auto"/>
        <w:rPr>
          <w:sz w:val="20"/>
          <w:szCs w:val="20"/>
          <w:color w:val="auto"/>
        </w:rPr>
      </w:pPr>
      <w:r>
        <w:rPr>
          <w:rFonts w:ascii="Times New Roman" w:cs="Times New Roman" w:eastAsia="Times New Roman" w:hAnsi="Times New Roman"/>
          <w:sz w:val="14"/>
          <w:szCs w:val="14"/>
          <w:color w:val="auto"/>
        </w:rPr>
        <w:t>of preparing, printing and delivering the Securities; (g) fees and expenses of the Transfer Agent for the Securities (including, without limitation, any fees required for same-day processing of any instruction letter delivered by the Company), including, without limitation, fees and expenses pursuant to the Warrant Agency Agreement; (h) stock transfer and/or stamp taxes, if any, payable upon the transfer of securities from the Company to the Underwriters; (i) the fees and expenses of the Company’s accountants; (j) the fees and expenses of the Company’s legal counsel and other agents and representatives; and (k) the Underwriters’ costs of mailing prospectuses to prospective investors. The Underwriters may also deduct from the net proceeds of the Offering payable to the Company on the Closing Date, the expenses set forth herein to be paid by the Company to the Underwriters.</w:t>
      </w:r>
    </w:p>
    <w:p>
      <w:pPr>
        <w:spacing w:after="0" w:line="109" w:lineRule="exact"/>
        <w:rPr>
          <w:sz w:val="20"/>
          <w:szCs w:val="20"/>
          <w:color w:val="auto"/>
        </w:rPr>
      </w:pPr>
    </w:p>
    <w:p>
      <w:pPr>
        <w:ind w:left="420" w:firstLine="436"/>
        <w:spacing w:after="0" w:line="295" w:lineRule="auto"/>
        <w:tabs>
          <w:tab w:leader="none" w:pos="1173"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Expenses of the Representative</w:t>
      </w:r>
      <w:r>
        <w:rPr>
          <w:rFonts w:ascii="Times New Roman" w:cs="Times New Roman" w:eastAsia="Times New Roman" w:hAnsi="Times New Roman"/>
          <w:sz w:val="14"/>
          <w:szCs w:val="14"/>
          <w:color w:val="auto"/>
        </w:rPr>
        <w:t>. The Company further agrees that on the Closing Date, the Company will reimburse the Representative up to $80,000 for fees and expenses of legal counsel and other out-of-pocket expenses, by deduction from the proceeds of the Offering contemplated herein.</w:t>
      </w:r>
    </w:p>
    <w:p>
      <w:pPr>
        <w:spacing w:after="0" w:line="90" w:lineRule="exact"/>
        <w:rPr>
          <w:sz w:val="20"/>
          <w:szCs w:val="20"/>
          <w:color w:val="auto"/>
        </w:rPr>
      </w:pPr>
    </w:p>
    <w:p>
      <w:pPr>
        <w:jc w:val="both"/>
        <w:ind w:firstLine="432"/>
        <w:spacing w:after="0" w:line="309" w:lineRule="auto"/>
        <w:rPr>
          <w:sz w:val="20"/>
          <w:szCs w:val="20"/>
          <w:color w:val="auto"/>
        </w:rPr>
      </w:pPr>
      <w:r>
        <w:rPr>
          <w:rFonts w:ascii="Times New Roman" w:cs="Times New Roman" w:eastAsia="Times New Roman" w:hAnsi="Times New Roman"/>
          <w:sz w:val="14"/>
          <w:szCs w:val="14"/>
          <w:color w:val="auto"/>
        </w:rPr>
        <w:t xml:space="preserve">4.6 </w:t>
      </w:r>
      <w:r>
        <w:rPr>
          <w:rFonts w:ascii="Times New Roman" w:cs="Times New Roman" w:eastAsia="Times New Roman" w:hAnsi="Times New Roman"/>
          <w:sz w:val="14"/>
          <w:szCs w:val="14"/>
          <w:u w:val="single" w:color="auto"/>
          <w:color w:val="auto"/>
        </w:rPr>
        <w:t>Application of Net Proceeds</w:t>
      </w:r>
      <w:r>
        <w:rPr>
          <w:rFonts w:ascii="Times New Roman" w:cs="Times New Roman" w:eastAsia="Times New Roman" w:hAnsi="Times New Roman"/>
          <w:sz w:val="14"/>
          <w:szCs w:val="14"/>
          <w:color w:val="auto"/>
        </w:rPr>
        <w:t>. The Company will apply the net proceeds from the Offering received by it in a manner consistent with the application described under the caption “Use of Proceeds” in the Prospectus Supplement.</w:t>
      </w:r>
    </w:p>
    <w:p>
      <w:pPr>
        <w:spacing w:after="0" w:line="80"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 xml:space="preserve">4.7 </w:t>
      </w:r>
      <w:r>
        <w:rPr>
          <w:rFonts w:ascii="Times New Roman" w:cs="Times New Roman" w:eastAsia="Times New Roman" w:hAnsi="Times New Roman"/>
          <w:sz w:val="14"/>
          <w:szCs w:val="14"/>
          <w:u w:val="single" w:color="auto"/>
          <w:color w:val="auto"/>
        </w:rPr>
        <w:t>Delivery of Earnings Statements to Security Holders</w:t>
      </w:r>
      <w:r>
        <w:rPr>
          <w:rFonts w:ascii="Times New Roman" w:cs="Times New Roman" w:eastAsia="Times New Roman" w:hAnsi="Times New Roman"/>
          <w:sz w:val="14"/>
          <w:szCs w:val="14"/>
          <w:color w:val="auto"/>
        </w:rPr>
        <w:t>. The Company will make generally available to its security holders as soon as practicable, but not later than the first day of the fifteenth full calendar month following the Execution Date, an earnings statement (which need not be certified by independent public or independent certified public accountants unless required by the Securities Act or the Rules and Regulations under the Securities Act, but which shall satisfy the provisions of Rule 158(a) under Section 11(a) of the Securities Act) covering a period of at least twelve consecutive months beginning after the Execution Date.</w:t>
      </w:r>
    </w:p>
    <w:p>
      <w:pPr>
        <w:spacing w:after="0" w:line="10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4"/>
          <w:szCs w:val="14"/>
          <w:color w:val="auto"/>
        </w:rPr>
        <w:t xml:space="preserve">4.8 </w:t>
      </w:r>
      <w:r>
        <w:rPr>
          <w:rFonts w:ascii="Times New Roman" w:cs="Times New Roman" w:eastAsia="Times New Roman" w:hAnsi="Times New Roman"/>
          <w:sz w:val="14"/>
          <w:szCs w:val="14"/>
          <w:u w:val="single" w:color="auto"/>
          <w:color w:val="auto"/>
        </w:rPr>
        <w:t>Stabilization</w:t>
      </w:r>
      <w:r>
        <w:rPr>
          <w:rFonts w:ascii="Times New Roman" w:cs="Times New Roman" w:eastAsia="Times New Roman" w:hAnsi="Times New Roman"/>
          <w:sz w:val="14"/>
          <w:szCs w:val="14"/>
          <w:color w:val="auto"/>
        </w:rPr>
        <w:t>. Neither the Company, nor, to its knowledge, any of its employees, directors or shareholders (without the consent of the Representative) has taken or will take, directly or indirectly, any action designed to or that has constituted or that might reasonably be expected to cause or result in, under the Exchange Act, or otherwise, stabilization or manipulation of the price of any security of the Company to facilitate the sale or resale of the Securities.</w:t>
      </w:r>
    </w:p>
    <w:p>
      <w:pPr>
        <w:spacing w:after="0" w:line="99"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4"/>
          <w:szCs w:val="14"/>
          <w:color w:val="auto"/>
        </w:rPr>
        <w:t xml:space="preserve">4.9 </w:t>
      </w:r>
      <w:r>
        <w:rPr>
          <w:rFonts w:ascii="Times New Roman" w:cs="Times New Roman" w:eastAsia="Times New Roman" w:hAnsi="Times New Roman"/>
          <w:sz w:val="14"/>
          <w:szCs w:val="14"/>
          <w:u w:val="single" w:color="auto"/>
          <w:color w:val="auto"/>
        </w:rPr>
        <w:t>Internal Controls</w:t>
      </w:r>
      <w:r>
        <w:rPr>
          <w:rFonts w:ascii="Times New Roman" w:cs="Times New Roman" w:eastAsia="Times New Roman" w:hAnsi="Times New Roman"/>
          <w:sz w:val="14"/>
          <w:szCs w:val="14"/>
          <w:color w:val="auto"/>
        </w:rPr>
        <w:t>. The Company will maintain a system of internal accounting controls sufficient to provide reasonable assurances that: (i) transactions are executed in accordance with management’s general or specific authorization; (ii) transactions are recorded as necessary in order to permit preparation of financial statements in accordance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07" w:lineRule="exact"/>
        <w:rPr>
          <w:sz w:val="20"/>
          <w:szCs w:val="20"/>
          <w:color w:val="auto"/>
        </w:rPr>
      </w:pPr>
    </w:p>
    <w:p>
      <w:pPr>
        <w:ind w:left="420"/>
        <w:spacing w:after="0"/>
        <w:tabs>
          <w:tab w:leader="none" w:pos="800" w:val="left"/>
        </w:tabs>
        <w:rPr>
          <w:sz w:val="20"/>
          <w:szCs w:val="20"/>
          <w:color w:val="auto"/>
        </w:rPr>
      </w:pPr>
      <w:r>
        <w:rPr>
          <w:rFonts w:ascii="Times New Roman" w:cs="Times New Roman" w:eastAsia="Times New Roman" w:hAnsi="Times New Roman"/>
          <w:sz w:val="14"/>
          <w:szCs w:val="14"/>
          <w:color w:val="auto"/>
        </w:rPr>
        <w:t>4.10</w:t>
      </w:r>
      <w:r>
        <w:rPr>
          <w:sz w:val="20"/>
          <w:szCs w:val="20"/>
          <w:color w:val="auto"/>
        </w:rPr>
        <w:tab/>
      </w:r>
      <w:r>
        <w:rPr>
          <w:rFonts w:ascii="Times New Roman" w:cs="Times New Roman" w:eastAsia="Times New Roman" w:hAnsi="Times New Roman"/>
          <w:sz w:val="14"/>
          <w:szCs w:val="14"/>
          <w:u w:val="single" w:color="auto"/>
          <w:color w:val="auto"/>
        </w:rPr>
        <w:t>Accountants</w:t>
      </w:r>
      <w:r>
        <w:rPr>
          <w:rFonts w:ascii="Times New Roman" w:cs="Times New Roman" w:eastAsia="Times New Roman" w:hAnsi="Times New Roman"/>
          <w:sz w:val="14"/>
          <w:szCs w:val="14"/>
          <w:color w:val="auto"/>
        </w:rPr>
        <w:t>. The Company shall continue to retain a nationally recognized independent certified public accounting firm for a period of at least three years after the</w:t>
      </w:r>
    </w:p>
    <w:p>
      <w:pPr>
        <w:sectPr>
          <w:pgSz w:w="11900" w:h="16838" w:orient="portrait"/>
          <w:cols w:equalWidth="0" w:num="1">
            <w:col w:w="11300"/>
          </w:cols>
          <w:pgMar w:left="300" w:top="778" w:right="2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color w:val="auto"/>
        </w:rPr>
        <w:t>Execution Date. The Underwriters acknowledge that the Company Auditor is acceptable to the Underwriters.</w:t>
      </w:r>
    </w:p>
    <w:p>
      <w:pPr>
        <w:spacing w:after="0" w:line="154"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 xml:space="preserve">4.11 </w:t>
      </w:r>
      <w:r>
        <w:rPr>
          <w:rFonts w:ascii="Times New Roman" w:cs="Times New Roman" w:eastAsia="Times New Roman" w:hAnsi="Times New Roman"/>
          <w:sz w:val="14"/>
          <w:szCs w:val="14"/>
          <w:u w:val="single" w:color="auto"/>
          <w:color w:val="auto"/>
        </w:rPr>
        <w:t>FINRA</w:t>
      </w:r>
      <w:r>
        <w:rPr>
          <w:rFonts w:ascii="Times New Roman" w:cs="Times New Roman" w:eastAsia="Times New Roman" w:hAnsi="Times New Roman"/>
          <w:sz w:val="14"/>
          <w:szCs w:val="14"/>
          <w:color w:val="auto"/>
        </w:rPr>
        <w:t>. For a period of one year from the Execution Date, the Company shall promptly advise the Underwriters (who shall make an appropriate filing with FINRA) if the Company is aware that any 5% or greater shareholder of the Company becomes an affiliate or associated person of an Underwriter.</w:t>
      </w:r>
    </w:p>
    <w:p>
      <w:pPr>
        <w:spacing w:after="0" w:line="99" w:lineRule="exact"/>
        <w:rPr>
          <w:sz w:val="20"/>
          <w:szCs w:val="20"/>
          <w:color w:val="auto"/>
        </w:rPr>
      </w:pPr>
    </w:p>
    <w:p>
      <w:pPr>
        <w:jc w:val="both"/>
        <w:ind w:firstLine="432"/>
        <w:spacing w:after="0" w:line="264" w:lineRule="auto"/>
        <w:rPr>
          <w:sz w:val="20"/>
          <w:szCs w:val="20"/>
          <w:color w:val="auto"/>
        </w:rPr>
      </w:pPr>
      <w:r>
        <w:rPr>
          <w:rFonts w:ascii="Times New Roman" w:cs="Times New Roman" w:eastAsia="Times New Roman" w:hAnsi="Times New Roman"/>
          <w:sz w:val="14"/>
          <w:szCs w:val="14"/>
          <w:color w:val="auto"/>
        </w:rPr>
        <w:t xml:space="preserve">4.12 </w:t>
      </w:r>
      <w:r>
        <w:rPr>
          <w:rFonts w:ascii="Times New Roman" w:cs="Times New Roman" w:eastAsia="Times New Roman" w:hAnsi="Times New Roman"/>
          <w:sz w:val="14"/>
          <w:szCs w:val="14"/>
          <w:u w:val="single" w:color="auto"/>
          <w:color w:val="auto"/>
        </w:rPr>
        <w:t>No Fiduciary Duties</w:t>
      </w:r>
      <w:r>
        <w:rPr>
          <w:rFonts w:ascii="Times New Roman" w:cs="Times New Roman" w:eastAsia="Times New Roman" w:hAnsi="Times New Roman"/>
          <w:sz w:val="14"/>
          <w:szCs w:val="14"/>
          <w:color w:val="auto"/>
        </w:rPr>
        <w:t>. The Company acknowledges and agrees that the Underwriters’ responsibility to the Company is solely contractual and commercial in nature, based on arms-length negotiations and that neither the Underwriters nor their affiliates or any selected dealer shall be deemed to be acting in a fiduciary capacity, or otherwise owes any fiduciary duty to the Company or any of its affiliates in connection with the Offering and the other transactions contemplated by this Agreement. Notwithstanding anything in this Agreement to the contrary, the Company acknowledges that the Underwriters may have financial interests in the success of the Offering that are not limited to the difference between the price to the public and the purchase price paid to the Company by the Underwriters for the shares and the Underwriters have no obligation to disclose, or account to the Company for, any of such additional financial interests. The Company hereby waives and releases, to the fullest extent permitted by law, any claims that the Company may have against the Underwriters with respect to any breach or alleged breach of fiduciary duty.</w:t>
      </w:r>
    </w:p>
    <w:p>
      <w:pPr>
        <w:spacing w:after="0" w:line="287" w:lineRule="exact"/>
        <w:rPr>
          <w:sz w:val="20"/>
          <w:szCs w:val="20"/>
          <w:color w:val="auto"/>
        </w:rPr>
      </w:pPr>
    </w:p>
    <w:p>
      <w:pPr>
        <w:jc w:val="both"/>
        <w:ind w:firstLine="432"/>
        <w:spacing w:after="0" w:line="263" w:lineRule="auto"/>
        <w:rPr>
          <w:sz w:val="20"/>
          <w:szCs w:val="20"/>
          <w:color w:val="auto"/>
        </w:rPr>
      </w:pPr>
      <w:r>
        <w:rPr>
          <w:rFonts w:ascii="Times New Roman" w:cs="Times New Roman" w:eastAsia="Times New Roman" w:hAnsi="Times New Roman"/>
          <w:sz w:val="14"/>
          <w:szCs w:val="14"/>
          <w:color w:val="auto"/>
        </w:rPr>
        <w:t xml:space="preserve">4.13 </w:t>
      </w:r>
      <w:r>
        <w:rPr>
          <w:rFonts w:ascii="Times New Roman" w:cs="Times New Roman" w:eastAsia="Times New Roman" w:hAnsi="Times New Roman"/>
          <w:sz w:val="14"/>
          <w:szCs w:val="14"/>
          <w:u w:val="single" w:color="auto"/>
          <w:color w:val="auto"/>
        </w:rPr>
        <w:t>Pre-Funded Warrant Shares</w:t>
      </w:r>
      <w:r>
        <w:rPr>
          <w:rFonts w:ascii="Times New Roman" w:cs="Times New Roman" w:eastAsia="Times New Roman" w:hAnsi="Times New Roman"/>
          <w:sz w:val="14"/>
          <w:szCs w:val="14"/>
          <w:color w:val="auto"/>
        </w:rPr>
        <w:t>. If all or any portion of a Pre-Funded Warrant is exercised at a time when there is an effective registration statement to cover the issuance of the Pre-Funded Warrant Shares or if the Pre-Funded Warrant is exercised via cashless exercise at a time when such Pre-Funded Warrant Shares would be eligible for resale under Rule 144 by a non-affiliate of the Company, the Pre-Funded Warrant Shares issued pursuant to any such exercise shall be issued free of all restrictive legends. If at any time following the date hereof the Registration Statement (or any subsequent registration statement registering the sale or resale of the Pre-Funded Warrant Shares) is not effective or is not otherwise available for the sale of the Pre-Funded Warrant Shares, the Company shall immediately notify the holders of the Pre-Funded Warrants in writing that such registration statement is not then effective and thereafter shall promptly notify such holders when the registration statement is effective again and available for the sale of the Pre-Funded Warrant Shares (it being understood and agreed that the foregoing shall not limit the ability of the Company to issue, or any holder thereof to sell, any of the Pre-Funded Warrant Shares in compliance with applicable federal and state securities laws).</w:t>
      </w:r>
    </w:p>
    <w:p>
      <w:pPr>
        <w:spacing w:after="0" w:line="11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4"/>
          <w:szCs w:val="14"/>
          <w:color w:val="auto"/>
        </w:rPr>
        <w:t xml:space="preserve">4.14 </w:t>
      </w:r>
      <w:r>
        <w:rPr>
          <w:rFonts w:ascii="Times New Roman" w:cs="Times New Roman" w:eastAsia="Times New Roman" w:hAnsi="Times New Roman"/>
          <w:sz w:val="14"/>
          <w:szCs w:val="14"/>
          <w:u w:val="single" w:color="auto"/>
          <w:color w:val="auto"/>
        </w:rPr>
        <w:t>Board Composition and Board Designations</w:t>
      </w:r>
      <w:r>
        <w:rPr>
          <w:rFonts w:ascii="Times New Roman" w:cs="Times New Roman" w:eastAsia="Times New Roman" w:hAnsi="Times New Roman"/>
          <w:sz w:val="14"/>
          <w:szCs w:val="14"/>
          <w:color w:val="auto"/>
        </w:rPr>
        <w:t>. The Company shall ensure that: (i) the qualifications of the persons serving as board members and the overall composition of the Board of Directors comply with the Sarbanes-Oxley Act of 2002 and the rules promulgated thereunder and with the listing requirements of the Trading Market and (ii) if applicable, at least one member of the Board of Directors qualifies as a “financial expert” as such term is defined under the Sarbanes-Oxley Act of 2002 and the rules promulgated thereunder.</w:t>
      </w:r>
    </w:p>
    <w:p>
      <w:pPr>
        <w:spacing w:after="0" w:line="99"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 xml:space="preserve">4.15 </w:t>
      </w:r>
      <w:r>
        <w:rPr>
          <w:rFonts w:ascii="Times New Roman" w:cs="Times New Roman" w:eastAsia="Times New Roman" w:hAnsi="Times New Roman"/>
          <w:sz w:val="14"/>
          <w:szCs w:val="14"/>
          <w:u w:val="single" w:color="auto"/>
          <w:color w:val="auto"/>
        </w:rPr>
        <w:t>Securities Laws Disclosure; Publicity</w:t>
      </w:r>
      <w:r>
        <w:rPr>
          <w:rFonts w:ascii="Times New Roman" w:cs="Times New Roman" w:eastAsia="Times New Roman" w:hAnsi="Times New Roman"/>
          <w:sz w:val="14"/>
          <w:szCs w:val="14"/>
          <w:color w:val="auto"/>
        </w:rPr>
        <w:t>. At the request of the Representative, by 8:30 a.m. (New York City time) on the date hereof, the Company shall issue a press release disclosing the material terms of the Offering. The Company and the Representative shall consult with each other in issuing any other press releases with respect to the Offering, and neither the</w:t>
      </w:r>
    </w:p>
    <w:p>
      <w:pPr>
        <w:sectPr>
          <w:pgSz w:w="11900" w:h="16838" w:orient="portrait"/>
          <w:cols w:equalWidth="0" w:num="1">
            <w:col w:w="11300"/>
          </w:cols>
          <w:pgMar w:left="300" w:top="778" w:right="299" w:bottom="1440" w:gutter="0" w:footer="0" w:header="0"/>
        </w:sectPr>
      </w:pPr>
    </w:p>
    <w:bookmarkStart w:id="33" w:name="page34"/>
    <w:bookmarkEnd w:id="33"/>
    <w:p>
      <w:pPr>
        <w:jc w:val="both"/>
        <w:spacing w:after="0" w:line="265" w:lineRule="auto"/>
        <w:rPr>
          <w:sz w:val="20"/>
          <w:szCs w:val="20"/>
          <w:color w:val="auto"/>
        </w:rPr>
      </w:pPr>
      <w:r>
        <w:rPr>
          <w:rFonts w:ascii="Times New Roman" w:cs="Times New Roman" w:eastAsia="Times New Roman" w:hAnsi="Times New Roman"/>
          <w:sz w:val="14"/>
          <w:szCs w:val="14"/>
          <w:color w:val="auto"/>
        </w:rPr>
        <w:t>Company nor any Underwriter shall issue any such press release nor otherwise make any such public statement without the prior consent of the Company, with respect to any press release of such Underwriter, or without the prior consent of such Underwriter,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The Company will not issue press releases or engage in any other publicity directly relating to the Offering or the transactions contemplated by this Agreement, without the Representative’s prior written consent (which consent shall not be unreasonable withheld, conditioned or delated), for a period ending at 5:00 p.m. (New York City time) on the first business day following the 45th day following the Closing Date, other than normal and customary releases issued in the ordinary course of the Company’s business.</w:t>
      </w:r>
    </w:p>
    <w:p>
      <w:pPr>
        <w:spacing w:after="0" w:line="11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4"/>
          <w:szCs w:val="14"/>
          <w:color w:val="auto"/>
        </w:rPr>
        <w:t xml:space="preserve">4.16 </w:t>
      </w:r>
      <w:r>
        <w:rPr>
          <w:rFonts w:ascii="Times New Roman" w:cs="Times New Roman" w:eastAsia="Times New Roman" w:hAnsi="Times New Roman"/>
          <w:sz w:val="14"/>
          <w:szCs w:val="14"/>
          <w:u w:val="single" w:color="auto"/>
          <w:color w:val="auto"/>
        </w:rPr>
        <w:t>Shareholder Rights Plan</w:t>
      </w:r>
      <w:r>
        <w:rPr>
          <w:rFonts w:ascii="Times New Roman" w:cs="Times New Roman" w:eastAsia="Times New Roman" w:hAnsi="Times New Roman"/>
          <w:sz w:val="14"/>
          <w:szCs w:val="14"/>
          <w:color w:val="auto"/>
        </w:rPr>
        <w:t>. No claim will be made or enforced by the Company or, with the consent of the Company, any other Person, that any Underwriter of the Securities is an “Acquiring Person” under any control share acquisition, business combination, poison pill (including any distribution under a rights agreement) or similar anti-takeover plan or arrangement in effect or hereafter adopted by the Company, or that any Underwriter of Securities could be deemed to trigger the provisions of any such plan or arrangement, by virtue of receiving Securities.</w:t>
      </w:r>
    </w:p>
    <w:p>
      <w:pPr>
        <w:spacing w:after="0" w:line="99"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 xml:space="preserve">4.17 </w:t>
      </w:r>
      <w:r>
        <w:rPr>
          <w:rFonts w:ascii="Times New Roman" w:cs="Times New Roman" w:eastAsia="Times New Roman" w:hAnsi="Times New Roman"/>
          <w:sz w:val="14"/>
          <w:szCs w:val="14"/>
          <w:u w:val="single" w:color="auto"/>
          <w:color w:val="auto"/>
        </w:rPr>
        <w:t>Reservation of Common Stock</w:t>
      </w:r>
      <w:r>
        <w:rPr>
          <w:rFonts w:ascii="Times New Roman" w:cs="Times New Roman" w:eastAsia="Times New Roman" w:hAnsi="Times New Roman"/>
          <w:sz w:val="14"/>
          <w:szCs w:val="14"/>
          <w:color w:val="auto"/>
        </w:rPr>
        <w:t>. As of the date hereof, the Company has reserved and the Company shall continue to reserve and keep available at all times, free of preemptive rights, a sufficient number of shares of Common Stock for the purpose of enabling the Company to issue Pre-Funded Warrant Shares pursuant to any exercise of the Pre-Funded Warrants.</w:t>
      </w:r>
    </w:p>
    <w:p>
      <w:pPr>
        <w:spacing w:after="0" w:line="90" w:lineRule="exact"/>
        <w:rPr>
          <w:sz w:val="20"/>
          <w:szCs w:val="20"/>
          <w:color w:val="auto"/>
        </w:rPr>
      </w:pPr>
    </w:p>
    <w:p>
      <w:pPr>
        <w:jc w:val="both"/>
        <w:ind w:firstLine="432"/>
        <w:spacing w:after="0" w:line="263" w:lineRule="auto"/>
        <w:rPr>
          <w:sz w:val="20"/>
          <w:szCs w:val="20"/>
          <w:color w:val="auto"/>
        </w:rPr>
      </w:pPr>
      <w:r>
        <w:rPr>
          <w:rFonts w:ascii="Times New Roman" w:cs="Times New Roman" w:eastAsia="Times New Roman" w:hAnsi="Times New Roman"/>
          <w:sz w:val="14"/>
          <w:szCs w:val="14"/>
          <w:color w:val="auto"/>
        </w:rPr>
        <w:t xml:space="preserve">4.18 </w:t>
      </w:r>
      <w:r>
        <w:rPr>
          <w:rFonts w:ascii="Times New Roman" w:cs="Times New Roman" w:eastAsia="Times New Roman" w:hAnsi="Times New Roman"/>
          <w:sz w:val="14"/>
          <w:szCs w:val="14"/>
          <w:u w:val="single" w:color="auto"/>
          <w:color w:val="auto"/>
        </w:rPr>
        <w:t>Listing of Common Stock</w:t>
      </w:r>
      <w:r>
        <w:rPr>
          <w:rFonts w:ascii="Times New Roman" w:cs="Times New Roman" w:eastAsia="Times New Roman" w:hAnsi="Times New Roman"/>
          <w:sz w:val="14"/>
          <w:szCs w:val="14"/>
          <w:color w:val="auto"/>
        </w:rPr>
        <w:t>. The Company hereby agrees to use reasonable best efforts to maintain the listing or quotation of the Common Stock on the Trading Market on which it is currently listed, and concurrently with the Closing, the Company shall apply to list or quote all of the Closing Shares, and the Pre-Funded Warrant Shares on such Trading Market and promptly secure the listing of all of the Closing Shares, and Pre-Funded Warrant Shares on such Trading Market. The Company further agrees, if the Company applies to have the Common Stock traded on any other Trading Market, it will then include in such application all of the Closing Shares, and Pre-Funded Warrant Shares, and will take such other action as is necessary to cause all of the Closing Shares, and Pre-Funded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use reasonable best efforts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290" w:lineRule="exact"/>
        <w:rPr>
          <w:sz w:val="20"/>
          <w:szCs w:val="20"/>
          <w:color w:val="auto"/>
        </w:rPr>
      </w:pPr>
    </w:p>
    <w:p>
      <w:pPr>
        <w:ind w:left="420"/>
        <w:spacing w:after="0"/>
        <w:tabs>
          <w:tab w:leader="none" w:pos="800" w:val="left"/>
        </w:tabs>
        <w:rPr>
          <w:sz w:val="20"/>
          <w:szCs w:val="20"/>
          <w:color w:val="auto"/>
        </w:rPr>
      </w:pPr>
      <w:r>
        <w:rPr>
          <w:rFonts w:ascii="Times New Roman" w:cs="Times New Roman" w:eastAsia="Times New Roman" w:hAnsi="Times New Roman"/>
          <w:sz w:val="14"/>
          <w:szCs w:val="14"/>
          <w:color w:val="auto"/>
        </w:rPr>
        <w:t>4.19</w:t>
      </w:r>
      <w:r>
        <w:rPr>
          <w:sz w:val="20"/>
          <w:szCs w:val="20"/>
          <w:color w:val="auto"/>
        </w:rPr>
        <w:tab/>
      </w:r>
      <w:r>
        <w:rPr>
          <w:rFonts w:ascii="Times New Roman" w:cs="Times New Roman" w:eastAsia="Times New Roman" w:hAnsi="Times New Roman"/>
          <w:sz w:val="14"/>
          <w:szCs w:val="14"/>
          <w:u w:val="single" w:color="auto"/>
          <w:color w:val="auto"/>
        </w:rPr>
        <w:t>Subsequent Equity Sales</w:t>
      </w:r>
      <w:r>
        <w:rPr>
          <w:rFonts w:ascii="Times New Roman" w:cs="Times New Roman" w:eastAsia="Times New Roman" w:hAnsi="Times New Roman"/>
          <w:sz w:val="14"/>
          <w:szCs w:val="14"/>
          <w:color w:val="auto"/>
        </w:rPr>
        <w:t>.</w:t>
      </w:r>
    </w:p>
    <w:p>
      <w:pPr>
        <w:spacing w:after="0" w:line="154" w:lineRule="exact"/>
        <w:rPr>
          <w:sz w:val="20"/>
          <w:szCs w:val="20"/>
          <w:color w:val="auto"/>
        </w:rPr>
      </w:pPr>
    </w:p>
    <w:p>
      <w:pPr>
        <w:ind w:left="860"/>
        <w:spacing w:after="0"/>
        <w:tabs>
          <w:tab w:leader="none" w:pos="1140" w:val="left"/>
        </w:tabs>
        <w:rPr>
          <w:sz w:val="20"/>
          <w:szCs w:val="20"/>
          <w:color w:val="auto"/>
        </w:rPr>
      </w:pPr>
      <w:r>
        <w:rPr>
          <w:rFonts w:ascii="Times New Roman" w:cs="Times New Roman" w:eastAsia="Times New Roman" w:hAnsi="Times New Roman"/>
          <w:sz w:val="14"/>
          <w:szCs w:val="14"/>
          <w:color w:val="auto"/>
        </w:rPr>
        <w:t>(a)</w:t>
        <w:tab/>
        <w:t>From the date hereof until sixty (60) days after the Closing Date, neither the Company nor any Subsidiary shall issue, enter into any agreement to issue or</w:t>
      </w:r>
    </w:p>
    <w:p>
      <w:pPr>
        <w:sectPr>
          <w:pgSz w:w="11900" w:h="16838" w:orient="portrait"/>
          <w:cols w:equalWidth="0" w:num="1">
            <w:col w:w="11300"/>
          </w:cols>
          <w:pgMar w:left="300" w:top="778" w:right="299" w:bottom="1440" w:gutter="0" w:footer="0" w:header="0"/>
        </w:sectPr>
      </w:pPr>
    </w:p>
    <w:bookmarkStart w:id="34" w:name="page35"/>
    <w:bookmarkEnd w:id="34"/>
    <w:p>
      <w:pPr>
        <w:ind w:left="420" w:right="20"/>
        <w:spacing w:after="0" w:line="295" w:lineRule="auto"/>
        <w:rPr>
          <w:sz w:val="20"/>
          <w:szCs w:val="20"/>
          <w:color w:val="auto"/>
        </w:rPr>
      </w:pPr>
      <w:r>
        <w:rPr>
          <w:rFonts w:ascii="Times New Roman" w:cs="Times New Roman" w:eastAsia="Times New Roman" w:hAnsi="Times New Roman"/>
          <w:sz w:val="14"/>
          <w:szCs w:val="14"/>
          <w:color w:val="auto"/>
        </w:rPr>
        <w:t>announce the issuance or proposed issuance of any shares of Common Stock or Common Stock Equivalents or file any registration statement or amendment or supplement thereto, other than the Prospectus, except Exempt Issuances and as contemplated by this Agreement.</w:t>
      </w:r>
    </w:p>
    <w:p>
      <w:pPr>
        <w:spacing w:after="0" w:line="90" w:lineRule="exact"/>
        <w:rPr>
          <w:sz w:val="20"/>
          <w:szCs w:val="20"/>
          <w:color w:val="auto"/>
        </w:rPr>
      </w:pPr>
    </w:p>
    <w:p>
      <w:pPr>
        <w:jc w:val="both"/>
        <w:ind w:left="420" w:firstLine="436"/>
        <w:spacing w:after="0" w:line="261" w:lineRule="auto"/>
        <w:tabs>
          <w:tab w:leader="none" w:pos="119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the date hereof until one hundred eighty (180) days after the Closing Date, the Company shall be prohibited from effecting or entering into an agreement to effect any issuance by the Company or any of its Subsidiaries of Common Stock or Common Stock Equivalents (or a combination of units thereof) involving a Variable Rate Transaction. “</w:t>
      </w:r>
      <w:r>
        <w:rPr>
          <w:rFonts w:ascii="Times New Roman" w:cs="Times New Roman" w:eastAsia="Times New Roman" w:hAnsi="Times New Roman"/>
          <w:sz w:val="14"/>
          <w:szCs w:val="14"/>
          <w:u w:val="single" w:color="auto"/>
          <w:color w:val="auto"/>
        </w:rPr>
        <w:t>Variable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Rate Transaction</w:t>
      </w:r>
      <w:r>
        <w:rPr>
          <w:rFonts w:ascii="Times New Roman" w:cs="Times New Roman" w:eastAsia="Times New Roman" w:hAnsi="Times New Roman"/>
          <w:sz w:val="14"/>
          <w:szCs w:val="14"/>
          <w:color w:val="auto"/>
        </w:rPr>
        <w:t xml:space="preserve">”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or an “at-the-market offering”, whereby the Company may issue securities at a future determined price regardless of whether shares pursuant to such agreement have actually been issued and regardless of whether such agreement is subsequently canceled;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after the prohibition period in Section 4.19(a) herein, the entry into and/or issuance of shares of Common Stock in an “at the market” offering with the Representative as sales agent shall not be deemed a Variable Rate Transaction. Any Underwriter shall be entitled to obtain injunctive relief against the Company to preclude any such issuance, which remedy shall be in addition to any right to collect damages.</w:t>
      </w:r>
    </w:p>
    <w:p>
      <w:pPr>
        <w:spacing w:after="0" w:line="117" w:lineRule="exact"/>
        <w:rPr>
          <w:rFonts w:ascii="Times New Roman" w:cs="Times New Roman" w:eastAsia="Times New Roman" w:hAnsi="Times New Roman"/>
          <w:sz w:val="14"/>
          <w:szCs w:val="14"/>
          <w:color w:val="auto"/>
        </w:rPr>
      </w:pPr>
    </w:p>
    <w:p>
      <w:pPr>
        <w:ind w:left="1160" w:hanging="304"/>
        <w:spacing w:after="0"/>
        <w:tabs>
          <w:tab w:leader="none" w:pos="11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the foregoing, this Section 4.19 shall not apply in respect of an Exempt Issuance, except that no Variable Rate Transaction shall be an Exempt Issuance.</w:t>
      </w:r>
    </w:p>
    <w:p>
      <w:pPr>
        <w:spacing w:after="0" w:line="163" w:lineRule="exact"/>
        <w:rPr>
          <w:sz w:val="20"/>
          <w:szCs w:val="20"/>
          <w:color w:val="auto"/>
        </w:rPr>
      </w:pPr>
    </w:p>
    <w:p>
      <w:pPr>
        <w:jc w:val="both"/>
        <w:ind w:firstLine="432"/>
        <w:spacing w:after="0" w:line="263" w:lineRule="auto"/>
        <w:rPr>
          <w:sz w:val="20"/>
          <w:szCs w:val="20"/>
          <w:color w:val="auto"/>
        </w:rPr>
      </w:pPr>
      <w:r>
        <w:rPr>
          <w:rFonts w:ascii="Times New Roman" w:cs="Times New Roman" w:eastAsia="Times New Roman" w:hAnsi="Times New Roman"/>
          <w:sz w:val="14"/>
          <w:szCs w:val="14"/>
          <w:color w:val="auto"/>
        </w:rPr>
        <w:t xml:space="preserve">4.20 </w:t>
      </w:r>
      <w:r>
        <w:rPr>
          <w:rFonts w:ascii="Times New Roman" w:cs="Times New Roman" w:eastAsia="Times New Roman" w:hAnsi="Times New Roman"/>
          <w:sz w:val="14"/>
          <w:szCs w:val="14"/>
          <w:u w:val="single" w:color="auto"/>
          <w:color w:val="auto"/>
        </w:rPr>
        <w:t>Research Independence</w:t>
      </w:r>
      <w:r>
        <w:rPr>
          <w:rFonts w:ascii="Times New Roman" w:cs="Times New Roman" w:eastAsia="Times New Roman" w:hAnsi="Times New Roman"/>
          <w:sz w:val="14"/>
          <w:szCs w:val="14"/>
          <w:color w:val="auto"/>
        </w:rPr>
        <w:t>. The Company acknowledges that each Underwriter’s research analysts and research departments, if any, are required to be independent from their respective investment banking divisions and are subject to certain regulations and internal policies, and that such Underwriter’s research analysts may hold and make statements or investment recommendations and/or publish research reports with respect to the Company and/or the offering that differ from the views of its investment bankers. The Company hereby waives and releases, to the fullest extent permitted by law, any claims that the Company may have against such Underwriter with respect to any conflict of interest that may arise from the fact that the views expressed by their independent research analysts and research departments may be different from or inconsistent with the views or advice communicated to the Company by such Underwriter’s investment banking divisions. The Company acknowledges that the Representative is a full service securities firm and as such from time to time, subject to applicable securities laws, may effect transactions for its own account or the account of its customers and hold long or short position in debt or equity securities of the Company.</w:t>
      </w:r>
    </w:p>
    <w:p>
      <w:pPr>
        <w:sectPr>
          <w:pgSz w:w="11900" w:h="16838" w:orient="portrait"/>
          <w:cols w:equalWidth="0" w:num="1">
            <w:col w:w="11300"/>
          </w:cols>
          <w:pgMar w:left="300" w:top="778" w:right="29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4"/>
          <w:szCs w:val="14"/>
          <w:b w:val="1"/>
          <w:bCs w:val="1"/>
          <w:color w:val="auto"/>
        </w:rPr>
        <w:t>ARTICLE V.</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DEFAULT BY UNDERWRITERS</w:t>
      </w:r>
    </w:p>
    <w:p>
      <w:pPr>
        <w:spacing w:after="0" w:line="13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4"/>
          <w:szCs w:val="14"/>
          <w:color w:val="auto"/>
        </w:rPr>
        <w:t>If on the Closing Date, any Underwriter shall fail to purchase and pay for the portion of the Closing Securities, which such Underwriter has agreed to purchase and pay for on such date (otherwise than by reason of any default on the part of the Company), the Representative, or if the Representative is the defaulting Underwriter, the non-defaulting Underwriters, shall use their reasonable efforts to procure within 36 hours thereafter one or more of the other Underwriters, or any others, to purchase from the Company such amounts as may be agreed upon and upon the terms set forth herein, the Closing Securities, which the defaulting Underwriter or Underwriters failed to purchase. If during such 36 hours the Representative shall not have procured such other Underwriters, or any others, to purchase the Closing Securities, agreed to be purchased by the defaulting Underwriter or Underwriters, then (a) if the aggregate number of Closing Securities, with respect to which such default shall occur does not exceed 10% of the Closing Securities, covered hereby, the other Underwriters shall be obligated, severally, in proportion to the respective numbers of Closing Securities, which they are obligated to purchase hereunder, to purchase the Closing Securities, which such defaulting Underwriter or Underwriters failed to purchase, or (b) if the aggregate number of Closing Securities, with respect to which such default shall occur exceeds 10% of the Closing Securities, covered hereby, the Company or the Representative will have the right to terminate this Agreement without liability on the part of the non-defaulting Underwriters or of the Company except to the extent provided in Article VI hereof. In the event of a default by any Underwriter or Underwriters, as set forth in this Article V, the applicable Closing Date may be postponed for such period, not exceeding seven days, as the Representative, or if the Representative is the defaulting Underwriter, the non-defaulting Underwriters, may determine in order that the required changes in the Prospectus or in any other documents or arrangements may be effected. The term “Underwriter” includes any Person substituted for a defaulting Underwriter. Any action taken under this Section shall not relieve any defaulting Underwriter from liability in respect of any default of such Underwriter under this Agreement.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VI.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INDEMNIFICATION</w:t>
      </w:r>
    </w:p>
    <w:p>
      <w:pPr>
        <w:spacing w:after="0" w:line="138" w:lineRule="exact"/>
        <w:rPr>
          <w:sz w:val="20"/>
          <w:szCs w:val="20"/>
          <w:color w:val="auto"/>
        </w:rPr>
      </w:pPr>
    </w:p>
    <w:p>
      <w:pPr>
        <w:jc w:val="both"/>
        <w:ind w:firstLine="432"/>
        <w:spacing w:after="0" w:line="264" w:lineRule="auto"/>
        <w:rPr>
          <w:sz w:val="20"/>
          <w:szCs w:val="20"/>
          <w:color w:val="auto"/>
        </w:rPr>
      </w:pPr>
      <w:r>
        <w:rPr>
          <w:rFonts w:ascii="Times New Roman" w:cs="Times New Roman" w:eastAsia="Times New Roman" w:hAnsi="Times New Roman"/>
          <w:sz w:val="14"/>
          <w:szCs w:val="14"/>
          <w:color w:val="auto"/>
        </w:rPr>
        <w:t xml:space="preserve">6.1 </w:t>
      </w:r>
      <w:r>
        <w:rPr>
          <w:rFonts w:ascii="Times New Roman" w:cs="Times New Roman" w:eastAsia="Times New Roman" w:hAnsi="Times New Roman"/>
          <w:sz w:val="14"/>
          <w:szCs w:val="14"/>
          <w:u w:val="single" w:color="auto"/>
          <w:color w:val="auto"/>
        </w:rPr>
        <w:t>Indemnification of the Underwriters</w:t>
      </w:r>
      <w:r>
        <w:rPr>
          <w:rFonts w:ascii="Times New Roman" w:cs="Times New Roman" w:eastAsia="Times New Roman" w:hAnsi="Times New Roman"/>
          <w:sz w:val="14"/>
          <w:szCs w:val="14"/>
          <w:color w:val="auto"/>
        </w:rPr>
        <w:t>. Subject to the conditions set forth below, the Company agrees to indemnify and hold harmless each Underwriter, and each dealer selected by each Underwriter that participates in the offer and sale of the Securities (each a “</w:t>
      </w:r>
      <w:r>
        <w:rPr>
          <w:rFonts w:ascii="Times New Roman" w:cs="Times New Roman" w:eastAsia="Times New Roman" w:hAnsi="Times New Roman"/>
          <w:sz w:val="14"/>
          <w:szCs w:val="14"/>
          <w:u w:val="single" w:color="auto"/>
          <w:color w:val="auto"/>
        </w:rPr>
        <w:t>Selected Dealer</w:t>
      </w:r>
      <w:r>
        <w:rPr>
          <w:rFonts w:ascii="Times New Roman" w:cs="Times New Roman" w:eastAsia="Times New Roman" w:hAnsi="Times New Roman"/>
          <w:sz w:val="14"/>
          <w:szCs w:val="14"/>
          <w:color w:val="auto"/>
        </w:rPr>
        <w:t>”) and each of their respective directors, officers and employees and each Person, if any, who controls such Underwriter or any Selected Dealer (“</w:t>
      </w:r>
      <w:r>
        <w:rPr>
          <w:rFonts w:ascii="Times New Roman" w:cs="Times New Roman" w:eastAsia="Times New Roman" w:hAnsi="Times New Roman"/>
          <w:sz w:val="14"/>
          <w:szCs w:val="14"/>
          <w:u w:val="single" w:color="auto"/>
          <w:color w:val="auto"/>
        </w:rPr>
        <w:t>Controlling Person</w:t>
      </w:r>
      <w:r>
        <w:rPr>
          <w:rFonts w:ascii="Times New Roman" w:cs="Times New Roman" w:eastAsia="Times New Roman" w:hAnsi="Times New Roman"/>
          <w:sz w:val="14"/>
          <w:szCs w:val="14"/>
          <w:color w:val="auto"/>
        </w:rPr>
        <w:t>”) within the meaning of Section 15 of the Securities Act or Section 20 of the Exchange Act, against any and all loss, liability, claim, damage and expense whatsoever (including but not limited to any and all legal or other expenses reasonably incurred in investigating, preparing or defending against any litigation, commenced or threatened, or any claim whatsoever, whether arising out of any action between such Underwriter and the Company or between such Underwriter and any third party or otherwise) to which they or any of them may become subject under the Securities Act, the Exchange Act or any other statute or at common law or otherwise or under the laws of foreign countries, arising out of or based upon any Proceeding, commenced or threatened (whether or not such Underwriter is a target of or party to such Proceeding), or arising out of or based upon any untrue statement or alleged untrue statement of a material fact contained in (i) any</w:t>
      </w:r>
    </w:p>
    <w:p>
      <w:pPr>
        <w:sectPr>
          <w:pgSz w:w="11900" w:h="16838" w:orient="portrait"/>
          <w:cols w:equalWidth="0" w:num="1">
            <w:col w:w="11300"/>
          </w:cols>
          <w:pgMar w:left="300" w:top="848" w:right="299" w:bottom="1440" w:gutter="0" w:footer="0" w:header="0"/>
        </w:sectPr>
      </w:pPr>
    </w:p>
    <w:bookmarkStart w:id="36" w:name="page37"/>
    <w:bookmarkEnd w:id="36"/>
    <w:p>
      <w:pPr>
        <w:jc w:val="both"/>
        <w:spacing w:after="0" w:line="260" w:lineRule="auto"/>
        <w:rPr>
          <w:sz w:val="20"/>
          <w:szCs w:val="20"/>
          <w:color w:val="auto"/>
        </w:rPr>
      </w:pPr>
      <w:r>
        <w:rPr>
          <w:rFonts w:ascii="Times New Roman" w:cs="Times New Roman" w:eastAsia="Times New Roman" w:hAnsi="Times New Roman"/>
          <w:sz w:val="14"/>
          <w:szCs w:val="14"/>
          <w:color w:val="auto"/>
        </w:rPr>
        <w:t>Preliminary Prospectus, if any, the Registration Statement or the Prospectus (as from time to time each may be amended and supplemented); (ii) any materials or information provided to investors by, or with the approval of, the Company in connection with the marketing of the offering of the Securities, including any “road show” or investor presentations made to investors by the Company (whether in person or electronically); or (iii) any application or other document or written communication (in this Article VI, collectively called “</w:t>
      </w:r>
      <w:r>
        <w:rPr>
          <w:rFonts w:ascii="Times New Roman" w:cs="Times New Roman" w:eastAsia="Times New Roman" w:hAnsi="Times New Roman"/>
          <w:sz w:val="14"/>
          <w:szCs w:val="14"/>
          <w:u w:val="single" w:color="auto"/>
          <w:color w:val="auto"/>
        </w:rPr>
        <w:t>application</w:t>
      </w:r>
      <w:r>
        <w:rPr>
          <w:rFonts w:ascii="Times New Roman" w:cs="Times New Roman" w:eastAsia="Times New Roman" w:hAnsi="Times New Roman"/>
          <w:sz w:val="14"/>
          <w:szCs w:val="14"/>
          <w:color w:val="auto"/>
        </w:rPr>
        <w:t>”) executed by the Company or based upon written information furnished by the Company in any jurisdiction in order to qualify the Securities under the securities laws thereof or filed with the Commission, any state securities commission or agency, Trading Market or any securities exchange; or the omission or alleged omission therefrom of a material fact required to be stated therein or necessary to make the statements therein, in light of the circumstances under which they were made, not misleading, unless such statement or omission was made in reliance upon and in conformity with written information furnished to the Company with respect to the applicable Underwriter by or on behalf of such Underwriter expressly for use in any Preliminary Prospectus, if any, the Registration Statement or Prospectus, or any amendment or supplement thereto, or in any application, as the case may be. With respect to any untrue statement or omission or alleged untrue statement or omission made in the Preliminary Prospectus, if any, the indemnity agreement contained in this Section 6.1 shall not inure to the benefit of an Underwriter to the extent that any loss, liability, claim, damage or expense of such Underwriter results from the fact that a copy of the Prospectus was not given or sent to the Person asserting any such loss, liability, claim or damage at or prior to the written confirmation of sale of the Securities to such Person as required by the Securities Act and the rules and regulations thereunder, and if the untrue statement or omission has been corrected in the Prospectus, unless such failure to deliver the Prospectus was a result of non-compliance by the Company with its obligations under this Agreement. The Company agrees promptly to notify each Underwriter of the commencement of any litigation or proceedings against the Company or any of its officers, directors or Controlling Persons in connection with the issue and sale of the Closing Securities or in connection with the Registration Statement or Prospectus.</w:t>
      </w:r>
    </w:p>
    <w:p>
      <w:pPr>
        <w:spacing w:after="0" w:line="29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4"/>
          <w:szCs w:val="14"/>
          <w:color w:val="auto"/>
        </w:rPr>
        <w:t xml:space="preserve">6.2 </w:t>
      </w:r>
      <w:r>
        <w:rPr>
          <w:rFonts w:ascii="Times New Roman" w:cs="Times New Roman" w:eastAsia="Times New Roman" w:hAnsi="Times New Roman"/>
          <w:sz w:val="14"/>
          <w:szCs w:val="14"/>
          <w:u w:val="single" w:color="auto"/>
          <w:color w:val="auto"/>
        </w:rPr>
        <w:t>Procedure</w:t>
      </w:r>
      <w:r>
        <w:rPr>
          <w:rFonts w:ascii="Times New Roman" w:cs="Times New Roman" w:eastAsia="Times New Roman" w:hAnsi="Times New Roman"/>
          <w:sz w:val="14"/>
          <w:szCs w:val="14"/>
          <w:color w:val="auto"/>
        </w:rPr>
        <w:t>. If any action is brought against an Underwriter, a Selected Dealer or a Controlling Person in respect of which indemnity may be sought against the Company pursuant to Section 6.1, such Underwriter, such Selected Dealer or Controlling Person, as the case may be, shall promptly notify the Company in writing of the institution of such action and the Company shall assume the defense of such action, including the employment and fees of counsel (subject to the reasonable approval of such Underwriter or such Selected Dealer, as the case may be) and payment of actual expenses. Such Underwriter, such Selected Dealer or Controlling Person shall have the right to employ its or their own counsel in any such case, but the fees and expenses of such counsel shall be at the expense of such Underwriter, such Selected Dealer or Controlling Person unless (i) the employment of such counsel at the expense of the Company shall have been authorized in writing by the Company in connection with the defense of such action, or (ii) the Company shall not have employed counsel to have charge of the defense of such action, or (iii) such indemnified party or parties shall have reasonably concluded that there may be defenses available to it or them which are different from or additional to those available to the Company (in which case the Company shall not have the right to direct the defense of such action on behalf of the indemnified party or parties), in any of which events the reasonable fees and expenses of not more than one additional firm of attorneys selected by such Underwriter (in addition to local counsel), Selected Dealer and/or Controlling Person shall be borne by the</w:t>
      </w:r>
    </w:p>
    <w:p>
      <w:pPr>
        <w:sectPr>
          <w:pgSz w:w="11900" w:h="16838" w:orient="portrait"/>
          <w:cols w:equalWidth="0" w:num="1">
            <w:col w:w="11300"/>
          </w:cols>
          <w:pgMar w:left="300" w:top="778" w:right="299" w:bottom="1440" w:gutter="0" w:footer="0" w:header="0"/>
        </w:sectPr>
      </w:pPr>
    </w:p>
    <w:bookmarkStart w:id="37" w:name="page38"/>
    <w:bookmarkEnd w:id="37"/>
    <w:p>
      <w:pPr>
        <w:jc w:val="both"/>
        <w:spacing w:after="0" w:line="295" w:lineRule="auto"/>
        <w:rPr>
          <w:sz w:val="20"/>
          <w:szCs w:val="20"/>
          <w:color w:val="auto"/>
        </w:rPr>
      </w:pPr>
      <w:r>
        <w:rPr>
          <w:rFonts w:ascii="Times New Roman" w:cs="Times New Roman" w:eastAsia="Times New Roman" w:hAnsi="Times New Roman"/>
          <w:sz w:val="14"/>
          <w:szCs w:val="14"/>
          <w:color w:val="auto"/>
        </w:rPr>
        <w:t>Company. Notwithstanding anything to the contrary contained herein, if any Underwriter, Selected Dealer or Controlling Person shall assume the defense of such action as provided above, the Company shall have the right to approve the terms of any settlement of such action which approval shall not be unreasonably withheld.</w:t>
      </w:r>
    </w:p>
    <w:p>
      <w:pPr>
        <w:spacing w:after="0" w:line="9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4"/>
          <w:szCs w:val="14"/>
          <w:color w:val="auto"/>
        </w:rPr>
        <w:t xml:space="preserve">6.3 </w:t>
      </w:r>
      <w:r>
        <w:rPr>
          <w:rFonts w:ascii="Times New Roman" w:cs="Times New Roman" w:eastAsia="Times New Roman" w:hAnsi="Times New Roman"/>
          <w:sz w:val="14"/>
          <w:szCs w:val="14"/>
          <w:u w:val="single" w:color="auto"/>
          <w:color w:val="auto"/>
        </w:rPr>
        <w:t>Indemnification of the Company</w:t>
      </w:r>
      <w:r>
        <w:rPr>
          <w:rFonts w:ascii="Times New Roman" w:cs="Times New Roman" w:eastAsia="Times New Roman" w:hAnsi="Times New Roman"/>
          <w:sz w:val="14"/>
          <w:szCs w:val="14"/>
          <w:color w:val="auto"/>
        </w:rPr>
        <w:t>. Each Underwriter severally and not jointly agrees to indemnify and hold harmless the Company, its directors, officers and employees and agents who control the Company within the meaning of Section 15 of the Securities Act or Section 20 of the Exchange Act against any and all loss, liability, claim, damage and expense described in the foregoing indemnity from the Company to such Underwriter, as incurred, but only with respect to untrue statements or omissions, or alleged untrue statements or omissions made in any Preliminary Prospectus, if any, the Registration Statement or Prospectus or any amendment or supplement thereto or in any application, in reliance upon, and in strict conformity with, written information furnished to the Company with respect to such Underwriter by or on behalf of such Underwriter expressly for use in such Preliminary Prospectus, if any, the Registration Statement or Prospectus or any amendment or supplement thereto or in any such application. In case any action shall be brought against the Company or any other Person so indemnified based on any Preliminary Prospectus, if any, the Registration Statement or Prospectus or any amendment or supplement thereto or any application, and in respect of which indemnity may be sought against such Underwriter, such Underwriter shall have the rights and duties given to the Company, and the Company and each other Person so indemnified shall have the rights and duties given to such Underwriter by the provisions of this Article VI. Notwithstanding the provisions of this Section 6.3, no Underwriter shall be required to indemnify the Company for any amount in excess of the underwriting discounts and commissions applicable to the Securities purchased by such Underwriter. The Underwriters' obligations in this Section 6.3 to indemnify the Company are several in proportion to their respective underwriting obligations and not joint.</w:t>
      </w:r>
    </w:p>
    <w:p>
      <w:pPr>
        <w:spacing w:after="0" w:line="117" w:lineRule="exact"/>
        <w:rPr>
          <w:sz w:val="20"/>
          <w:szCs w:val="20"/>
          <w:color w:val="auto"/>
        </w:rPr>
      </w:pPr>
    </w:p>
    <w:p>
      <w:pPr>
        <w:ind w:left="420"/>
        <w:spacing w:after="0"/>
        <w:tabs>
          <w:tab w:leader="none" w:pos="720" w:val="left"/>
        </w:tabs>
        <w:rPr>
          <w:sz w:val="20"/>
          <w:szCs w:val="20"/>
          <w:color w:val="auto"/>
        </w:rPr>
      </w:pPr>
      <w:r>
        <w:rPr>
          <w:rFonts w:ascii="Times New Roman" w:cs="Times New Roman" w:eastAsia="Times New Roman" w:hAnsi="Times New Roman"/>
          <w:sz w:val="14"/>
          <w:szCs w:val="14"/>
          <w:color w:val="auto"/>
        </w:rPr>
        <w:t>6.4</w:t>
      </w:r>
      <w:r>
        <w:rPr>
          <w:sz w:val="20"/>
          <w:szCs w:val="20"/>
          <w:color w:val="auto"/>
        </w:rPr>
        <w:tab/>
      </w:r>
      <w:r>
        <w:rPr>
          <w:rFonts w:ascii="Times New Roman" w:cs="Times New Roman" w:eastAsia="Times New Roman" w:hAnsi="Times New Roman"/>
          <w:sz w:val="14"/>
          <w:szCs w:val="14"/>
          <w:u w:val="single" w:color="auto"/>
          <w:color w:val="auto"/>
        </w:rPr>
        <w:t>Contribution</w:t>
      </w:r>
      <w:r>
        <w:rPr>
          <w:rFonts w:ascii="Times New Roman" w:cs="Times New Roman" w:eastAsia="Times New Roman" w:hAnsi="Times New Roman"/>
          <w:sz w:val="14"/>
          <w:szCs w:val="14"/>
          <w:color w:val="auto"/>
        </w:rPr>
        <w:t>.</w:t>
      </w:r>
    </w:p>
    <w:p>
      <w:pPr>
        <w:spacing w:after="0" w:line="163" w:lineRule="exact"/>
        <w:rPr>
          <w:sz w:val="20"/>
          <w:szCs w:val="20"/>
          <w:color w:val="auto"/>
        </w:rPr>
      </w:pPr>
    </w:p>
    <w:p>
      <w:pPr>
        <w:jc w:val="both"/>
        <w:ind w:left="420" w:firstLine="436"/>
        <w:spacing w:after="0" w:line="261" w:lineRule="auto"/>
        <w:tabs>
          <w:tab w:leader="none" w:pos="1174"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Contribution Rights</w:t>
      </w:r>
      <w:r>
        <w:rPr>
          <w:rFonts w:ascii="Times New Roman" w:cs="Times New Roman" w:eastAsia="Times New Roman" w:hAnsi="Times New Roman"/>
          <w:sz w:val="14"/>
          <w:szCs w:val="14"/>
          <w:color w:val="auto"/>
        </w:rPr>
        <w:t>. In order to provide for just and equitable contribution under the Securities Act in any case in which (i) any Person entitled to indemnification under this Article VI makes a claim for indemnification pursuant hereto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Article VI provides for indemnification in such case, or (ii) contribution under the Securities Act, the Exchange Act or otherwise may be required on the part of any such Person in circumstances for which indemnification is provided under this Article VI, then, and in each such case, the Company and each Underwriter, severally and not jointly, shall contribute to the aggregate losses, liabilities, claims, damages and expenses of the nature contemplated by said indemnity agreement incurred by the Company and such Underwriter, as incurred, in such proportions that such Underwriter is responsible for that portion represented by the percentage that the underwriting discount appearing on the cover page of the Prospectus bears to the initial offering price appearing thereon and the Company is responsible for the balance; provided, that, no Person guilty of a fraudulent misrepresentation (within the meaning of Section 11(f) of the Securities Act) shall be entitled to contribution from any Person who was not guilty of such</w:t>
      </w:r>
    </w:p>
    <w:p>
      <w:pPr>
        <w:sectPr>
          <w:pgSz w:w="11900" w:h="16838" w:orient="portrait"/>
          <w:cols w:equalWidth="0" w:num="1">
            <w:col w:w="11300"/>
          </w:cols>
          <w:pgMar w:left="300" w:top="778" w:right="299" w:bottom="1440" w:gutter="0" w:footer="0" w:header="0"/>
        </w:sectPr>
      </w:pPr>
    </w:p>
    <w:bookmarkStart w:id="38" w:name="page39"/>
    <w:bookmarkEnd w:id="38"/>
    <w:p>
      <w:pPr>
        <w:jc w:val="both"/>
        <w:spacing w:after="0" w:line="272" w:lineRule="auto"/>
        <w:rPr>
          <w:sz w:val="20"/>
          <w:szCs w:val="20"/>
          <w:color w:val="auto"/>
        </w:rPr>
      </w:pPr>
      <w:r>
        <w:rPr>
          <w:rFonts w:ascii="Times New Roman" w:cs="Times New Roman" w:eastAsia="Times New Roman" w:hAnsi="Times New Roman"/>
          <w:sz w:val="14"/>
          <w:szCs w:val="14"/>
          <w:color w:val="auto"/>
        </w:rPr>
        <w:t>fraudulent misrepresentation. For purposes of this Section, each director, officer and employee of such Underwriter or the Company, as applicable, and each Person, if any, who controls such Underwriter or the Company, as applicable, within the meaning of Section 15 of the Securities Act shall have the same rights to contribution as such Underwriter or the Company, as applicable. Notwithstanding the provisions of this Section 6.4, no Underwriter shall be required to contribute any amount in excess of the underwriting discounts and commissions applicable to the Securities purchased by such Underwriter. The Underwriters' obligations in this Section 6.4 to contribute are several in proportion to their respective underwriting obligations and not joint.</w:t>
      </w:r>
    </w:p>
    <w:p>
      <w:pPr>
        <w:spacing w:after="0" w:line="107" w:lineRule="exact"/>
        <w:rPr>
          <w:sz w:val="20"/>
          <w:szCs w:val="20"/>
          <w:color w:val="auto"/>
        </w:rPr>
      </w:pPr>
    </w:p>
    <w:p>
      <w:pPr>
        <w:jc w:val="both"/>
        <w:ind w:firstLine="436"/>
        <w:spacing w:after="0" w:line="263" w:lineRule="auto"/>
        <w:tabs>
          <w:tab w:leader="none" w:pos="834"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Contribution Procedure</w:t>
      </w:r>
      <w:r>
        <w:rPr>
          <w:rFonts w:ascii="Times New Roman" w:cs="Times New Roman" w:eastAsia="Times New Roman" w:hAnsi="Times New Roman"/>
          <w:sz w:val="14"/>
          <w:szCs w:val="14"/>
          <w:color w:val="auto"/>
        </w:rPr>
        <w:t>. Within fifteen days after receipt by any party to this Agreement (or its representative) of notice of the commencement of any action, suit or proceeding, such party will, if a claim for contribution in respect thereof is to be made against another party (“</w:t>
      </w:r>
      <w:r>
        <w:rPr>
          <w:rFonts w:ascii="Times New Roman" w:cs="Times New Roman" w:eastAsia="Times New Roman" w:hAnsi="Times New Roman"/>
          <w:sz w:val="14"/>
          <w:szCs w:val="14"/>
          <w:u w:val="single" w:color="auto"/>
          <w:color w:val="auto"/>
        </w:rPr>
        <w:t>contributing party</w:t>
      </w:r>
      <w:r>
        <w:rPr>
          <w:rFonts w:ascii="Times New Roman" w:cs="Times New Roman" w:eastAsia="Times New Roman" w:hAnsi="Times New Roman"/>
          <w:sz w:val="14"/>
          <w:szCs w:val="14"/>
          <w:color w:val="auto"/>
        </w:rPr>
        <w:t>”), notify the contributing party of the commencement thereof, but the failure to so notify the contributing party will not relieve it from any liability which it may have to any other party other than for contribution hereunder. In case any such action, suit or proceeding is brought against any party, and such party notifies a contributing party or its representative of the commencement thereof within the aforesaid fifteen days, the contributing party will be entitled to participate therein with the notifying party and any other contributing party similarly notified. Any such contributing party shall not be liable to any party seeking contribution on account of any settlement of any claim, action or proceeding affected by such party seeking contribution without the written consent of such contributing party. The contribution provisions contained in this Section 6.4 are intended to supersede, to the extent permitted by law, any right to contribution under the Securities Act, the Exchange Act or otherwise available.</w:t>
      </w:r>
    </w:p>
    <w:p>
      <w:pPr>
        <w:spacing w:after="0" w:line="28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ARTICLE VII.</w:t>
      </w:r>
    </w:p>
    <w:p>
      <w:pPr>
        <w:spacing w:after="0" w:line="2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MISCELLANEOUS</w:t>
      </w:r>
    </w:p>
    <w:p>
      <w:pPr>
        <w:spacing w:after="0" w:line="14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7.1</w:t>
      </w:r>
      <w:r>
        <w:rPr>
          <w:sz w:val="20"/>
          <w:szCs w:val="20"/>
          <w:color w:val="auto"/>
        </w:rPr>
        <w:tab/>
      </w:r>
      <w:r>
        <w:rPr>
          <w:rFonts w:ascii="Times New Roman" w:cs="Times New Roman" w:eastAsia="Times New Roman" w:hAnsi="Times New Roman"/>
          <w:sz w:val="14"/>
          <w:szCs w:val="14"/>
          <w:u w:val="single" w:color="auto"/>
          <w:color w:val="auto"/>
        </w:rPr>
        <w:t>Termination</w:t>
      </w:r>
      <w:r>
        <w:rPr>
          <w:rFonts w:ascii="Times New Roman" w:cs="Times New Roman" w:eastAsia="Times New Roman" w:hAnsi="Times New Roman"/>
          <w:sz w:val="14"/>
          <w:szCs w:val="14"/>
          <w:color w:val="auto"/>
        </w:rPr>
        <w:t>.</w:t>
      </w:r>
    </w:p>
    <w:p>
      <w:pPr>
        <w:spacing w:after="0" w:line="154" w:lineRule="exact"/>
        <w:rPr>
          <w:sz w:val="20"/>
          <w:szCs w:val="20"/>
          <w:color w:val="auto"/>
        </w:rPr>
      </w:pPr>
    </w:p>
    <w:p>
      <w:pPr>
        <w:jc w:val="both"/>
        <w:ind w:firstLine="436"/>
        <w:spacing w:after="0" w:line="262" w:lineRule="auto"/>
        <w:tabs>
          <w:tab w:leader="none" w:pos="73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Right</w:t>
      </w:r>
      <w:r>
        <w:rPr>
          <w:rFonts w:ascii="Times New Roman" w:cs="Times New Roman" w:eastAsia="Times New Roman" w:hAnsi="Times New Roman"/>
          <w:sz w:val="14"/>
          <w:szCs w:val="14"/>
          <w:color w:val="auto"/>
        </w:rPr>
        <w:t>. The Representative shall have the right to terminate this Agreement at any time prior to any Closing Date, (i) if any domestic or international event or act or occurrence has materially disrupted, or in the Representative’s reasonable judgment will in the immediate future materially disrupt, general securities markets in the United States; or (ii) if trading on any Trading Market shall have been suspended or materially limited, or minimum or maximum prices for trading shall have been fixed, or maximum ranges for prices for securities shall have been required by FINRA or by order of the Commission or any other government authority having jurisdiction, or (iii) if the United States shall have become involved in a new war or an increase in major hostilities, or (iv) if a banking moratorium has been declared by a New York State or federal authority, or (v) if a moratorium on foreign exchange trading has been declared which materially adversely impacts the United States securities markets, or (vi) if the Company shall have sustained a material loss by fire, flood, accident, hurricane, earthquake, theft, sabotage or other calamity or malicious act which, whether or not such loss shall have been insured, will, in the Representative’s reasonable judgment, make it inadvisable to proceed with the delivery of the Securities, or (vii) if the Company is in material breach</w:t>
      </w:r>
    </w:p>
    <w:p>
      <w:pPr>
        <w:sectPr>
          <w:pgSz w:w="11900" w:h="16838" w:orient="portrait"/>
          <w:cols w:equalWidth="0" w:num="1">
            <w:col w:w="10880"/>
          </w:cols>
          <w:pgMar w:left="720" w:top="778" w:right="299" w:bottom="1440" w:gutter="0" w:footer="0" w:header="0"/>
        </w:sectPr>
      </w:pPr>
    </w:p>
    <w:bookmarkStart w:id="39" w:name="page40"/>
    <w:bookmarkEnd w:id="39"/>
    <w:p>
      <w:pPr>
        <w:jc w:val="both"/>
        <w:ind w:left="420"/>
        <w:spacing w:after="0" w:line="272" w:lineRule="auto"/>
        <w:rPr>
          <w:sz w:val="20"/>
          <w:szCs w:val="20"/>
          <w:color w:val="auto"/>
        </w:rPr>
      </w:pPr>
      <w:r>
        <w:rPr>
          <w:rFonts w:ascii="Times New Roman" w:cs="Times New Roman" w:eastAsia="Times New Roman" w:hAnsi="Times New Roman"/>
          <w:sz w:val="14"/>
          <w:szCs w:val="14"/>
          <w:color w:val="auto"/>
        </w:rPr>
        <w:t>of any of its representations, warranties or covenants hereunder, or (viii) if the Representative shall have become aware after the date hereof of such a material adverse change in the conditions or prospects of the Company, or such adverse material change in general market conditions as in the Representative’s reasonable judgment would make it impracticable to proceed with the offering, sale and/or delivery of the Securities or to enforce contracts made by the Underwriters for the sale of the Securities. In the event of any termination pursuant to this Section 7.1(a), the Representative shall promptly provide the Company with written notice of such termination, specifying in reasonable detail the basis therefor.</w:t>
      </w:r>
    </w:p>
    <w:p>
      <w:pPr>
        <w:spacing w:after="0" w:line="107" w:lineRule="exact"/>
        <w:rPr>
          <w:sz w:val="20"/>
          <w:szCs w:val="20"/>
          <w:color w:val="auto"/>
        </w:rPr>
      </w:pPr>
    </w:p>
    <w:p>
      <w:pPr>
        <w:jc w:val="both"/>
        <w:ind w:left="420" w:firstLine="436"/>
        <w:spacing w:after="0" w:line="272" w:lineRule="auto"/>
        <w:tabs>
          <w:tab w:leader="none" w:pos="118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Expenses</w:t>
      </w:r>
      <w:r>
        <w:rPr>
          <w:rFonts w:ascii="Times New Roman" w:cs="Times New Roman" w:eastAsia="Times New Roman" w:hAnsi="Times New Roman"/>
          <w:sz w:val="14"/>
          <w:szCs w:val="14"/>
          <w:color w:val="auto"/>
        </w:rPr>
        <w:t>. In the event this Agreement shall be terminated pursuant to Section 7.1(a), within the time specified herein or any extensions thereof pursuant to the terms herein, the Company shall be obligated to pay to the Representative its actual and accountable out of pocket expenses related to the transactions contemplated herein then due and payable, including the fees and disbursements of SRFC up to $80,000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such expense cap in no way limits or impairs the indemnification and contribution provisions of this Agreement).</w:t>
      </w:r>
    </w:p>
    <w:p>
      <w:pPr>
        <w:spacing w:after="0" w:line="289" w:lineRule="exact"/>
        <w:rPr>
          <w:rFonts w:ascii="Times New Roman" w:cs="Times New Roman" w:eastAsia="Times New Roman" w:hAnsi="Times New Roman"/>
          <w:sz w:val="14"/>
          <w:szCs w:val="14"/>
          <w:color w:val="auto"/>
        </w:rPr>
      </w:pPr>
    </w:p>
    <w:p>
      <w:pPr>
        <w:jc w:val="both"/>
        <w:ind w:left="420" w:firstLine="436"/>
        <w:spacing w:after="0" w:line="275" w:lineRule="auto"/>
        <w:tabs>
          <w:tab w:leader="none" w:pos="1183"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Indemnification</w:t>
      </w:r>
      <w:r>
        <w:rPr>
          <w:rFonts w:ascii="Times New Roman" w:cs="Times New Roman" w:eastAsia="Times New Roman" w:hAnsi="Times New Roman"/>
          <w:sz w:val="14"/>
          <w:szCs w:val="14"/>
          <w:color w:val="auto"/>
        </w:rPr>
        <w:t>. Notwithstanding any contrary provision contained in this Agreement, any election hereunder or any termination of this Agreement, and whether or not this Agreement is otherwise carried out, the provisions of Article VI shall not be in any way effected by such election or termination or failure to carry out the terms of this Agreement or any part hereof.</w:t>
      </w:r>
    </w:p>
    <w:p>
      <w:pPr>
        <w:spacing w:after="0" w:line="10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4"/>
          <w:szCs w:val="14"/>
          <w:color w:val="auto"/>
        </w:rPr>
        <w:t xml:space="preserve">7.2 </w:t>
      </w:r>
      <w:r>
        <w:rPr>
          <w:rFonts w:ascii="Times New Roman" w:cs="Times New Roman" w:eastAsia="Times New Roman" w:hAnsi="Times New Roman"/>
          <w:sz w:val="14"/>
          <w:szCs w:val="14"/>
          <w:u w:val="single" w:color="auto"/>
          <w:color w:val="auto"/>
        </w:rPr>
        <w:t>Entire Agreement</w:t>
      </w:r>
      <w:r>
        <w:rPr>
          <w:rFonts w:ascii="Times New Roman" w:cs="Times New Roman" w:eastAsia="Times New Roman" w:hAnsi="Times New Roman"/>
          <w:sz w:val="14"/>
          <w:szCs w:val="14"/>
          <w:color w:val="auto"/>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 Notwithstanding anything herein to the contrary, the Investment Banking Agreement, dated April 2, 2026, as amended on April 14, 2026 (the “</w:t>
      </w:r>
      <w:r>
        <w:rPr>
          <w:rFonts w:ascii="Times New Roman" w:cs="Times New Roman" w:eastAsia="Times New Roman" w:hAnsi="Times New Roman"/>
          <w:sz w:val="14"/>
          <w:szCs w:val="14"/>
          <w:u w:val="single" w:color="auto"/>
          <w:color w:val="auto"/>
        </w:rPr>
        <w:t>Investment Banking Agreement</w:t>
      </w:r>
      <w:r>
        <w:rPr>
          <w:rFonts w:ascii="Times New Roman" w:cs="Times New Roman" w:eastAsia="Times New Roman" w:hAnsi="Times New Roman"/>
          <w:sz w:val="14"/>
          <w:szCs w:val="14"/>
          <w:color w:val="auto"/>
        </w:rPr>
        <w:t>”), by and between the Company and the Representative, shall continue to be effective and the terms therein, including, without limitation, Section 4(b) and Section 5 with respect to any future offerings, shall continue to survive and be enforceable by the Representative in accordance with its terms, provided that, in the event of a conflict between the terms of the Investment Banking Agreement and this Agreement, the terms of this Agreement shall prevail.</w:t>
      </w:r>
    </w:p>
    <w:p>
      <w:pPr>
        <w:spacing w:after="0" w:line="112" w:lineRule="exact"/>
        <w:rPr>
          <w:sz w:val="20"/>
          <w:szCs w:val="20"/>
          <w:color w:val="auto"/>
        </w:rPr>
      </w:pPr>
    </w:p>
    <w:p>
      <w:pPr>
        <w:jc w:val="both"/>
        <w:ind w:firstLine="432"/>
        <w:spacing w:after="0" w:line="251" w:lineRule="auto"/>
        <w:rPr>
          <w:sz w:val="20"/>
          <w:szCs w:val="20"/>
          <w:color w:val="auto"/>
        </w:rPr>
      </w:pPr>
      <w:r>
        <w:rPr>
          <w:rFonts w:ascii="Times New Roman" w:cs="Times New Roman" w:eastAsia="Times New Roman" w:hAnsi="Times New Roman"/>
          <w:sz w:val="14"/>
          <w:szCs w:val="14"/>
          <w:color w:val="auto"/>
        </w:rPr>
        <w:t xml:space="preserve">7.3 </w:t>
      </w: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 hereto on a day that is not a Trading Day or later than 5:30 p.m. (New York City time) on any Trading Day, (c) the second (2</w:t>
      </w:r>
      <w:r>
        <w:rPr>
          <w:rFonts w:ascii="Times New Roman" w:cs="Times New Roman" w:eastAsia="Times New Roman" w:hAnsi="Times New Roman"/>
          <w:sz w:val="18"/>
          <w:szCs w:val="18"/>
          <w:color w:val="auto"/>
          <w:vertAlign w:val="superscript"/>
        </w:rPr>
        <w:t>nd</w:t>
      </w:r>
      <w:r>
        <w:rPr>
          <w:rFonts w:ascii="Times New Roman" w:cs="Times New Roman" w:eastAsia="Times New Roman" w:hAnsi="Times New Roman"/>
          <w:sz w:val="14"/>
          <w:szCs w:val="14"/>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sectPr>
          <w:pgSz w:w="11900" w:h="16838" w:orient="portrait"/>
          <w:cols w:equalWidth="0" w:num="1">
            <w:col w:w="11300"/>
          </w:cols>
          <w:pgMar w:left="300" w:top="778" w:right="299" w:bottom="1440" w:gutter="0" w:footer="0" w:header="0"/>
        </w:sectPr>
      </w:pPr>
    </w:p>
    <w:bookmarkStart w:id="40" w:name="page41"/>
    <w:bookmarkEnd w:id="40"/>
    <w:p>
      <w:pPr>
        <w:jc w:val="both"/>
        <w:ind w:firstLine="432"/>
        <w:spacing w:after="0" w:line="272" w:lineRule="auto"/>
        <w:rPr>
          <w:sz w:val="20"/>
          <w:szCs w:val="20"/>
          <w:color w:val="auto"/>
        </w:rPr>
      </w:pPr>
      <w:r>
        <w:rPr>
          <w:rFonts w:ascii="Times New Roman" w:cs="Times New Roman" w:eastAsia="Times New Roman" w:hAnsi="Times New Roman"/>
          <w:sz w:val="14"/>
          <w:szCs w:val="14"/>
          <w:color w:val="auto"/>
        </w:rPr>
        <w:t xml:space="preserve">7.4 </w:t>
      </w:r>
      <w:r>
        <w:rPr>
          <w:rFonts w:ascii="Times New Roman" w:cs="Times New Roman" w:eastAsia="Times New Roman" w:hAnsi="Times New Roman"/>
          <w:sz w:val="14"/>
          <w:szCs w:val="14"/>
          <w:u w:val="single" w:color="auto"/>
          <w:color w:val="auto"/>
        </w:rPr>
        <w:t>Amendments; Waivers</w:t>
      </w:r>
      <w:r>
        <w:rPr>
          <w:rFonts w:ascii="Times New Roman" w:cs="Times New Roman" w:eastAsia="Times New Roman" w:hAnsi="Times New Roman"/>
          <w:sz w:val="14"/>
          <w:szCs w:val="14"/>
          <w:color w:val="auto"/>
        </w:rPr>
        <w:t>. No provision of this Agreement may be waived, modified, supplemented or amended except in a written instrument signed, in the case of an amendment, by the Company and the Representative.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spacing w:after="0" w:line="107" w:lineRule="exact"/>
        <w:rPr>
          <w:sz w:val="20"/>
          <w:szCs w:val="20"/>
          <w:color w:val="auto"/>
        </w:rPr>
      </w:pPr>
    </w:p>
    <w:p>
      <w:pPr>
        <w:ind w:left="420"/>
        <w:spacing w:after="0"/>
        <w:tabs>
          <w:tab w:leader="none" w:pos="720" w:val="left"/>
        </w:tabs>
        <w:rPr>
          <w:sz w:val="20"/>
          <w:szCs w:val="20"/>
          <w:color w:val="auto"/>
        </w:rPr>
      </w:pPr>
      <w:r>
        <w:rPr>
          <w:rFonts w:ascii="Times New Roman" w:cs="Times New Roman" w:eastAsia="Times New Roman" w:hAnsi="Times New Roman"/>
          <w:sz w:val="14"/>
          <w:szCs w:val="14"/>
          <w:color w:val="auto"/>
        </w:rPr>
        <w:t>7.5</w:t>
      </w:r>
      <w:r>
        <w:rPr>
          <w:sz w:val="20"/>
          <w:szCs w:val="20"/>
          <w:color w:val="auto"/>
        </w:rPr>
        <w:tab/>
      </w:r>
      <w:r>
        <w:rPr>
          <w:rFonts w:ascii="Times New Roman" w:cs="Times New Roman" w:eastAsia="Times New Roman" w:hAnsi="Times New Roman"/>
          <w:sz w:val="14"/>
          <w:szCs w:val="14"/>
          <w:u w:val="single" w:color="auto"/>
          <w:color w:val="auto"/>
        </w:rPr>
        <w:t>Headings</w:t>
      </w:r>
      <w:r>
        <w:rPr>
          <w:rFonts w:ascii="Times New Roman" w:cs="Times New Roman" w:eastAsia="Times New Roman" w:hAnsi="Times New Roman"/>
          <w:sz w:val="14"/>
          <w:szCs w:val="14"/>
          <w:color w:val="auto"/>
        </w:rPr>
        <w:t>. The headings herein are for convenience only, do not constitute a part of this Agreement and shall not be deemed to limit or affect any of the provisions hereof.</w:t>
      </w:r>
    </w:p>
    <w:p>
      <w:pPr>
        <w:spacing w:after="0" w:line="154" w:lineRule="exact"/>
        <w:rPr>
          <w:sz w:val="20"/>
          <w:szCs w:val="20"/>
          <w:color w:val="auto"/>
        </w:rPr>
      </w:pPr>
    </w:p>
    <w:p>
      <w:pPr>
        <w:ind w:left="420"/>
        <w:spacing w:after="0"/>
        <w:tabs>
          <w:tab w:leader="none" w:pos="720" w:val="left"/>
        </w:tabs>
        <w:rPr>
          <w:sz w:val="20"/>
          <w:szCs w:val="20"/>
          <w:color w:val="auto"/>
        </w:rPr>
      </w:pPr>
      <w:r>
        <w:rPr>
          <w:rFonts w:ascii="Times New Roman" w:cs="Times New Roman" w:eastAsia="Times New Roman" w:hAnsi="Times New Roman"/>
          <w:sz w:val="14"/>
          <w:szCs w:val="14"/>
          <w:color w:val="auto"/>
        </w:rPr>
        <w:t>7.6</w:t>
      </w:r>
      <w:r>
        <w:rPr>
          <w:sz w:val="20"/>
          <w:szCs w:val="20"/>
          <w:color w:val="auto"/>
        </w:rPr>
        <w:tab/>
      </w:r>
      <w:r>
        <w:rPr>
          <w:rFonts w:ascii="Times New Roman" w:cs="Times New Roman" w:eastAsia="Times New Roman" w:hAnsi="Times New Roman"/>
          <w:sz w:val="14"/>
          <w:szCs w:val="14"/>
          <w:u w:val="single" w:color="auto"/>
          <w:color w:val="auto"/>
        </w:rPr>
        <w:t>Successors and Assigns</w:t>
      </w:r>
      <w:r>
        <w:rPr>
          <w:rFonts w:ascii="Times New Roman" w:cs="Times New Roman" w:eastAsia="Times New Roman" w:hAnsi="Times New Roman"/>
          <w:sz w:val="14"/>
          <w:szCs w:val="14"/>
          <w:color w:val="auto"/>
        </w:rPr>
        <w:t>. This Agreement shall be binding upon and inure to the benefit of the parties and their successors and permitted assigns.</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4"/>
          <w:szCs w:val="14"/>
          <w:color w:val="auto"/>
        </w:rPr>
        <w:t xml:space="preserve">7.7 </w:t>
      </w: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either party shall commence an Action or Proceeding to enforce any provisions of the Transaction Documents, then, in addition to the obligations of the Company under Article VI, the prevailing party in such Action or Proceeding shall be reimbursed by the other party for its reasonable attorneys’ fees and other costs and expenses incurred with the investigation, preparation and prosecution of such Action or Proceeding.</w:t>
      </w:r>
    </w:p>
    <w:p>
      <w:pPr>
        <w:spacing w:after="0" w:line="301" w:lineRule="exact"/>
        <w:rPr>
          <w:sz w:val="20"/>
          <w:szCs w:val="20"/>
          <w:color w:val="auto"/>
        </w:rPr>
      </w:pPr>
    </w:p>
    <w:p>
      <w:pPr>
        <w:ind w:left="420"/>
        <w:spacing w:after="0"/>
        <w:tabs>
          <w:tab w:leader="none" w:pos="720" w:val="left"/>
        </w:tabs>
        <w:rPr>
          <w:sz w:val="20"/>
          <w:szCs w:val="20"/>
          <w:color w:val="auto"/>
        </w:rPr>
      </w:pPr>
      <w:r>
        <w:rPr>
          <w:rFonts w:ascii="Times New Roman" w:cs="Times New Roman" w:eastAsia="Times New Roman" w:hAnsi="Times New Roman"/>
          <w:sz w:val="14"/>
          <w:szCs w:val="14"/>
          <w:color w:val="auto"/>
        </w:rPr>
        <w:t>7.8</w:t>
      </w:r>
      <w:r>
        <w:rPr>
          <w:sz w:val="20"/>
          <w:szCs w:val="20"/>
          <w:color w:val="auto"/>
        </w:rPr>
        <w:tab/>
      </w:r>
      <w:r>
        <w:rPr>
          <w:rFonts w:ascii="Times New Roman" w:cs="Times New Roman" w:eastAsia="Times New Roman" w:hAnsi="Times New Roman"/>
          <w:sz w:val="14"/>
          <w:szCs w:val="14"/>
          <w:u w:val="single" w:color="auto"/>
          <w:color w:val="auto"/>
        </w:rPr>
        <w:t>Survival</w:t>
      </w:r>
      <w:r>
        <w:rPr>
          <w:rFonts w:ascii="Times New Roman" w:cs="Times New Roman" w:eastAsia="Times New Roman" w:hAnsi="Times New Roman"/>
          <w:sz w:val="14"/>
          <w:szCs w:val="14"/>
          <w:color w:val="auto"/>
        </w:rPr>
        <w:t>. The representations and warranties contained herein shall survive the Closing, and the delivery of the Securities.</w:t>
      </w:r>
    </w:p>
    <w:p>
      <w:pPr>
        <w:spacing w:after="0" w:line="154" w:lineRule="exact"/>
        <w:rPr>
          <w:sz w:val="20"/>
          <w:szCs w:val="20"/>
          <w:color w:val="auto"/>
        </w:rPr>
      </w:pPr>
    </w:p>
    <w:p>
      <w:pPr>
        <w:jc w:val="both"/>
        <w:ind w:firstLine="432"/>
        <w:spacing w:after="0" w:line="275" w:lineRule="auto"/>
        <w:rPr>
          <w:sz w:val="20"/>
          <w:szCs w:val="20"/>
          <w:color w:val="auto"/>
        </w:rPr>
      </w:pPr>
      <w:r>
        <w:rPr>
          <w:rFonts w:ascii="Times New Roman" w:cs="Times New Roman" w:eastAsia="Times New Roman" w:hAnsi="Times New Roman"/>
          <w:sz w:val="14"/>
          <w:szCs w:val="14"/>
          <w:color w:val="auto"/>
        </w:rPr>
        <w:t xml:space="preserve">7.9 </w:t>
      </w:r>
      <w:r>
        <w:rPr>
          <w:rFonts w:ascii="Times New Roman" w:cs="Times New Roman" w:eastAsia="Times New Roman" w:hAnsi="Times New Roman"/>
          <w:sz w:val="14"/>
          <w:szCs w:val="14"/>
          <w:u w:val="single" w:color="auto"/>
          <w:color w:val="auto"/>
        </w:rPr>
        <w:t>Execution</w:t>
      </w:r>
      <w:r>
        <w:rPr>
          <w:rFonts w:ascii="Times New Roman" w:cs="Times New Roman" w:eastAsia="Times New Roman" w:hAnsi="Times New Roman"/>
          <w:sz w:val="14"/>
          <w:szCs w:val="14"/>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such signature shall create a</w:t>
      </w:r>
    </w:p>
    <w:p>
      <w:pPr>
        <w:sectPr>
          <w:pgSz w:w="11900" w:h="16838" w:orient="portrait"/>
          <w:cols w:equalWidth="0" w:num="1">
            <w:col w:w="11300"/>
          </w:cols>
          <w:pgMar w:left="300" w:top="778" w:right="2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color w:val="auto"/>
        </w:rPr>
        <w:t>valid and binding obligation of the party executing (or on whose behalf such signature is executed) with the same force and effect as if such “.pdf” signature page were an original thereof.</w:t>
      </w:r>
    </w:p>
    <w:p>
      <w:pPr>
        <w:spacing w:after="0" w:line="154"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 xml:space="preserve">7.10 </w:t>
      </w: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09" w:lineRule="exact"/>
        <w:rPr>
          <w:sz w:val="20"/>
          <w:szCs w:val="20"/>
          <w:color w:val="auto"/>
        </w:rPr>
      </w:pPr>
    </w:p>
    <w:p>
      <w:pPr>
        <w:jc w:val="both"/>
        <w:ind w:firstLine="432"/>
        <w:spacing w:after="0" w:line="277" w:lineRule="auto"/>
        <w:rPr>
          <w:sz w:val="20"/>
          <w:szCs w:val="20"/>
          <w:color w:val="auto"/>
        </w:rPr>
      </w:pPr>
      <w:r>
        <w:rPr>
          <w:rFonts w:ascii="Times New Roman" w:cs="Times New Roman" w:eastAsia="Times New Roman" w:hAnsi="Times New Roman"/>
          <w:sz w:val="14"/>
          <w:szCs w:val="14"/>
          <w:color w:val="auto"/>
        </w:rPr>
        <w:t xml:space="preserve">7.11 </w:t>
      </w:r>
      <w:r>
        <w:rPr>
          <w:rFonts w:ascii="Times New Roman" w:cs="Times New Roman" w:eastAsia="Times New Roman" w:hAnsi="Times New Roman"/>
          <w:sz w:val="14"/>
          <w:szCs w:val="14"/>
          <w:u w:val="single" w:color="auto"/>
          <w:color w:val="auto"/>
        </w:rPr>
        <w:t>Remedies</w:t>
      </w:r>
      <w:r>
        <w:rPr>
          <w:rFonts w:ascii="Times New Roman" w:cs="Times New Roman" w:eastAsia="Times New Roman" w:hAnsi="Times New Roman"/>
          <w:sz w:val="14"/>
          <w:szCs w:val="14"/>
          <w:color w:val="auto"/>
        </w:rPr>
        <w:t>. In addition to being entitled to exercise all rights provided herein or granted by law, including recovery of damages, the Underwriters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280"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 xml:space="preserve">7.12 </w:t>
      </w:r>
      <w:r>
        <w:rPr>
          <w:rFonts w:ascii="Times New Roman" w:cs="Times New Roman" w:eastAsia="Times New Roman" w:hAnsi="Times New Roman"/>
          <w:sz w:val="14"/>
          <w:szCs w:val="14"/>
          <w:u w:val="single" w:color="auto"/>
          <w:color w:val="auto"/>
        </w:rPr>
        <w:t>Saturdays, Sundays, Holidays, etc</w:t>
      </w:r>
      <w:r>
        <w:rPr>
          <w:rFonts w:ascii="Times New Roman" w:cs="Times New Roman" w:eastAsia="Times New Roman" w:hAnsi="Times New Roman"/>
          <w:sz w:val="14"/>
          <w:szCs w:val="14"/>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90"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4"/>
          <w:szCs w:val="14"/>
          <w:color w:val="auto"/>
        </w:rPr>
        <w:t xml:space="preserve">7.13 </w:t>
      </w:r>
      <w:r>
        <w:rPr>
          <w:rFonts w:ascii="Times New Roman" w:cs="Times New Roman" w:eastAsia="Times New Roman" w:hAnsi="Times New Roman"/>
          <w:sz w:val="14"/>
          <w:szCs w:val="14"/>
          <w:u w:val="single" w:color="auto"/>
          <w:color w:val="auto"/>
        </w:rPr>
        <w:t>Construction</w:t>
      </w:r>
      <w:r>
        <w:rPr>
          <w:rFonts w:ascii="Times New Roman" w:cs="Times New Roman" w:eastAsia="Times New Roman" w:hAnsi="Times New Roman"/>
          <w:sz w:val="14"/>
          <w:szCs w:val="14"/>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05" w:lineRule="exact"/>
        <w:rPr>
          <w:sz w:val="20"/>
          <w:szCs w:val="20"/>
          <w:color w:val="auto"/>
        </w:rPr>
      </w:pPr>
    </w:p>
    <w:p>
      <w:pPr>
        <w:jc w:val="both"/>
        <w:ind w:firstLine="432"/>
        <w:spacing w:after="0" w:line="273" w:lineRule="auto"/>
        <w:rPr>
          <w:sz w:val="20"/>
          <w:szCs w:val="20"/>
          <w:color w:val="auto"/>
        </w:rPr>
      </w:pPr>
      <w:r>
        <w:rPr>
          <w:rFonts w:ascii="Times New Roman" w:cs="Times New Roman" w:eastAsia="Times New Roman" w:hAnsi="Times New Roman"/>
          <w:sz w:val="14"/>
          <w:szCs w:val="14"/>
          <w:color w:val="auto"/>
        </w:rPr>
        <w:t xml:space="preserve">7.14 </w:t>
      </w:r>
      <w:r>
        <w:rPr>
          <w:rFonts w:ascii="Times New Roman" w:cs="Times New Roman" w:eastAsia="Times New Roman" w:hAnsi="Times New Roman"/>
          <w:sz w:val="14"/>
          <w:szCs w:val="14"/>
          <w:b w:val="1"/>
          <w:bCs w:val="1"/>
          <w:u w:val="single" w:color="auto"/>
          <w:color w:val="auto"/>
        </w:rPr>
        <w:t>WAIVER OF JURY TRIAL</w:t>
      </w:r>
      <w:r>
        <w:rPr>
          <w:rFonts w:ascii="Times New Roman" w:cs="Times New Roman" w:eastAsia="Times New Roman" w:hAnsi="Times New Roman"/>
          <w:sz w:val="14"/>
          <w:szCs w:val="14"/>
          <w:b w:val="1"/>
          <w:bCs w:val="1"/>
          <w:color w:val="auto"/>
        </w:rPr>
        <w:t>. IN ANY ACTION, SUIT, OR PROCEEDING IN ANY JURISDICTION BROUGHT BY ANY PARTY AGAINST ANY OTHER PARTY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ARISING OUT OF OR RELATING TO THIS AGREEMENT OR THE TRANSACTIONS CONTEMPLATED HEREBY, THE PARTIES EACH KNOWINGLY AND INTENTIONALLY, TO THE GREATEST EXTENT PERMITTED BY APPLICABLE LAW, HEREBY ABSOLUTELY, UNCONDITIONALLY, IRREVOCABLY AND EXPRESSLY WAIVE FOREVER ANY RIGHT TO TRIAL BY JURY.</w:t>
      </w:r>
    </w:p>
    <w:p>
      <w:pPr>
        <w:spacing w:after="0" w:line="8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4"/>
          <w:szCs w:val="14"/>
          <w:i w:val="1"/>
          <w:iCs w:val="1"/>
          <w:color w:val="auto"/>
        </w:rPr>
        <w:t>(Signature Pages Follow)</w:t>
      </w:r>
    </w:p>
    <w:p>
      <w:pPr>
        <w:sectPr>
          <w:pgSz w:w="11900" w:h="16838" w:orient="portrait"/>
          <w:cols w:equalWidth="0" w:num="1">
            <w:col w:w="11300"/>
          </w:cols>
          <w:pgMar w:left="300" w:top="778" w:right="299" w:bottom="1440" w:gutter="0" w:footer="0" w:header="0"/>
        </w:sectPr>
      </w:pPr>
    </w:p>
    <w:bookmarkStart w:id="42" w:name="page43"/>
    <w:bookmarkEnd w:id="42"/>
    <w:p>
      <w:pPr>
        <w:ind w:firstLine="432"/>
        <w:spacing w:after="0" w:line="295" w:lineRule="auto"/>
        <w:rPr>
          <w:sz w:val="20"/>
          <w:szCs w:val="20"/>
          <w:color w:val="auto"/>
        </w:rPr>
      </w:pPr>
      <w:r>
        <w:rPr>
          <w:rFonts w:ascii="Times New Roman" w:cs="Times New Roman" w:eastAsia="Times New Roman" w:hAnsi="Times New Roman"/>
          <w:sz w:val="14"/>
          <w:szCs w:val="14"/>
          <w:color w:val="auto"/>
        </w:rPr>
        <w:t>If the foregoing correctly sets forth the understanding between the Underwriters and the Company, please so indicate in the space provided below for that purpose, whereupon this letter shall constitute a binding agreement among the Company and the several Underwriters in accordance with its terms.</w:t>
      </w:r>
    </w:p>
    <w:p>
      <w:pPr>
        <w:spacing w:after="0" w:line="10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6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QT IMAGING HOLDINGS, INC.</w:t>
      </w:r>
    </w:p>
    <w:p>
      <w:pPr>
        <w:spacing w:after="0" w:line="200" w:lineRule="exact"/>
        <w:rPr>
          <w:sz w:val="20"/>
          <w:szCs w:val="20"/>
          <w:color w:val="auto"/>
        </w:rPr>
      </w:pPr>
    </w:p>
    <w:p>
      <w:pPr>
        <w:spacing w:after="0" w:line="253" w:lineRule="exact"/>
        <w:rPr>
          <w:sz w:val="20"/>
          <w:szCs w:val="20"/>
          <w:color w:val="auto"/>
        </w:rPr>
      </w:pPr>
    </w:p>
    <w:tbl>
      <w:tblPr>
        <w:tblLayout w:type="fixed"/>
        <w:tblInd w:w="4440" w:type="dxa"/>
        <w:tblCellMar>
          <w:top w:w="0" w:type="dxa"/>
          <w:left w:w="0" w:type="dxa"/>
          <w:bottom w:w="0" w:type="dxa"/>
          <w:right w:w="0" w:type="dxa"/>
        </w:tblCellMar>
      </w:tblPr>
      <w:tr>
        <w:trPr>
          <w:trHeight w:val="189"/>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63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s/ Dr. Raluca Dinu</w:t>
            </w:r>
          </w:p>
        </w:tc>
      </w:tr>
      <w:tr>
        <w:trPr>
          <w:trHeight w:val="160"/>
        </w:trPr>
        <w:tc>
          <w:tcPr>
            <w:tcW w:w="5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w:t>
            </w:r>
          </w:p>
        </w:tc>
        <w:tc>
          <w:tcPr>
            <w:tcW w:w="55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Dr. Raluca Dinu</w:t>
            </w:r>
          </w:p>
        </w:tc>
      </w:tr>
      <w:tr>
        <w:trPr>
          <w:trHeight w:val="188"/>
        </w:trPr>
        <w:tc>
          <w:tcPr>
            <w:tcW w:w="540" w:type="dxa"/>
            <w:vAlign w:val="bottom"/>
          </w:tcPr>
          <w:p>
            <w:pPr>
              <w:spacing w:after="0"/>
              <w:rPr>
                <w:sz w:val="16"/>
                <w:szCs w:val="16"/>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55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Chief Executive Officer</w:t>
            </w: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Address for Notice: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 Hamilton Landing, Suite 160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Novato, CA 94949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E-mail: [***]</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Copy to:</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DLA Piper LLP (US)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555 Mission Street, Suite 2400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 Francisco, CA 94105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Attention: Jeffrey C. Selman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E-mail: [***]</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Accepted on the date first above written.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LADENBURG THALMANN &amp; CO.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the Representative of the several Underwriters listed on Schedule I</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 Ladenburg Thalmann &amp; Co. Inc.</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Nicholas Stergis</w:t>
            </w:r>
          </w:p>
        </w:tc>
      </w:tr>
      <w:tr>
        <w:trPr>
          <w:trHeight w:val="160"/>
        </w:trPr>
        <w:tc>
          <w:tcPr>
            <w:tcW w:w="540" w:type="dxa"/>
            <w:vAlign w:val="bottom"/>
          </w:tcPr>
          <w:p>
            <w:pPr>
              <w:spacing w:after="0"/>
              <w:rPr>
                <w:sz w:val="13"/>
                <w:szCs w:val="13"/>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 Nicholas Stergis</w:t>
            </w:r>
          </w:p>
        </w:tc>
      </w:tr>
      <w:tr>
        <w:trPr>
          <w:trHeight w:val="188"/>
        </w:trPr>
        <w:tc>
          <w:tcPr>
            <w:tcW w:w="540" w:type="dxa"/>
            <w:vAlign w:val="bottom"/>
          </w:tcPr>
          <w:p>
            <w:pPr>
              <w:spacing w:after="0"/>
              <w:rPr>
                <w:sz w:val="16"/>
                <w:szCs w:val="16"/>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 Managing Director</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Address for Notice: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640 Fifth Avenue, 4th Floor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 10019</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Attn: General Counsel</w:t>
      </w:r>
    </w:p>
    <w:p>
      <w:pPr>
        <w:sectPr>
          <w:pgSz w:w="11900" w:h="16838" w:orient="portrait"/>
          <w:cols w:equalWidth="0" w:num="1">
            <w:col w:w="11300"/>
          </w:cols>
          <w:pgMar w:left="300" w:top="778" w:right="29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2"/>
          <w:szCs w:val="12"/>
          <w:b w:val="1"/>
          <w:bCs w:val="1"/>
          <w:color w:val="auto"/>
        </w:rPr>
        <w:t>SCHEDULE I</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Schedule of Underwriters</w:t>
      </w:r>
    </w:p>
    <w:p>
      <w:pPr>
        <w:spacing w:after="0" w:line="200" w:lineRule="exact"/>
        <w:rPr>
          <w:sz w:val="20"/>
          <w:szCs w:val="20"/>
          <w:color w:val="auto"/>
        </w:rPr>
      </w:pPr>
    </w:p>
    <w:p>
      <w:pPr>
        <w:spacing w:after="0" w:line="249"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680" w:type="dxa"/>
            <w:vAlign w:val="bottom"/>
            <w:tcBorders>
              <w:top w:val="single" w:sz="8" w:color="auto"/>
              <w:left w:val="single" w:sz="8" w:color="auto"/>
              <w:bottom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66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Closing Shares</w:t>
            </w:r>
          </w:p>
        </w:tc>
        <w:tc>
          <w:tcPr>
            <w:tcW w:w="3080" w:type="dxa"/>
            <w:vAlign w:val="bottom"/>
            <w:tcBorders>
              <w:top w:val="single" w:sz="8" w:color="auto"/>
              <w:bottom w:val="single" w:sz="8" w:color="auto"/>
              <w:right w:val="single" w:sz="8" w:color="auto"/>
            </w:tcBorders>
          </w:tcPr>
          <w:p>
            <w:pPr>
              <w:jc w:val="right"/>
              <w:ind w:right="808"/>
              <w:spacing w:after="0"/>
              <w:rPr>
                <w:sz w:val="20"/>
                <w:szCs w:val="20"/>
                <w:color w:val="auto"/>
              </w:rPr>
            </w:pPr>
            <w:r>
              <w:rPr>
                <w:rFonts w:ascii="Times New Roman" w:cs="Times New Roman" w:eastAsia="Times New Roman" w:hAnsi="Times New Roman"/>
                <w:sz w:val="14"/>
                <w:szCs w:val="14"/>
                <w:b w:val="1"/>
                <w:bCs w:val="1"/>
                <w:color w:val="auto"/>
              </w:rPr>
              <w:t>Pre-Funded Warrants</w:t>
            </w:r>
          </w:p>
        </w:tc>
        <w:tc>
          <w:tcPr>
            <w:tcW w:w="3080" w:type="dxa"/>
            <w:vAlign w:val="bottom"/>
            <w:tcBorders>
              <w:top w:val="single" w:sz="8" w:color="auto"/>
              <w:bottom w:val="single" w:sz="8" w:color="auto"/>
              <w:right w:val="single" w:sz="8" w:color="auto"/>
            </w:tcBorders>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Closing Purchase Price</w:t>
            </w:r>
          </w:p>
        </w:tc>
      </w:tr>
      <w:tr>
        <w:trPr>
          <w:trHeight w:val="196"/>
        </w:trPr>
        <w:tc>
          <w:tcPr>
            <w:tcW w:w="26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Ladenburg Thalmann &amp; Co. Inc.</w:t>
            </w: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960,000</w:t>
            </w:r>
          </w:p>
        </w:tc>
        <w:tc>
          <w:tcPr>
            <w:tcW w:w="1780" w:type="dxa"/>
            <w:vAlign w:val="bottom"/>
            <w:tcBorders>
              <w:bottom w:val="single" w:sz="8" w:color="auto"/>
              <w:right w:val="single" w:sz="8" w:color="auto"/>
            </w:tcBorders>
          </w:tcPr>
          <w:p>
            <w:pPr>
              <w:spacing w:after="0"/>
              <w:rPr>
                <w:sz w:val="17"/>
                <w:szCs w:val="17"/>
                <w:color w:val="auto"/>
              </w:rPr>
            </w:pPr>
          </w:p>
        </w:tc>
        <w:tc>
          <w:tcPr>
            <w:tcW w:w="3080" w:type="dxa"/>
            <w:vAlign w:val="bottom"/>
            <w:tcBorders>
              <w:bottom w:val="single" w:sz="8" w:color="auto"/>
              <w:right w:val="single" w:sz="8" w:color="auto"/>
            </w:tcBorders>
          </w:tcPr>
          <w:p>
            <w:pPr>
              <w:jc w:val="right"/>
              <w:ind w:right="2548"/>
              <w:spacing w:after="0"/>
              <w:rPr>
                <w:sz w:val="20"/>
                <w:szCs w:val="20"/>
                <w:color w:val="auto"/>
              </w:rPr>
            </w:pPr>
            <w:r>
              <w:rPr>
                <w:rFonts w:ascii="Times New Roman" w:cs="Times New Roman" w:eastAsia="Times New Roman" w:hAnsi="Times New Roman"/>
                <w:sz w:val="14"/>
                <w:szCs w:val="14"/>
                <w:color w:val="auto"/>
                <w:w w:val="96"/>
              </w:rPr>
              <w:t>640,000</w:t>
            </w:r>
          </w:p>
        </w:tc>
        <w:tc>
          <w:tcPr>
            <w:tcW w:w="3080" w:type="dxa"/>
            <w:vAlign w:val="bottom"/>
            <w:tcBorders>
              <w:bottom w:val="single" w:sz="8" w:color="auto"/>
              <w:right w:val="single" w:sz="8" w:color="auto"/>
            </w:tcBorders>
          </w:tcPr>
          <w:p>
            <w:pPr>
              <w:jc w:val="right"/>
              <w:ind w:right="2188"/>
              <w:spacing w:after="0"/>
              <w:rPr>
                <w:sz w:val="20"/>
                <w:szCs w:val="20"/>
                <w:color w:val="auto"/>
              </w:rPr>
            </w:pPr>
            <w:r>
              <w:rPr>
                <w:rFonts w:ascii="Times New Roman" w:cs="Times New Roman" w:eastAsia="Times New Roman" w:hAnsi="Times New Roman"/>
                <w:sz w:val="14"/>
                <w:szCs w:val="14"/>
                <w:color w:val="auto"/>
                <w:w w:val="99"/>
              </w:rPr>
              <w:t>$7,439,940.48</w:t>
            </w:r>
          </w:p>
        </w:tc>
      </w:tr>
      <w:tr>
        <w:trPr>
          <w:trHeight w:val="196"/>
        </w:trPr>
        <w:tc>
          <w:tcPr>
            <w:tcW w:w="26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Northland Securities, Inc.</w:t>
            </w: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240,000</w:t>
            </w:r>
          </w:p>
        </w:tc>
        <w:tc>
          <w:tcPr>
            <w:tcW w:w="1780" w:type="dxa"/>
            <w:vAlign w:val="bottom"/>
            <w:tcBorders>
              <w:bottom w:val="single" w:sz="8" w:color="auto"/>
              <w:right w:val="single" w:sz="8" w:color="auto"/>
            </w:tcBorders>
          </w:tcPr>
          <w:p>
            <w:pPr>
              <w:spacing w:after="0"/>
              <w:rPr>
                <w:sz w:val="17"/>
                <w:szCs w:val="17"/>
                <w:color w:val="auto"/>
              </w:rPr>
            </w:pPr>
          </w:p>
        </w:tc>
        <w:tc>
          <w:tcPr>
            <w:tcW w:w="3080" w:type="dxa"/>
            <w:vAlign w:val="bottom"/>
            <w:tcBorders>
              <w:bottom w:val="single" w:sz="8" w:color="auto"/>
              <w:right w:val="single" w:sz="8" w:color="auto"/>
            </w:tcBorders>
          </w:tcPr>
          <w:p>
            <w:pPr>
              <w:jc w:val="right"/>
              <w:ind w:right="2548"/>
              <w:spacing w:after="0"/>
              <w:rPr>
                <w:sz w:val="20"/>
                <w:szCs w:val="20"/>
                <w:color w:val="auto"/>
              </w:rPr>
            </w:pPr>
            <w:r>
              <w:rPr>
                <w:rFonts w:ascii="Times New Roman" w:cs="Times New Roman" w:eastAsia="Times New Roman" w:hAnsi="Times New Roman"/>
                <w:sz w:val="14"/>
                <w:szCs w:val="14"/>
                <w:color w:val="auto"/>
                <w:w w:val="96"/>
              </w:rPr>
              <w:t>160,000</w:t>
            </w:r>
          </w:p>
        </w:tc>
        <w:tc>
          <w:tcPr>
            <w:tcW w:w="3080" w:type="dxa"/>
            <w:vAlign w:val="bottom"/>
            <w:tcBorders>
              <w:bottom w:val="single" w:sz="8" w:color="auto"/>
              <w:right w:val="single" w:sz="8" w:color="auto"/>
            </w:tcBorders>
          </w:tcPr>
          <w:p>
            <w:pPr>
              <w:jc w:val="right"/>
              <w:ind w:right="2188"/>
              <w:spacing w:after="0"/>
              <w:rPr>
                <w:sz w:val="20"/>
                <w:szCs w:val="20"/>
                <w:color w:val="auto"/>
              </w:rPr>
            </w:pPr>
            <w:r>
              <w:rPr>
                <w:rFonts w:ascii="Times New Roman" w:cs="Times New Roman" w:eastAsia="Times New Roman" w:hAnsi="Times New Roman"/>
                <w:sz w:val="14"/>
                <w:szCs w:val="14"/>
                <w:color w:val="auto"/>
                <w:w w:val="99"/>
              </w:rPr>
              <w:t>$1,859,985.12</w:t>
            </w:r>
          </w:p>
        </w:tc>
      </w:tr>
      <w:tr>
        <w:trPr>
          <w:trHeight w:val="196"/>
        </w:trPr>
        <w:tc>
          <w:tcPr>
            <w:tcW w:w="26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1,200,000</w:t>
            </w:r>
          </w:p>
        </w:tc>
        <w:tc>
          <w:tcPr>
            <w:tcW w:w="1780" w:type="dxa"/>
            <w:vAlign w:val="bottom"/>
            <w:tcBorders>
              <w:bottom w:val="single" w:sz="8" w:color="auto"/>
              <w:right w:val="single" w:sz="8" w:color="auto"/>
            </w:tcBorders>
          </w:tcPr>
          <w:p>
            <w:pPr>
              <w:spacing w:after="0"/>
              <w:rPr>
                <w:sz w:val="17"/>
                <w:szCs w:val="17"/>
                <w:color w:val="auto"/>
              </w:rPr>
            </w:pPr>
          </w:p>
        </w:tc>
        <w:tc>
          <w:tcPr>
            <w:tcW w:w="3080" w:type="dxa"/>
            <w:vAlign w:val="bottom"/>
            <w:tcBorders>
              <w:bottom w:val="single" w:sz="8" w:color="auto"/>
              <w:right w:val="single" w:sz="8" w:color="auto"/>
            </w:tcBorders>
          </w:tcPr>
          <w:p>
            <w:pPr>
              <w:jc w:val="right"/>
              <w:ind w:right="2548"/>
              <w:spacing w:after="0"/>
              <w:rPr>
                <w:sz w:val="20"/>
                <w:szCs w:val="20"/>
                <w:color w:val="auto"/>
              </w:rPr>
            </w:pPr>
            <w:r>
              <w:rPr>
                <w:rFonts w:ascii="Times New Roman" w:cs="Times New Roman" w:eastAsia="Times New Roman" w:hAnsi="Times New Roman"/>
                <w:sz w:val="14"/>
                <w:szCs w:val="14"/>
                <w:color w:val="auto"/>
                <w:w w:val="96"/>
              </w:rPr>
              <w:t>800,000</w:t>
            </w:r>
          </w:p>
        </w:tc>
        <w:tc>
          <w:tcPr>
            <w:tcW w:w="3080" w:type="dxa"/>
            <w:vAlign w:val="bottom"/>
            <w:tcBorders>
              <w:bottom w:val="single" w:sz="8" w:color="auto"/>
              <w:right w:val="single" w:sz="8" w:color="auto"/>
            </w:tcBorders>
          </w:tcPr>
          <w:p>
            <w:pPr>
              <w:jc w:val="right"/>
              <w:ind w:right="2188"/>
              <w:spacing w:after="0"/>
              <w:rPr>
                <w:sz w:val="20"/>
                <w:szCs w:val="20"/>
                <w:color w:val="auto"/>
              </w:rPr>
            </w:pPr>
            <w:r>
              <w:rPr>
                <w:rFonts w:ascii="Times New Roman" w:cs="Times New Roman" w:eastAsia="Times New Roman" w:hAnsi="Times New Roman"/>
                <w:sz w:val="14"/>
                <w:szCs w:val="14"/>
                <w:color w:val="auto"/>
                <w:w w:val="99"/>
              </w:rPr>
              <w:t>$9,299,925.60</w:t>
            </w:r>
          </w:p>
        </w:tc>
      </w:tr>
    </w:tbl>
    <w:p>
      <w:pPr>
        <w:sectPr>
          <w:pgSz w:w="11900" w:h="16838" w:orient="portrait"/>
          <w:cols w:equalWidth="0" w:num="1">
            <w:col w:w="11280"/>
          </w:cols>
          <w:pgMar w:left="300" w:top="773" w:right="319" w:bottom="1440" w:gutter="0" w:footer="0" w:header="0"/>
        </w:sectPr>
      </w:pPr>
    </w:p>
    <w:bookmarkStart w:id="44" w:name="page45"/>
    <w:bookmarkEnd w:id="44"/>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SCHEDULE II</w:t>
      </w:r>
    </w:p>
    <w:p>
      <w:pPr>
        <w:spacing w:after="0" w:line="2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PARTIES SUBJECT TO LOCK-UP AGREEMENTS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0159"/>
          </w:cols>
          <w:pgMar w:left="300" w:top="776" w:right="1440" w:bottom="1440" w:gutter="0" w:footer="0" w:header="0"/>
        </w:sectPr>
      </w:pPr>
    </w:p>
    <w:bookmarkStart w:id="45" w:name="page46"/>
    <w:bookmarkEnd w:id="45"/>
    <w:p>
      <w:pPr>
        <w:ind w:left="10460"/>
        <w:spacing w:after="0"/>
        <w:rPr>
          <w:sz w:val="20"/>
          <w:szCs w:val="20"/>
          <w:color w:val="auto"/>
        </w:rPr>
      </w:pPr>
      <w:r>
        <w:rPr>
          <w:rFonts w:ascii="Times New Roman" w:cs="Times New Roman" w:eastAsia="Times New Roman" w:hAnsi="Times New Roman"/>
          <w:sz w:val="14"/>
          <w:szCs w:val="14"/>
          <w:b w:val="1"/>
          <w:bCs w:val="1"/>
          <w:color w:val="auto"/>
        </w:rPr>
        <w:t>EXHIBIT 4.1</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PRE-FUNDED COMMON STOCK PURCHASE WARRANT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QT IMAGING HOLDINGS, INC.</w:t>
      </w:r>
    </w:p>
    <w:p>
      <w:pPr>
        <w:sectPr>
          <w:pgSz w:w="11900" w:h="16838" w:orient="portrait"/>
          <w:cols w:equalWidth="0" w:num="1">
            <w:col w:w="11300"/>
          </w:cols>
          <w:pgMar w:left="300" w:top="128" w:right="299" w:bottom="1440" w:gutter="0" w:footer="0" w:header="0"/>
        </w:sectPr>
      </w:pP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Warrant Shares: 800,000</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CUSIP: 746962 125</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Initial Exercise Date: May 18, 2026</w:t>
      </w:r>
    </w:p>
    <w:p>
      <w:pPr>
        <w:spacing w:after="0" w:line="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ISIN: US7469621251</w:t>
      </w:r>
    </w:p>
    <w:p>
      <w:pPr>
        <w:spacing w:after="0" w:line="200" w:lineRule="exact"/>
        <w:rPr>
          <w:sz w:val="20"/>
          <w:szCs w:val="20"/>
          <w:color w:val="auto"/>
        </w:rPr>
      </w:pPr>
    </w:p>
    <w:p>
      <w:pPr>
        <w:sectPr>
          <w:pgSz w:w="11900" w:h="16838" w:orient="portrait"/>
          <w:cols w:equalWidth="0" w:num="2">
            <w:col w:w="5300" w:space="720"/>
            <w:col w:w="5280"/>
          </w:cols>
          <w:pgMar w:left="300" w:top="128" w:right="299" w:bottom="1440" w:gutter="0" w:footer="0" w:header="0"/>
          <w:type w:val="continuous"/>
        </w:sectPr>
      </w:pPr>
    </w:p>
    <w:p>
      <w:pPr>
        <w:spacing w:after="0" w:line="252" w:lineRule="exact"/>
        <w:rPr>
          <w:sz w:val="20"/>
          <w:szCs w:val="20"/>
          <w:color w:val="auto"/>
        </w:rPr>
      </w:pPr>
    </w:p>
    <w:p>
      <w:pPr>
        <w:jc w:val="both"/>
        <w:ind w:firstLine="432"/>
        <w:spacing w:after="0" w:line="264" w:lineRule="auto"/>
        <w:rPr>
          <w:sz w:val="20"/>
          <w:szCs w:val="20"/>
          <w:color w:val="auto"/>
        </w:rPr>
      </w:pPr>
      <w:r>
        <w:rPr>
          <w:rFonts w:ascii="Times New Roman" w:cs="Times New Roman" w:eastAsia="Times New Roman" w:hAnsi="Times New Roman"/>
          <w:sz w:val="14"/>
          <w:szCs w:val="14"/>
          <w:color w:val="auto"/>
        </w:rPr>
        <w:t>THIS PRE-FUNDED COMMON STOCK PURCHASE WARRANT (the “Warrant”) certifies that, for value received, CEDE &amp; CO., or its assigns (the “Holder”) is entitled, upon the terms and subject to the limitations on exercise and the conditions hereinafter set forth, at any time on or after the date set forth above (the “Initial Exercise Date”) and until this Warrant is exercised in full (the “Termination Date”) but not thereafter, to subscribe for and purchase from QT Imaging Holdings, Inc., a Delaware corporation (the “Company”), up to 800,000 shares (as subject to adjustment hereunder, the “Warrant Shares”) of Common Stock. The purchase price of one share of Common Stock under this Warrant shall be equal to the Exercise Price, as defined in Section 2(b). This Warrant shall initially be issued and maintained in the form of a security held in book-entry form and the Depository Trust Company or its nominee (“DTC”) shall initially be the sole registered holder of this Warrant, subject to a Holder’s right to elect to receive a Warrant in certificated form pursuant to the terms of the Warrant Agency Agreement, in which case this sentence shall not apply.</w:t>
      </w:r>
    </w:p>
    <w:p>
      <w:pPr>
        <w:spacing w:after="0" w:line="251"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1.</w:t>
      </w:r>
      <w:r>
        <w:rPr>
          <w:sz w:val="20"/>
          <w:szCs w:val="20"/>
          <w:color w:val="auto"/>
        </w:rPr>
        <w:tab/>
      </w:r>
      <w:r>
        <w:rPr>
          <w:rFonts w:ascii="Times New Roman" w:cs="Times New Roman" w:eastAsia="Times New Roman" w:hAnsi="Times New Roman"/>
          <w:sz w:val="14"/>
          <w:szCs w:val="14"/>
          <w:u w:val="single" w:color="auto"/>
          <w:color w:val="auto"/>
        </w:rPr>
        <w:t>Definitions</w:t>
      </w:r>
      <w:r>
        <w:rPr>
          <w:rFonts w:ascii="Times New Roman" w:cs="Times New Roman" w:eastAsia="Times New Roman" w:hAnsi="Times New Roman"/>
          <w:sz w:val="14"/>
          <w:szCs w:val="14"/>
          <w:color w:val="auto"/>
        </w:rPr>
        <w:t>. In addition to the terms defined elsewhere in this Warrant, the following terms have the meanings indicated in this Section 1:</w:t>
      </w:r>
    </w:p>
    <w:p>
      <w:pPr>
        <w:spacing w:after="0" w:line="127"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Affiliate</w:t>
      </w:r>
      <w:r>
        <w:rPr>
          <w:rFonts w:ascii="Times New Roman" w:cs="Times New Roman" w:eastAsia="Times New Roman" w:hAnsi="Times New Roman"/>
          <w:sz w:val="14"/>
          <w:szCs w:val="14"/>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54" w:lineRule="exact"/>
        <w:rPr>
          <w:sz w:val="20"/>
          <w:szCs w:val="20"/>
          <w:color w:val="auto"/>
        </w:rPr>
      </w:pPr>
    </w:p>
    <w:p>
      <w:pPr>
        <w:jc w:val="both"/>
        <w:ind w:firstLine="432"/>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Bid Price</w:t>
      </w:r>
      <w:r>
        <w:rPr>
          <w:rFonts w:ascii="Times New Roman" w:cs="Times New Roman" w:eastAsia="Times New Roman" w:hAnsi="Times New Roman"/>
          <w:sz w:val="14"/>
          <w:szCs w:val="14"/>
          <w:color w:val="auto"/>
          <w:highlight w:val="white"/>
        </w:rPr>
        <w:t>” means, for any date, the price determined by the first of the following clauses that applies: (a) if the Common Stock is then listed or quoted on a Trading Market, the bid price</w:t>
      </w:r>
      <w:r>
        <w:rPr>
          <w:rFonts w:ascii="Times New Roman" w:cs="Times New Roman" w:eastAsia="Times New Roman" w:hAnsi="Times New Roman"/>
          <w:sz w:val="14"/>
          <w:szCs w:val="14"/>
          <w:color w:val="auto"/>
        </w:rPr>
        <w:t xml:space="preserv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79"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Business Day</w:t>
      </w:r>
      <w:r>
        <w:rPr>
          <w:rFonts w:ascii="Times New Roman" w:cs="Times New Roman" w:eastAsia="Times New Roman" w:hAnsi="Times New Roman"/>
          <w:sz w:val="14"/>
          <w:szCs w:val="14"/>
          <w:color w:val="auto"/>
        </w:rPr>
        <w:t>” means any day other than Saturday, Sunday or other day on which commercial banks in The City of New York are authorized or required by law to remain closed; provided, however, for clarification, commercial banks shall not be deemed to be authorized or required by law to remain closed due to “stay at home”, “shelter-in-place”, “non-</w:t>
      </w:r>
    </w:p>
    <w:p>
      <w:pPr>
        <w:sectPr>
          <w:pgSz w:w="11900" w:h="16838" w:orient="portrait"/>
          <w:cols w:equalWidth="0" w:num="1">
            <w:col w:w="11300"/>
          </w:cols>
          <w:pgMar w:left="300" w:top="128" w:right="299" w:bottom="1440" w:gutter="0" w:footer="0" w:header="0"/>
          <w:type w:val="continuous"/>
        </w:sectPr>
      </w:pPr>
    </w:p>
    <w:bookmarkStart w:id="46" w:name="page47"/>
    <w:bookmarkEnd w:id="46"/>
    <w:p>
      <w:pPr>
        <w:jc w:val="both"/>
        <w:spacing w:after="0" w:line="295" w:lineRule="auto"/>
        <w:rPr>
          <w:sz w:val="20"/>
          <w:szCs w:val="20"/>
          <w:color w:val="auto"/>
        </w:rPr>
      </w:pPr>
      <w:r>
        <w:rPr>
          <w:rFonts w:ascii="Times New Roman" w:cs="Times New Roman" w:eastAsia="Times New Roman" w:hAnsi="Times New Roman"/>
          <w:sz w:val="14"/>
          <w:szCs w:val="14"/>
          <w:color w:val="auto"/>
        </w:rPr>
        <w:t>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Commission</w:t>
      </w:r>
      <w:r>
        <w:rPr>
          <w:rFonts w:ascii="Times New Roman" w:cs="Times New Roman" w:eastAsia="Times New Roman" w:hAnsi="Times New Roman"/>
          <w:sz w:val="14"/>
          <w:szCs w:val="14"/>
          <w:color w:val="auto"/>
        </w:rPr>
        <w:t>” means the United States Securities and Exchange Commission.</w:t>
      </w:r>
    </w:p>
    <w:p>
      <w:pPr>
        <w:spacing w:after="0" w:line="127" w:lineRule="exact"/>
        <w:rPr>
          <w:sz w:val="20"/>
          <w:szCs w:val="20"/>
          <w:color w:val="auto"/>
        </w:rPr>
      </w:pPr>
    </w:p>
    <w:p>
      <w:pPr>
        <w:jc w:val="both"/>
        <w:ind w:right="20" w:firstLine="432"/>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Common Stock</w:t>
      </w:r>
      <w:r>
        <w:rPr>
          <w:rFonts w:ascii="Times New Roman" w:cs="Times New Roman" w:eastAsia="Times New Roman" w:hAnsi="Times New Roman"/>
          <w:sz w:val="14"/>
          <w:szCs w:val="14"/>
          <w:color w:val="auto"/>
        </w:rPr>
        <w:t>” means the common stock of the Company, par value $0.0001 per share, and any other class of securities into which such securities may hereafter be reclassified or changed.</w:t>
      </w:r>
    </w:p>
    <w:p>
      <w:pPr>
        <w:spacing w:after="0" w:line="271" w:lineRule="exact"/>
        <w:rPr>
          <w:sz w:val="20"/>
          <w:szCs w:val="20"/>
          <w:color w:val="auto"/>
        </w:rPr>
      </w:pPr>
    </w:p>
    <w:p>
      <w:pPr>
        <w:jc w:val="both"/>
        <w:ind w:right="20" w:firstLine="432"/>
        <w:spacing w:after="0" w:line="27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Common Stock Equivalents</w:t>
      </w:r>
      <w:r>
        <w:rPr>
          <w:rFonts w:ascii="Times New Roman" w:cs="Times New Roman" w:eastAsia="Times New Roman" w:hAnsi="Times New Roman"/>
          <w:sz w:val="14"/>
          <w:szCs w:val="14"/>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Exchange Act</w:t>
      </w:r>
      <w:r>
        <w:rPr>
          <w:rFonts w:ascii="Times New Roman" w:cs="Times New Roman" w:eastAsia="Times New Roman" w:hAnsi="Times New Roman"/>
          <w:sz w:val="14"/>
          <w:szCs w:val="14"/>
          <w:color w:val="auto"/>
        </w:rPr>
        <w:t>” means the Securities Exchange Act of 1934, as amended, and the rules and regulations promulgated thereunder.</w:t>
      </w:r>
    </w:p>
    <w:p>
      <w:pPr>
        <w:spacing w:after="0" w:line="118" w:lineRule="exact"/>
        <w:rPr>
          <w:sz w:val="20"/>
          <w:szCs w:val="20"/>
          <w:color w:val="auto"/>
        </w:rPr>
      </w:pPr>
    </w:p>
    <w:p>
      <w:pPr>
        <w:jc w:val="both"/>
        <w:ind w:right="20" w:firstLine="432"/>
        <w:spacing w:after="0" w:line="29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Person</w:t>
      </w:r>
      <w:r>
        <w:rPr>
          <w:rFonts w:ascii="Times New Roman" w:cs="Times New Roman" w:eastAsia="Times New Roman" w:hAnsi="Times New Roman"/>
          <w:sz w:val="14"/>
          <w:szCs w:val="14"/>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Registration Statement</w:t>
      </w:r>
      <w:r>
        <w:rPr>
          <w:rFonts w:ascii="Times New Roman" w:cs="Times New Roman" w:eastAsia="Times New Roman" w:hAnsi="Times New Roman"/>
          <w:sz w:val="14"/>
          <w:szCs w:val="14"/>
          <w:color w:val="auto"/>
        </w:rPr>
        <w:t>” means the Company’s registration statement on Form S-3 (File No. 333- 294705).</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Securities Act</w:t>
      </w:r>
      <w:r>
        <w:rPr>
          <w:rFonts w:ascii="Times New Roman" w:cs="Times New Roman" w:eastAsia="Times New Roman" w:hAnsi="Times New Roman"/>
          <w:sz w:val="14"/>
          <w:szCs w:val="14"/>
          <w:color w:val="auto"/>
        </w:rPr>
        <w:t>” means the Securities Act of 1933, as amended, and the rules and regulations promulgated thereunder.</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Subsidiary</w:t>
      </w:r>
      <w:r>
        <w:rPr>
          <w:rFonts w:ascii="Times New Roman" w:cs="Times New Roman" w:eastAsia="Times New Roman" w:hAnsi="Times New Roman"/>
          <w:sz w:val="14"/>
          <w:szCs w:val="14"/>
          <w:color w:val="auto"/>
        </w:rPr>
        <w:t>” means any subsidiary of the Company and shall, where applicable, also include any direct or indirect subsidiary of the Company formed or acquired after the date hereof.</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Trading Day</w:t>
      </w:r>
      <w:r>
        <w:rPr>
          <w:rFonts w:ascii="Times New Roman" w:cs="Times New Roman" w:eastAsia="Times New Roman" w:hAnsi="Times New Roman"/>
          <w:sz w:val="14"/>
          <w:szCs w:val="14"/>
          <w:color w:val="auto"/>
        </w:rPr>
        <w:t>” means a day on which the Common Stock is traded on a Trading Market.</w:t>
      </w:r>
    </w:p>
    <w:p>
      <w:pPr>
        <w:spacing w:after="0" w:line="118"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Trading Market</w:t>
      </w:r>
      <w:r>
        <w:rPr>
          <w:rFonts w:ascii="Times New Roman" w:cs="Times New Roman" w:eastAsia="Times New Roman" w:hAnsi="Times New Roman"/>
          <w:sz w:val="14"/>
          <w:szCs w:val="14"/>
          <w:color w:val="auto"/>
        </w:rPr>
        <w:t>” means any of the following markets or exchanges on which the Common Stock is listed or quoted for trading on the date in question: the Nasdaq Capital Market, the Nasdaq Global Market, the Nasdaq Global Select Market, the NYSE American, the New York Stock Exchange, the OTCQB or the OTCQX (or any successors to any of the foregoing).</w:t>
      </w:r>
    </w:p>
    <w:p>
      <w:pPr>
        <w:spacing w:after="0" w:line="54" w:lineRule="exact"/>
        <w:rPr>
          <w:sz w:val="20"/>
          <w:szCs w:val="20"/>
          <w:color w:val="auto"/>
        </w:rPr>
      </w:pPr>
    </w:p>
    <w:p>
      <w:pPr>
        <w:jc w:val="both"/>
        <w:ind w:firstLine="432"/>
        <w:spacing w:after="0" w:line="23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Transfer Agent</w:t>
      </w:r>
      <w:r>
        <w:rPr>
          <w:rFonts w:ascii="Times New Roman" w:cs="Times New Roman" w:eastAsia="Times New Roman" w:hAnsi="Times New Roman"/>
          <w:sz w:val="14"/>
          <w:szCs w:val="14"/>
          <w:color w:val="auto"/>
        </w:rPr>
        <w:t>” means Continental Stock Transfer &amp; Trust Company, the current transfer agent of the Company, with a mailing address of 1 State Street, 30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Floor, New York, NY 10004, and any successor transfer agent of the Company.</w:t>
      </w:r>
    </w:p>
    <w:p>
      <w:pPr>
        <w:spacing w:after="0" w:line="100"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Underwriting Agreement</w:t>
      </w:r>
      <w:r>
        <w:rPr>
          <w:rFonts w:ascii="Times New Roman" w:cs="Times New Roman" w:eastAsia="Times New Roman" w:hAnsi="Times New Roman"/>
          <w:sz w:val="14"/>
          <w:szCs w:val="14"/>
          <w:color w:val="auto"/>
        </w:rPr>
        <w:t>” means the underwriting agreement, dated as of May 15, 2026, by and among the Company and Ladenburg Thalmann &amp; Co. Inc. as representative of the underwriters named therein, as amended, modified or supplemented from time to time in accordance with its terms.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300"/>
          </w:cols>
          <w:pgMar w:left="300" w:top="832" w:right="299" w:bottom="1440" w:gutter="0" w:footer="0" w:header="0"/>
        </w:sectPr>
      </w:pPr>
    </w:p>
    <w:bookmarkStart w:id="47" w:name="page48"/>
    <w:bookmarkEnd w:id="47"/>
    <w:p>
      <w:pPr>
        <w:jc w:val="both"/>
        <w:ind w:firstLine="432"/>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VWAP</w:t>
      </w:r>
      <w:r>
        <w:rPr>
          <w:rFonts w:ascii="Times New Roman" w:cs="Times New Roman" w:eastAsia="Times New Roman" w:hAnsi="Times New Roman"/>
          <w:sz w:val="14"/>
          <w:szCs w:val="14"/>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Warrant Agency Agreement</w:t>
      </w:r>
      <w:r>
        <w:rPr>
          <w:rFonts w:ascii="Times New Roman" w:cs="Times New Roman" w:eastAsia="Times New Roman" w:hAnsi="Times New Roman"/>
          <w:sz w:val="14"/>
          <w:szCs w:val="14"/>
          <w:color w:val="auto"/>
        </w:rPr>
        <w:t>” means that certain warrant agency agreement, dated on or about the Initial Exercise Date, between the Company and the Warrant Agent.</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Warrant Agent</w:t>
      </w:r>
      <w:r>
        <w:rPr>
          <w:rFonts w:ascii="Times New Roman" w:cs="Times New Roman" w:eastAsia="Times New Roman" w:hAnsi="Times New Roman"/>
          <w:sz w:val="14"/>
          <w:szCs w:val="14"/>
          <w:color w:val="auto"/>
        </w:rPr>
        <w:t>” means the Transfer Agent and any successor warrant agent of the Company.</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Warrants</w:t>
      </w:r>
      <w:r>
        <w:rPr>
          <w:rFonts w:ascii="Times New Roman" w:cs="Times New Roman" w:eastAsia="Times New Roman" w:hAnsi="Times New Roman"/>
          <w:sz w:val="14"/>
          <w:szCs w:val="14"/>
          <w:color w:val="auto"/>
        </w:rPr>
        <w:t>” means this Warrant and other Pre-Funded Common Stock purchase warrants issued by the Company pursuant to the Registration Statement.</w:t>
      </w:r>
    </w:p>
    <w:p>
      <w:pPr>
        <w:spacing w:after="0" w:line="118"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2.</w:t>
      </w:r>
      <w:r>
        <w:rPr>
          <w:sz w:val="20"/>
          <w:szCs w:val="20"/>
          <w:color w:val="auto"/>
        </w:rPr>
        <w:tab/>
      </w:r>
      <w:r>
        <w:rPr>
          <w:rFonts w:ascii="Times New Roman" w:cs="Times New Roman" w:eastAsia="Times New Roman" w:hAnsi="Times New Roman"/>
          <w:sz w:val="14"/>
          <w:szCs w:val="14"/>
          <w:u w:val="single" w:color="auto"/>
          <w:color w:val="auto"/>
        </w:rPr>
        <w:t>Exercise</w:t>
      </w:r>
      <w:r>
        <w:rPr>
          <w:rFonts w:ascii="Times New Roman" w:cs="Times New Roman" w:eastAsia="Times New Roman" w:hAnsi="Times New Roman"/>
          <w:sz w:val="14"/>
          <w:szCs w:val="14"/>
          <w:color w:val="auto"/>
        </w:rPr>
        <w:t>.</w:t>
      </w:r>
    </w:p>
    <w:p>
      <w:pPr>
        <w:spacing w:after="0" w:line="118" w:lineRule="exact"/>
        <w:rPr>
          <w:sz w:val="20"/>
          <w:szCs w:val="20"/>
          <w:color w:val="auto"/>
        </w:rPr>
      </w:pPr>
    </w:p>
    <w:p>
      <w:pPr>
        <w:jc w:val="both"/>
        <w:ind w:firstLine="424"/>
        <w:spacing w:after="0" w:line="261" w:lineRule="auto"/>
        <w:tabs>
          <w:tab w:leader="none" w:pos="86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Exercise of Warrant</w:t>
      </w:r>
      <w:r>
        <w:rPr>
          <w:rFonts w:ascii="Times New Roman" w:cs="Times New Roman" w:eastAsia="Times New Roman" w:hAnsi="Times New Roman"/>
          <w:sz w:val="14"/>
          <w:szCs w:val="14"/>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“Notice of Exercise”). Within the earlier of (i) one (1)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following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300"/>
          </w:cols>
          <w:pgMar w:left="300" w:top="832" w:right="299" w:bottom="1440" w:gutter="0" w:footer="0" w:header="0"/>
        </w:sectPr>
      </w:pPr>
    </w:p>
    <w:bookmarkStart w:id="48" w:name="page49"/>
    <w:bookmarkEnd w:id="48"/>
    <w:p>
      <w:pPr>
        <w:jc w:val="both"/>
        <w:spacing w:after="0" w:line="276" w:lineRule="auto"/>
        <w:rPr>
          <w:sz w:val="20"/>
          <w:szCs w:val="20"/>
          <w:color w:val="auto"/>
        </w:rPr>
      </w:pPr>
      <w:r>
        <w:rPr>
          <w:rFonts w:ascii="Times New Roman" w:cs="Times New Roman" w:eastAsia="Times New Roman" w:hAnsi="Times New Roman"/>
          <w:sz w:val="14"/>
          <w:szCs w:val="14"/>
          <w:color w:val="auto"/>
        </w:rPr>
        <w:t xml:space="preserve">Company shall deliver any objection to any Notice of Exercise on the Trading Day of receipt of such notice. </w:t>
      </w:r>
      <w:r>
        <w:rPr>
          <w:rFonts w:ascii="Times New Roman" w:cs="Times New Roman" w:eastAsia="Times New Roman" w:hAnsi="Times New Roman"/>
          <w:sz w:val="14"/>
          <w:szCs w:val="14"/>
          <w:b w:val="1"/>
          <w:bCs w:val="1"/>
          <w:color w:val="auto"/>
        </w:rPr>
        <w:t>The Holder and any assignee, by acceptance of this Warrant, acknowledge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7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4"/>
          <w:szCs w:val="14"/>
          <w:color w:val="auto"/>
        </w:rPr>
        <w:t>Notwithstanding the foregoing in this Section 2(a), a holder whose interest in this Warrant is a beneficial interest in certificate(s) representing this Warrant held in book-entry form through DTC (or another established clearing corporation performing similar functions), shall effect exercises made pursuant to this Section 2(a) by delivering to DTC (or such other clearing corporation, as applicable) the appropriate instruction form for exercise, complying with the procedures to effect exercise that are required by DTC (or such other clearing corporation, as applicable), subject to a Holder’s right to elect to receive a Warrant in certificated form pursuant to the terms of the Warrant Agency Agreement, in which case this sentence shall not apply.</w:t>
      </w:r>
    </w:p>
    <w:p>
      <w:pPr>
        <w:spacing w:after="0" w:line="73" w:lineRule="exact"/>
        <w:rPr>
          <w:sz w:val="20"/>
          <w:szCs w:val="20"/>
          <w:color w:val="auto"/>
        </w:rPr>
      </w:pPr>
    </w:p>
    <w:p>
      <w:pPr>
        <w:jc w:val="both"/>
        <w:ind w:firstLine="424"/>
        <w:spacing w:after="0" w:line="272" w:lineRule="auto"/>
        <w:tabs>
          <w:tab w:leader="none" w:pos="861"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Exercise Price</w:t>
      </w:r>
      <w:r>
        <w:rPr>
          <w:rFonts w:ascii="Times New Roman" w:cs="Times New Roman" w:eastAsia="Times New Roman" w:hAnsi="Times New Roman"/>
          <w:sz w:val="14"/>
          <w:szCs w:val="14"/>
          <w:color w:val="auto"/>
        </w:rPr>
        <w:t>. The aggregate exercise price of this Warrant, except for a nominal exercise price of $0.0001 per Warrant Share, was pre-funded to the Company on or prior to the Initial Exercise Date and, consequently, no additional consideration (other than the nominal exercise price of $0.0001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The remaining unpaid exercise price per share of Common Stock under this Warrant shall be $0.0001, subject to adjustment hereunder (the “Exercise Price”).</w:t>
      </w:r>
    </w:p>
    <w:p>
      <w:pPr>
        <w:spacing w:after="0" w:line="71" w:lineRule="exact"/>
        <w:rPr>
          <w:rFonts w:ascii="Times New Roman" w:cs="Times New Roman" w:eastAsia="Times New Roman" w:hAnsi="Times New Roman"/>
          <w:sz w:val="14"/>
          <w:szCs w:val="14"/>
          <w:color w:val="auto"/>
        </w:rPr>
      </w:pPr>
    </w:p>
    <w:p>
      <w:pPr>
        <w:ind w:firstLine="424"/>
        <w:spacing w:after="0" w:line="295" w:lineRule="auto"/>
        <w:tabs>
          <w:tab w:leader="none" w:pos="862"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Cashless Exercise</w:t>
      </w:r>
      <w:r>
        <w:rPr>
          <w:rFonts w:ascii="Times New Roman" w:cs="Times New Roman" w:eastAsia="Times New Roman" w:hAnsi="Times New Roman"/>
          <w:sz w:val="14"/>
          <w:szCs w:val="14"/>
          <w:color w:val="auto"/>
        </w:rPr>
        <w:t>. This Warrant may also be exercised, in whole or in part, at such time by means of a “cashless exercise” in which the Holder shall be entitled to receive a number of Warrant Shares equal to the quotient obtained by dividing [(A-B) (X)] by (A), where:</w:t>
      </w:r>
    </w:p>
    <w:p>
      <w:pPr>
        <w:spacing w:after="0" w:line="54" w:lineRule="exact"/>
        <w:rPr>
          <w:rFonts w:ascii="Times New Roman" w:cs="Times New Roman" w:eastAsia="Times New Roman" w:hAnsi="Times New Roman"/>
          <w:sz w:val="14"/>
          <w:szCs w:val="14"/>
          <w:color w:val="auto"/>
        </w:rPr>
      </w:pPr>
    </w:p>
    <w:p>
      <w:pPr>
        <w:ind w:left="1180" w:hanging="324"/>
        <w:spacing w:after="0" w:line="266" w:lineRule="auto"/>
        <w:tabs>
          <w:tab w:leader="none" w:pos="1100"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as applicable: (i) the VWAP on the Trading Day immediately preceding the date of the applicable Notice of Exercise if such Notice of Exercise is (1) delivered pursuant to Section 2(a) hereof on a day that is not a Trading Day or (2) delivered pursuant to Section 2(a) hereof on a Trading Day prior to the opening of “regular trading hours” (as defined in Rule 600(b) of Regulation NMS promulgated under the federal securities laws) on such Trading Day, (ii) the highest Bid Price of the Common Stock on the principal Trading Market as reported by Bloomberg L.P. (“Bloomberg”) within two (2) hours of the time of the Holder’s delivery of the Notice of Exercise pursuant to Section 2(a) hereof if such Notice of Exercise is delivered during “regular trading hours,” or within two (2) hours after the close of “regular trading hours,” on a Trading Day or (iii) the VWAP on the date of the applicable Notice of Exercise if the date of such Notice of Exercise is a Trading Day and such Notice of Exercise is delivered pursuant to Section 2(a) hereof after two (2) hours following the close of “regular trading hours” on such Trading Day;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300"/>
          </w:cols>
          <w:pgMar w:left="300" w:top="830" w:right="299" w:bottom="1440" w:gutter="0" w:footer="0" w:header="0"/>
        </w:sectPr>
      </w:pPr>
    </w:p>
    <w:bookmarkStart w:id="49" w:name="page50"/>
    <w:bookmarkEnd w:id="49"/>
    <w:p>
      <w:pPr>
        <w:ind w:left="860"/>
        <w:spacing w:after="0"/>
        <w:rPr>
          <w:sz w:val="20"/>
          <w:szCs w:val="20"/>
          <w:color w:val="auto"/>
        </w:rPr>
      </w:pPr>
      <w:r>
        <w:rPr>
          <w:rFonts w:ascii="Times New Roman" w:cs="Times New Roman" w:eastAsia="Times New Roman" w:hAnsi="Times New Roman"/>
          <w:sz w:val="14"/>
          <w:szCs w:val="14"/>
          <w:color w:val="auto"/>
        </w:rPr>
        <w:t>(B) = the Exercise Price of this Warrant, as adjusted hereunder; and</w:t>
      </w:r>
    </w:p>
    <w:p>
      <w:pPr>
        <w:spacing w:after="0" w:line="118" w:lineRule="exact"/>
        <w:rPr>
          <w:sz w:val="20"/>
          <w:szCs w:val="20"/>
          <w:color w:val="auto"/>
        </w:rPr>
      </w:pPr>
    </w:p>
    <w:p>
      <w:pPr>
        <w:ind w:left="1240" w:right="20" w:hanging="384"/>
        <w:spacing w:after="0" w:line="295" w:lineRule="auto"/>
        <w:tabs>
          <w:tab w:leader="none" w:pos="1109"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the number of Warrant Shares that would be issuable upon exercise of this Warrant in accordance with the terms of this Warrant if such exercise were by means of a cash exercise rather than a cashless exercise.</w:t>
      </w:r>
    </w:p>
    <w:p>
      <w:pPr>
        <w:spacing w:after="0" w:line="63" w:lineRule="exact"/>
        <w:rPr>
          <w:sz w:val="20"/>
          <w:szCs w:val="20"/>
          <w:color w:val="auto"/>
        </w:rPr>
      </w:pPr>
    </w:p>
    <w:p>
      <w:pPr>
        <w:ind w:left="420" w:firstLine="432"/>
        <w:spacing w:after="0" w:line="295" w:lineRule="auto"/>
        <w:rPr>
          <w:sz w:val="20"/>
          <w:szCs w:val="20"/>
          <w:color w:val="auto"/>
        </w:rPr>
      </w:pPr>
      <w:r>
        <w:rPr>
          <w:rFonts w:ascii="Times New Roman" w:cs="Times New Roman" w:eastAsia="Times New Roman" w:hAnsi="Times New Roman"/>
          <w:sz w:val="14"/>
          <w:szCs w:val="14"/>
          <w:color w:val="auto"/>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54" w:lineRule="exact"/>
        <w:rPr>
          <w:sz w:val="20"/>
          <w:szCs w:val="20"/>
          <w:color w:val="auto"/>
        </w:rPr>
      </w:pPr>
    </w:p>
    <w:p>
      <w:pPr>
        <w:ind w:left="860" w:hanging="436"/>
        <w:spacing w:after="0"/>
        <w:tabs>
          <w:tab w:leader="none" w:pos="8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Mechanics of Exercise</w:t>
      </w:r>
      <w:r>
        <w:rPr>
          <w:rFonts w:ascii="Times New Roman" w:cs="Times New Roman" w:eastAsia="Times New Roman" w:hAnsi="Times New Roman"/>
          <w:sz w:val="14"/>
          <w:szCs w:val="14"/>
          <w:color w:val="auto"/>
        </w:rPr>
        <w:t>.</w:t>
      </w:r>
    </w:p>
    <w:p>
      <w:pPr>
        <w:spacing w:after="0" w:line="118" w:lineRule="exact"/>
        <w:rPr>
          <w:rFonts w:ascii="Times New Roman" w:cs="Times New Roman" w:eastAsia="Times New Roman" w:hAnsi="Times New Roman"/>
          <w:sz w:val="14"/>
          <w:szCs w:val="14"/>
          <w:color w:val="auto"/>
        </w:rPr>
      </w:pPr>
    </w:p>
    <w:p>
      <w:pPr>
        <w:jc w:val="both"/>
        <w:ind w:firstLine="856"/>
        <w:spacing w:after="0" w:line="259" w:lineRule="auto"/>
        <w:tabs>
          <w:tab w:leader="none" w:pos="1288"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Delivery of Warrant Shares Upon Exercise</w:t>
      </w:r>
      <w:r>
        <w:rPr>
          <w:rFonts w:ascii="Times New Roman" w:cs="Times New Roman" w:eastAsia="Times New Roman" w:hAnsi="Times New Roman"/>
          <w:sz w:val="14"/>
          <w:szCs w:val="14"/>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(“DWAC”) if the Company is then a participant in such system and either (A) there is an effective registration statement permitting the issuance of the Warrant Shares to or resale of the Warrant Shares by the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one (1) Trading Day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“Warrant Share Delivery Date”).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by the Warrant Share Delivery Date.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(3rd )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“Standard Settlement Period” means the standard settlement period, expressed in a number of Trading Days, on the Company’s primary Trading Market with respect to the Common Stock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Underwriting Agreement, the Company agrees to deliver the Warrant Shares subject to such notice(s) by 4:00 p.m. (New York City time) on the Initial Exercise Date and the Initial Exercise Date shall be the Warrant Share Delivery Date for purposes hereunder, provided that payment of</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300"/>
          </w:cols>
          <w:pgMar w:left="300" w:top="832" w:right="2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color w:val="auto"/>
        </w:rPr>
        <w:t>the aggregate Exercise Price (other than in the case of a cashless exercise) is received by such Warrant Share Delivery Date.</w:t>
      </w:r>
    </w:p>
    <w:p>
      <w:pPr>
        <w:spacing w:after="0" w:line="118" w:lineRule="exact"/>
        <w:rPr>
          <w:sz w:val="20"/>
          <w:szCs w:val="20"/>
          <w:color w:val="auto"/>
        </w:rPr>
      </w:pPr>
    </w:p>
    <w:p>
      <w:pPr>
        <w:jc w:val="both"/>
        <w:ind w:firstLine="856"/>
        <w:spacing w:after="0" w:line="282" w:lineRule="auto"/>
        <w:tabs>
          <w:tab w:leader="none" w:pos="129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Delivery of New Warrants Upon Exercise</w:t>
      </w:r>
      <w:r>
        <w:rPr>
          <w:rFonts w:ascii="Times New Roman" w:cs="Times New Roman" w:eastAsia="Times New Roman" w:hAnsi="Times New Roman"/>
          <w:sz w:val="14"/>
          <w:szCs w:val="14"/>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62" w:lineRule="exact"/>
        <w:rPr>
          <w:rFonts w:ascii="Times New Roman" w:cs="Times New Roman" w:eastAsia="Times New Roman" w:hAnsi="Times New Roman"/>
          <w:sz w:val="14"/>
          <w:szCs w:val="14"/>
          <w:color w:val="auto"/>
        </w:rPr>
      </w:pPr>
    </w:p>
    <w:p>
      <w:pPr>
        <w:ind w:firstLine="856"/>
        <w:spacing w:after="0" w:line="295" w:lineRule="auto"/>
        <w:tabs>
          <w:tab w:leader="none" w:pos="1296"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Rescission Rights</w:t>
      </w:r>
      <w:r>
        <w:rPr>
          <w:rFonts w:ascii="Times New Roman" w:cs="Times New Roman" w:eastAsia="Times New Roman" w:hAnsi="Times New Roman"/>
          <w:sz w:val="14"/>
          <w:szCs w:val="14"/>
          <w:color w:val="auto"/>
        </w:rPr>
        <w:t>. If the Company fails to cause the Transfer Agent to transmit to the Holder the Warrant Shares pursuant to Section 2(d)(i) by the Warrant Share Delivery Date, then the Holder will have the right to rescind such exercise.</w:t>
      </w:r>
    </w:p>
    <w:p>
      <w:pPr>
        <w:spacing w:after="0" w:line="54" w:lineRule="exact"/>
        <w:rPr>
          <w:rFonts w:ascii="Times New Roman" w:cs="Times New Roman" w:eastAsia="Times New Roman" w:hAnsi="Times New Roman"/>
          <w:sz w:val="14"/>
          <w:szCs w:val="14"/>
          <w:color w:val="auto"/>
        </w:rPr>
      </w:pPr>
    </w:p>
    <w:p>
      <w:pPr>
        <w:jc w:val="both"/>
        <w:ind w:firstLine="856"/>
        <w:spacing w:after="0" w:line="260" w:lineRule="auto"/>
        <w:tabs>
          <w:tab w:leader="none" w:pos="1288"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Compensation for Buy-In on Failure to Timely Deliver Warrant Shares Upon Exercise</w:t>
      </w:r>
      <w:r>
        <w:rPr>
          <w:rFonts w:ascii="Times New Roman" w:cs="Times New Roman" w:eastAsia="Times New Roman" w:hAnsi="Times New Roman"/>
          <w:sz w:val="14"/>
          <w:szCs w:val="14"/>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“Buy-In”),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90" w:lineRule="exact"/>
        <w:rPr>
          <w:rFonts w:ascii="Times New Roman" w:cs="Times New Roman" w:eastAsia="Times New Roman" w:hAnsi="Times New Roman"/>
          <w:sz w:val="14"/>
          <w:szCs w:val="14"/>
          <w:color w:val="auto"/>
        </w:rPr>
      </w:pPr>
    </w:p>
    <w:p>
      <w:pPr>
        <w:jc w:val="both"/>
        <w:ind w:firstLine="856"/>
        <w:spacing w:after="0" w:line="275" w:lineRule="auto"/>
        <w:tabs>
          <w:tab w:leader="none" w:pos="1293"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Fractional Shares or Scrip</w:t>
      </w:r>
      <w:r>
        <w:rPr>
          <w:rFonts w:ascii="Times New Roman" w:cs="Times New Roman" w:eastAsia="Times New Roman" w:hAnsi="Times New Roman"/>
          <w:sz w:val="14"/>
          <w:szCs w:val="14"/>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300"/>
          </w:cols>
          <w:pgMar w:left="300" w:top="832" w:right="299" w:bottom="1440" w:gutter="0" w:footer="0" w:header="0"/>
        </w:sectPr>
      </w:pPr>
    </w:p>
    <w:bookmarkStart w:id="51" w:name="page52"/>
    <w:bookmarkEnd w:id="51"/>
    <w:p>
      <w:pPr>
        <w:jc w:val="both"/>
        <w:ind w:firstLine="856"/>
        <w:spacing w:after="0" w:line="265" w:lineRule="auto"/>
        <w:tabs>
          <w:tab w:leader="none" w:pos="1288"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Charges, Taxes and Expenses</w:t>
      </w:r>
      <w:r>
        <w:rPr>
          <w:rFonts w:ascii="Times New Roman" w:cs="Times New Roman" w:eastAsia="Times New Roman" w:hAnsi="Times New Roman"/>
          <w:sz w:val="14"/>
          <w:szCs w:val="14"/>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provided, however, that in the event that Warrant Shares are to be issued in a name other than the name of the Holder, this Warrant when surrendered for exercise shall be accompanied by the Assignment Form attached hereto as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76"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Closing of Books</w:t>
      </w:r>
      <w:r>
        <w:rPr>
          <w:rFonts w:ascii="Times New Roman" w:cs="Times New Roman" w:eastAsia="Times New Roman" w:hAnsi="Times New Roman"/>
          <w:sz w:val="14"/>
          <w:szCs w:val="14"/>
          <w:color w:val="auto"/>
        </w:rPr>
        <w:t>. The Company will not close its stockholder books or records in any manner which prevents the timely exercise of this Warrant, pursuant to the terms</w:t>
      </w:r>
    </w:p>
    <w:p>
      <w:pPr>
        <w:spacing w:after="0" w:line="26"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hereof.</w:t>
      </w:r>
    </w:p>
    <w:p>
      <w:pPr>
        <w:spacing w:after="0" w:line="111" w:lineRule="exact"/>
        <w:rPr>
          <w:rFonts w:ascii="Times New Roman" w:cs="Times New Roman" w:eastAsia="Times New Roman" w:hAnsi="Times New Roman"/>
          <w:sz w:val="14"/>
          <w:szCs w:val="14"/>
          <w:color w:val="auto"/>
        </w:rPr>
      </w:pPr>
    </w:p>
    <w:p>
      <w:pPr>
        <w:jc w:val="both"/>
        <w:ind w:firstLine="424"/>
        <w:spacing w:after="0" w:line="259" w:lineRule="auto"/>
        <w:tabs>
          <w:tab w:leader="none" w:pos="862"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Holder’s Exercise Limitations</w:t>
      </w:r>
      <w:r>
        <w:rPr>
          <w:rFonts w:ascii="Times New Roman" w:cs="Times New Roman" w:eastAsia="Times New Roman" w:hAnsi="Times New Roman"/>
          <w:sz w:val="14"/>
          <w:szCs w:val="14"/>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“Attribution Parties”)),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300"/>
          </w:cols>
          <w:pgMar w:left="300" w:top="832" w:right="299" w:bottom="1440" w:gutter="0" w:footer="0" w:header="0"/>
        </w:sectPr>
      </w:pPr>
    </w:p>
    <w:bookmarkStart w:id="52" w:name="page53"/>
    <w:bookmarkEnd w:id="52"/>
    <w:p>
      <w:pPr>
        <w:jc w:val="both"/>
        <w:spacing w:after="0" w:line="260" w:lineRule="auto"/>
        <w:rPr>
          <w:sz w:val="20"/>
          <w:szCs w:val="20"/>
          <w:color w:val="auto"/>
        </w:rPr>
      </w:pPr>
      <w:r>
        <w:rPr>
          <w:rFonts w:ascii="Times New Roman" w:cs="Times New Roman" w:eastAsia="Times New Roman" w:hAnsi="Times New Roman"/>
          <w:sz w:val="14"/>
          <w:szCs w:val="14"/>
          <w:color w:val="auto"/>
        </w:rPr>
        <w:t>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“Beneficial Ownership Limitation” shall be 4.99% (or, upon election by a Holder prior to the issuance of any Warrants, 9.99%)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61st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87"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3.</w:t>
      </w:r>
      <w:r>
        <w:rPr>
          <w:sz w:val="20"/>
          <w:szCs w:val="20"/>
          <w:color w:val="auto"/>
        </w:rPr>
        <w:tab/>
      </w:r>
      <w:r>
        <w:rPr>
          <w:rFonts w:ascii="Times New Roman" w:cs="Times New Roman" w:eastAsia="Times New Roman" w:hAnsi="Times New Roman"/>
          <w:sz w:val="14"/>
          <w:szCs w:val="14"/>
          <w:u w:val="single" w:color="auto"/>
          <w:color w:val="auto"/>
        </w:rPr>
        <w:t>Certain Adjustments</w:t>
      </w:r>
      <w:r>
        <w:rPr>
          <w:rFonts w:ascii="Times New Roman" w:cs="Times New Roman" w:eastAsia="Times New Roman" w:hAnsi="Times New Roman"/>
          <w:sz w:val="14"/>
          <w:szCs w:val="14"/>
          <w:color w:val="auto"/>
        </w:rPr>
        <w:t>.</w:t>
      </w:r>
    </w:p>
    <w:p>
      <w:pPr>
        <w:spacing w:after="0" w:line="118" w:lineRule="exact"/>
        <w:rPr>
          <w:sz w:val="20"/>
          <w:szCs w:val="20"/>
          <w:color w:val="auto"/>
        </w:rPr>
      </w:pPr>
    </w:p>
    <w:p>
      <w:pPr>
        <w:jc w:val="both"/>
        <w:ind w:firstLine="424"/>
        <w:spacing w:after="0" w:line="262" w:lineRule="auto"/>
        <w:tabs>
          <w:tab w:leader="none" w:pos="86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Stock Dividends and Splits</w:t>
      </w:r>
      <w:r>
        <w:rPr>
          <w:rFonts w:ascii="Times New Roman" w:cs="Times New Roman" w:eastAsia="Times New Roman" w:hAnsi="Times New Roman"/>
          <w:sz w:val="14"/>
          <w:szCs w:val="14"/>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300"/>
          </w:cols>
          <w:pgMar w:left="300" w:top="832" w:right="2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color w:val="auto"/>
        </w:rPr>
        <w:t>entitled to receive such dividend or distribution and shall become effective immediately after the effective date in the case of a subdivision, combination or re-classification.</w:t>
      </w:r>
    </w:p>
    <w:p>
      <w:pPr>
        <w:spacing w:after="0" w:line="118" w:lineRule="exact"/>
        <w:rPr>
          <w:sz w:val="20"/>
          <w:szCs w:val="20"/>
          <w:color w:val="auto"/>
        </w:rPr>
      </w:pPr>
    </w:p>
    <w:p>
      <w:pPr>
        <w:jc w:val="both"/>
        <w:ind w:firstLine="424"/>
        <w:spacing w:after="0" w:line="263" w:lineRule="auto"/>
        <w:tabs>
          <w:tab w:leader="none" w:pos="861"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Subsequent Rights Offerings</w:t>
      </w:r>
      <w:r>
        <w:rPr>
          <w:rFonts w:ascii="Times New Roman" w:cs="Times New Roman" w:eastAsia="Times New Roman" w:hAnsi="Times New Roman"/>
          <w:sz w:val="14"/>
          <w:szCs w:val="14"/>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“Purchase Rights”),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77" w:lineRule="exact"/>
        <w:rPr>
          <w:rFonts w:ascii="Times New Roman" w:cs="Times New Roman" w:eastAsia="Times New Roman" w:hAnsi="Times New Roman"/>
          <w:sz w:val="14"/>
          <w:szCs w:val="14"/>
          <w:color w:val="auto"/>
        </w:rPr>
      </w:pPr>
    </w:p>
    <w:p>
      <w:pPr>
        <w:jc w:val="both"/>
        <w:ind w:firstLine="424"/>
        <w:spacing w:after="0" w:line="261" w:lineRule="auto"/>
        <w:tabs>
          <w:tab w:leader="none" w:pos="86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Pro Rata Distributions</w:t>
      </w:r>
      <w:r>
        <w:rPr>
          <w:rFonts w:ascii="Times New Roman" w:cs="Times New Roman" w:eastAsia="Times New Roman" w:hAnsi="Times New Roman"/>
          <w:sz w:val="14"/>
          <w:szCs w:val="14"/>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“Distribution”),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To the extent that this Warrant has not been partially or completely exercised at the time of such Distribution, such portion of the Distribution shall be held in abeyance for the benefit of the Holder until the Holder has exercised this Warrant.</w:t>
      </w:r>
    </w:p>
    <w:p>
      <w:pPr>
        <w:spacing w:after="0" w:line="81" w:lineRule="exact"/>
        <w:rPr>
          <w:rFonts w:ascii="Times New Roman" w:cs="Times New Roman" w:eastAsia="Times New Roman" w:hAnsi="Times New Roman"/>
          <w:sz w:val="14"/>
          <w:szCs w:val="14"/>
          <w:color w:val="auto"/>
        </w:rPr>
      </w:pPr>
    </w:p>
    <w:p>
      <w:pPr>
        <w:ind w:firstLine="424"/>
        <w:spacing w:after="0" w:line="295" w:lineRule="auto"/>
        <w:tabs>
          <w:tab w:leader="none" w:pos="861"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Fundamental Transaction</w:t>
      </w:r>
      <w:r>
        <w:rPr>
          <w:rFonts w:ascii="Times New Roman" w:cs="Times New Roman" w:eastAsia="Times New Roman" w:hAnsi="Times New Roman"/>
          <w:sz w:val="14"/>
          <w:szCs w:val="14"/>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300"/>
          </w:cols>
          <w:pgMar w:left="300" w:top="832" w:right="299" w:bottom="1440" w:gutter="0" w:footer="0" w:header="0"/>
        </w:sectPr>
      </w:pPr>
    </w:p>
    <w:bookmarkStart w:id="54" w:name="page55"/>
    <w:bookmarkEnd w:id="54"/>
    <w:p>
      <w:pPr>
        <w:jc w:val="both"/>
        <w:ind w:left="8"/>
        <w:spacing w:after="0" w:line="263" w:lineRule="auto"/>
        <w:rPr>
          <w:sz w:val="20"/>
          <w:szCs w:val="20"/>
          <w:color w:val="auto"/>
        </w:rPr>
      </w:pPr>
      <w:r>
        <w:rPr>
          <w:rFonts w:ascii="Times New Roman" w:cs="Times New Roman" w:eastAsia="Times New Roman" w:hAnsi="Times New Roman"/>
          <w:sz w:val="14"/>
          <w:szCs w:val="14"/>
          <w:color w:val="auto"/>
        </w:rPr>
        <w:t>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Common Stock or greater than 50% of the voting power of all outstanding securities with voting rights, on an as-converted basis, of the Company,</w:t>
      </w:r>
    </w:p>
    <w:p>
      <w:pPr>
        <w:spacing w:after="0" w:line="1" w:lineRule="exact"/>
        <w:rPr>
          <w:sz w:val="20"/>
          <w:szCs w:val="20"/>
          <w:color w:val="auto"/>
        </w:rPr>
      </w:pPr>
    </w:p>
    <w:p>
      <w:pPr>
        <w:jc w:val="both"/>
        <w:ind w:left="8" w:hanging="8"/>
        <w:spacing w:after="0" w:line="258" w:lineRule="auto"/>
        <w:tabs>
          <w:tab w:leader="none" w:pos="255"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shares of Common Stock or greater than 50% of the voting power of all outstanding securities with voting rights, on an as-converted basis, of the Company (each a “Fundamental Transaction”),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“Alternate Consideration”)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“Successor Entity”) to assume in writing all of the obligations of the Company under this Warrant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308"/>
          </w:cols>
          <w:pgMar w:left="292" w:top="832" w:right="299" w:bottom="1440" w:gutter="0" w:footer="0" w:header="0"/>
        </w:sectPr>
      </w:pPr>
    </w:p>
    <w:bookmarkStart w:id="55" w:name="page56"/>
    <w:bookmarkEnd w:id="55"/>
    <w:p>
      <w:pPr>
        <w:jc w:val="both"/>
        <w:spacing w:after="0" w:line="263" w:lineRule="auto"/>
        <w:rPr>
          <w:sz w:val="20"/>
          <w:szCs w:val="20"/>
          <w:color w:val="auto"/>
        </w:rPr>
      </w:pPr>
      <w:r>
        <w:rPr>
          <w:rFonts w:ascii="Times New Roman" w:cs="Times New Roman" w:eastAsia="Times New Roman" w:hAnsi="Times New Roman"/>
          <w:sz w:val="14"/>
          <w:szCs w:val="14"/>
          <w:color w:val="auto"/>
        </w:rPr>
        <w:t>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with the same effect as if the Company and such Successor Entity or Successor Entities, jointly and severally, had been named as the Company herein. For the avoidance of doubt, the Holder shall be entitled to the benefits of the provisions of this Section 3(d) regardless of (i) whether the Company has sufficient authorized shares of Common Stock for the issuance of Warrant Shares and/or (ii) whether a Fundamental Transaction occurs prior to the Initial Exercise Date.</w:t>
      </w:r>
    </w:p>
    <w:p>
      <w:pPr>
        <w:spacing w:after="0" w:line="79" w:lineRule="exact"/>
        <w:rPr>
          <w:sz w:val="20"/>
          <w:szCs w:val="20"/>
          <w:color w:val="auto"/>
        </w:rPr>
      </w:pPr>
    </w:p>
    <w:p>
      <w:pPr>
        <w:jc w:val="both"/>
        <w:ind w:firstLine="424"/>
        <w:spacing w:after="0" w:line="296" w:lineRule="auto"/>
        <w:tabs>
          <w:tab w:leader="none" w:pos="862"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Calculations</w:t>
      </w:r>
      <w:r>
        <w:rPr>
          <w:rFonts w:ascii="Times New Roman" w:cs="Times New Roman" w:eastAsia="Times New Roman" w:hAnsi="Times New Roman"/>
          <w:sz w:val="14"/>
          <w:szCs w:val="14"/>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232" w:lineRule="exact"/>
        <w:rPr>
          <w:rFonts w:ascii="Times New Roman" w:cs="Times New Roman" w:eastAsia="Times New Roman" w:hAnsi="Times New Roman"/>
          <w:sz w:val="14"/>
          <w:szCs w:val="14"/>
          <w:color w:val="auto"/>
        </w:rPr>
      </w:pPr>
    </w:p>
    <w:p>
      <w:pPr>
        <w:ind w:left="860" w:hanging="436"/>
        <w:spacing w:after="0"/>
        <w:tabs>
          <w:tab w:leader="none" w:pos="8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 to Holder</w:t>
      </w:r>
      <w:r>
        <w:rPr>
          <w:rFonts w:ascii="Times New Roman" w:cs="Times New Roman" w:eastAsia="Times New Roman" w:hAnsi="Times New Roman"/>
          <w:sz w:val="14"/>
          <w:szCs w:val="14"/>
          <w:color w:val="auto"/>
        </w:rPr>
        <w:t>.</w:t>
      </w:r>
    </w:p>
    <w:p>
      <w:pPr>
        <w:spacing w:after="0" w:line="118" w:lineRule="exact"/>
        <w:rPr>
          <w:rFonts w:ascii="Times New Roman" w:cs="Times New Roman" w:eastAsia="Times New Roman" w:hAnsi="Times New Roman"/>
          <w:sz w:val="14"/>
          <w:szCs w:val="14"/>
          <w:color w:val="auto"/>
        </w:rPr>
      </w:pPr>
    </w:p>
    <w:p>
      <w:pPr>
        <w:jc w:val="both"/>
        <w:ind w:firstLine="856"/>
        <w:spacing w:after="0" w:line="287" w:lineRule="auto"/>
        <w:tabs>
          <w:tab w:leader="none" w:pos="1288"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Adjustment to Exercise Price</w:t>
      </w:r>
      <w:r>
        <w:rPr>
          <w:rFonts w:ascii="Times New Roman" w:cs="Times New Roman" w:eastAsia="Times New Roman" w:hAnsi="Times New Roman"/>
          <w:sz w:val="14"/>
          <w:szCs w:val="14"/>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244" w:lineRule="exact"/>
        <w:rPr>
          <w:rFonts w:ascii="Times New Roman" w:cs="Times New Roman" w:eastAsia="Times New Roman" w:hAnsi="Times New Roman"/>
          <w:sz w:val="14"/>
          <w:szCs w:val="14"/>
          <w:color w:val="auto"/>
        </w:rPr>
      </w:pPr>
    </w:p>
    <w:p>
      <w:pPr>
        <w:jc w:val="both"/>
        <w:ind w:firstLine="856"/>
        <w:spacing w:after="0" w:line="261" w:lineRule="auto"/>
        <w:tabs>
          <w:tab w:leader="none" w:pos="1292"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 to Allow Exercise by Holder</w:t>
      </w:r>
      <w:r>
        <w:rPr>
          <w:rFonts w:ascii="Times New Roman" w:cs="Times New Roman" w:eastAsia="Times New Roman" w:hAnsi="Times New Roman"/>
          <w:sz w:val="14"/>
          <w:szCs w:val="14"/>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(as defined below)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300"/>
          </w:cols>
          <w:pgMar w:left="300" w:top="832" w:right="299" w:bottom="1440" w:gutter="0" w:footer="0" w:header="0"/>
        </w:sectPr>
      </w:pPr>
    </w:p>
    <w:bookmarkStart w:id="56" w:name="page57"/>
    <w:bookmarkEnd w:id="56"/>
    <w:p>
      <w:pPr>
        <w:jc w:val="both"/>
        <w:spacing w:after="0" w:line="265" w:lineRule="auto"/>
        <w:rPr>
          <w:sz w:val="20"/>
          <w:szCs w:val="20"/>
          <w:color w:val="auto"/>
        </w:rPr>
      </w:pPr>
      <w:r>
        <w:rPr>
          <w:rFonts w:ascii="Times New Roman" w:cs="Times New Roman" w:eastAsia="Times New Roman" w:hAnsi="Times New Roman"/>
          <w:sz w:val="14"/>
          <w:szCs w:val="14"/>
          <w:color w:val="auto"/>
        </w:rPr>
        <w:t>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promptly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76"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4.</w:t>
      </w:r>
      <w:r>
        <w:rPr>
          <w:sz w:val="20"/>
          <w:szCs w:val="20"/>
          <w:color w:val="auto"/>
        </w:rPr>
        <w:tab/>
      </w:r>
      <w:r>
        <w:rPr>
          <w:rFonts w:ascii="Times New Roman" w:cs="Times New Roman" w:eastAsia="Times New Roman" w:hAnsi="Times New Roman"/>
          <w:sz w:val="14"/>
          <w:szCs w:val="14"/>
          <w:u w:val="single" w:color="auto"/>
          <w:color w:val="auto"/>
        </w:rPr>
        <w:t>Transfer of Warrant</w:t>
      </w:r>
      <w:r>
        <w:rPr>
          <w:rFonts w:ascii="Times New Roman" w:cs="Times New Roman" w:eastAsia="Times New Roman" w:hAnsi="Times New Roman"/>
          <w:sz w:val="14"/>
          <w:szCs w:val="14"/>
          <w:color w:val="auto"/>
        </w:rPr>
        <w:t>.</w:t>
      </w:r>
    </w:p>
    <w:p>
      <w:pPr>
        <w:spacing w:after="0" w:line="118" w:lineRule="exact"/>
        <w:rPr>
          <w:sz w:val="20"/>
          <w:szCs w:val="20"/>
          <w:color w:val="auto"/>
        </w:rPr>
      </w:pPr>
    </w:p>
    <w:p>
      <w:pPr>
        <w:jc w:val="both"/>
        <w:ind w:firstLine="424"/>
        <w:spacing w:after="0" w:line="264" w:lineRule="auto"/>
        <w:tabs>
          <w:tab w:leader="none" w:pos="862"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Transferability</w:t>
      </w:r>
      <w:r>
        <w:rPr>
          <w:rFonts w:ascii="Times New Roman" w:cs="Times New Roman" w:eastAsia="Times New Roman" w:hAnsi="Times New Roman"/>
          <w:sz w:val="14"/>
          <w:szCs w:val="14"/>
          <w:color w:val="auto"/>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77" w:lineRule="exact"/>
        <w:rPr>
          <w:rFonts w:ascii="Times New Roman" w:cs="Times New Roman" w:eastAsia="Times New Roman" w:hAnsi="Times New Roman"/>
          <w:sz w:val="14"/>
          <w:szCs w:val="14"/>
          <w:color w:val="auto"/>
        </w:rPr>
      </w:pPr>
    </w:p>
    <w:p>
      <w:pPr>
        <w:jc w:val="both"/>
        <w:ind w:firstLine="424"/>
        <w:spacing w:after="0" w:line="268" w:lineRule="auto"/>
        <w:tabs>
          <w:tab w:leader="none" w:pos="861"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New Warrants</w:t>
      </w:r>
      <w:r>
        <w:rPr>
          <w:rFonts w:ascii="Times New Roman" w:cs="Times New Roman" w:eastAsia="Times New Roman" w:hAnsi="Times New Roman"/>
          <w:sz w:val="14"/>
          <w:szCs w:val="14"/>
          <w:color w:val="auto"/>
        </w:rPr>
        <w:t>. If this Warrant is not held in global form through DTC (or any successor depositary),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Exercise Date of this Warrant and shall be identical with this Warrant except as to the number of Warrant Shares issuable pursuant thereto.</w:t>
      </w:r>
    </w:p>
    <w:p>
      <w:pPr>
        <w:spacing w:after="0" w:line="73" w:lineRule="exact"/>
        <w:rPr>
          <w:rFonts w:ascii="Times New Roman" w:cs="Times New Roman" w:eastAsia="Times New Roman" w:hAnsi="Times New Roman"/>
          <w:sz w:val="14"/>
          <w:szCs w:val="14"/>
          <w:color w:val="auto"/>
        </w:rPr>
      </w:pPr>
    </w:p>
    <w:p>
      <w:pPr>
        <w:jc w:val="both"/>
        <w:ind w:firstLine="424"/>
        <w:spacing w:after="0" w:line="275" w:lineRule="auto"/>
        <w:tabs>
          <w:tab w:leader="none" w:pos="862"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Warrant Register</w:t>
      </w:r>
      <w:r>
        <w:rPr>
          <w:rFonts w:ascii="Times New Roman" w:cs="Times New Roman" w:eastAsia="Times New Roman" w:hAnsi="Times New Roman"/>
          <w:sz w:val="14"/>
          <w:szCs w:val="14"/>
          <w:color w:val="auto"/>
        </w:rPr>
        <w:t>. The Warrant Agent shall register this Warrant, upon records to be maintained by the Warrant Agent for that purpose (the “Warrant Register”), in the name of the record Holder hereof from time to time. The Company and the Warrant Agent may deem and treat the registered Holder of this Warrant as the absolute owner hereof for the purpose of any exercise hereof or any distribution to the Holder, and for all other purposes, absent actual notice to the contrary.</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1300"/>
          </w:cols>
          <w:pgMar w:left="300" w:top="832" w:right="299" w:bottom="1440" w:gutter="0" w:footer="0" w:header="0"/>
        </w:sectPr>
      </w:pPr>
    </w:p>
    <w:bookmarkStart w:id="57" w:name="page58"/>
    <w:bookmarkEnd w:id="57"/>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5.</w:t>
      </w:r>
      <w:r>
        <w:rPr>
          <w:sz w:val="20"/>
          <w:szCs w:val="20"/>
          <w:color w:val="auto"/>
        </w:rPr>
        <w:tab/>
      </w:r>
      <w:r>
        <w:rPr>
          <w:rFonts w:ascii="Times New Roman" w:cs="Times New Roman" w:eastAsia="Times New Roman" w:hAnsi="Times New Roman"/>
          <w:sz w:val="14"/>
          <w:szCs w:val="14"/>
          <w:u w:val="single" w:color="auto"/>
          <w:color w:val="auto"/>
        </w:rPr>
        <w:t>Miscellaneous</w:t>
      </w:r>
      <w:r>
        <w:rPr>
          <w:rFonts w:ascii="Times New Roman" w:cs="Times New Roman" w:eastAsia="Times New Roman" w:hAnsi="Times New Roman"/>
          <w:sz w:val="14"/>
          <w:szCs w:val="14"/>
          <w:color w:val="auto"/>
        </w:rPr>
        <w:t>.</w:t>
      </w:r>
    </w:p>
    <w:p>
      <w:pPr>
        <w:spacing w:after="0" w:line="118" w:lineRule="exact"/>
        <w:rPr>
          <w:sz w:val="20"/>
          <w:szCs w:val="20"/>
          <w:color w:val="auto"/>
        </w:rPr>
      </w:pPr>
    </w:p>
    <w:p>
      <w:pPr>
        <w:jc w:val="both"/>
        <w:ind w:firstLine="424"/>
        <w:spacing w:after="0" w:line="277" w:lineRule="auto"/>
        <w:tabs>
          <w:tab w:leader="none" w:pos="862"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Rights as Stockholder Until Exercise; No Settlement in Cash</w:t>
      </w:r>
      <w:r>
        <w:rPr>
          <w:rFonts w:ascii="Times New Roman" w:cs="Times New Roman" w:eastAsia="Times New Roman" w:hAnsi="Times New Roman"/>
          <w:sz w:val="14"/>
          <w:szCs w:val="14"/>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243" w:lineRule="exact"/>
        <w:rPr>
          <w:rFonts w:ascii="Times New Roman" w:cs="Times New Roman" w:eastAsia="Times New Roman" w:hAnsi="Times New Roman"/>
          <w:sz w:val="14"/>
          <w:szCs w:val="14"/>
          <w:color w:val="auto"/>
        </w:rPr>
      </w:pPr>
    </w:p>
    <w:p>
      <w:pPr>
        <w:jc w:val="both"/>
        <w:ind w:firstLine="424"/>
        <w:spacing w:after="0" w:line="272" w:lineRule="auto"/>
        <w:tabs>
          <w:tab w:leader="none" w:pos="861"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Loss, Theft, Destruction or Mutilation of Warrant</w:t>
      </w:r>
      <w:r>
        <w:rPr>
          <w:rFonts w:ascii="Times New Roman" w:cs="Times New Roman" w:eastAsia="Times New Roman" w:hAnsi="Times New Roman"/>
          <w:sz w:val="14"/>
          <w:szCs w:val="14"/>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71" w:lineRule="exact"/>
        <w:rPr>
          <w:rFonts w:ascii="Times New Roman" w:cs="Times New Roman" w:eastAsia="Times New Roman" w:hAnsi="Times New Roman"/>
          <w:sz w:val="14"/>
          <w:szCs w:val="14"/>
          <w:color w:val="auto"/>
        </w:rPr>
      </w:pPr>
    </w:p>
    <w:p>
      <w:pPr>
        <w:ind w:right="20" w:firstLine="424"/>
        <w:spacing w:after="0" w:line="295" w:lineRule="auto"/>
        <w:tabs>
          <w:tab w:leader="none" w:pos="862"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Saturdays, Sundays, Holidays, etc</w:t>
      </w:r>
      <w:r>
        <w:rPr>
          <w:rFonts w:ascii="Times New Roman" w:cs="Times New Roman" w:eastAsia="Times New Roman" w:hAnsi="Times New Roman"/>
          <w:sz w:val="14"/>
          <w:szCs w:val="14"/>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54" w:lineRule="exact"/>
        <w:rPr>
          <w:rFonts w:ascii="Times New Roman" w:cs="Times New Roman" w:eastAsia="Times New Roman" w:hAnsi="Times New Roman"/>
          <w:sz w:val="14"/>
          <w:szCs w:val="14"/>
          <w:color w:val="auto"/>
        </w:rPr>
      </w:pPr>
    </w:p>
    <w:p>
      <w:pPr>
        <w:ind w:left="860" w:hanging="436"/>
        <w:spacing w:after="0"/>
        <w:tabs>
          <w:tab w:leader="none" w:pos="8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Authorized Shares</w:t>
      </w:r>
      <w:r>
        <w:rPr>
          <w:rFonts w:ascii="Times New Roman" w:cs="Times New Roman" w:eastAsia="Times New Roman" w:hAnsi="Times New Roman"/>
          <w:sz w:val="14"/>
          <w:szCs w:val="14"/>
          <w:color w:val="auto"/>
        </w:rPr>
        <w:t>.</w:t>
      </w:r>
    </w:p>
    <w:p>
      <w:pPr>
        <w:spacing w:after="0" w:line="118" w:lineRule="exact"/>
        <w:rPr>
          <w:sz w:val="20"/>
          <w:szCs w:val="20"/>
          <w:color w:val="auto"/>
        </w:rPr>
      </w:pPr>
    </w:p>
    <w:p>
      <w:pPr>
        <w:jc w:val="both"/>
        <w:ind w:firstLine="864"/>
        <w:spacing w:after="0" w:line="263" w:lineRule="auto"/>
        <w:rPr>
          <w:sz w:val="20"/>
          <w:szCs w:val="20"/>
          <w:color w:val="auto"/>
        </w:rPr>
      </w:pPr>
      <w:r>
        <w:rPr>
          <w:rFonts w:ascii="Times New Roman" w:cs="Times New Roman" w:eastAsia="Times New Roman" w:hAnsi="Times New Roman"/>
          <w:sz w:val="14"/>
          <w:szCs w:val="14"/>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88" w:lineRule="exact"/>
        <w:rPr>
          <w:sz w:val="20"/>
          <w:szCs w:val="20"/>
          <w:color w:val="auto"/>
        </w:rPr>
      </w:pPr>
    </w:p>
    <w:p>
      <w:pPr>
        <w:jc w:val="both"/>
        <w:ind w:firstLine="864"/>
        <w:spacing w:after="0" w:line="268" w:lineRule="auto"/>
        <w:rPr>
          <w:sz w:val="20"/>
          <w:szCs w:val="20"/>
          <w:color w:val="auto"/>
        </w:rPr>
      </w:pPr>
      <w:r>
        <w:rPr>
          <w:rFonts w:ascii="Times New Roman" w:cs="Times New Roman" w:eastAsia="Times New Roman" w:hAnsi="Times New Roman"/>
          <w:sz w:val="14"/>
          <w:szCs w:val="14"/>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1300"/>
          </w:cols>
          <w:pgMar w:left="300" w:top="832" w:right="299" w:bottom="1440" w:gutter="0" w:footer="0" w:header="0"/>
        </w:sectPr>
      </w:pPr>
    </w:p>
    <w:bookmarkStart w:id="58" w:name="page59"/>
    <w:bookmarkEnd w:id="58"/>
    <w:p>
      <w:pPr>
        <w:ind w:left="8"/>
        <w:spacing w:after="0" w:line="266" w:lineRule="auto"/>
        <w:rPr>
          <w:sz w:val="20"/>
          <w:szCs w:val="20"/>
          <w:color w:val="auto"/>
        </w:rPr>
      </w:pPr>
      <w:r>
        <w:rPr>
          <w:rFonts w:ascii="Times New Roman" w:cs="Times New Roman" w:eastAsia="Times New Roman" w:hAnsi="Times New Roman"/>
          <w:sz w:val="14"/>
          <w:szCs w:val="14"/>
          <w:color w:val="auto"/>
        </w:rPr>
        <w:t>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w:t>
      </w:r>
    </w:p>
    <w:p>
      <w:pPr>
        <w:spacing w:after="0" w:line="1" w:lineRule="exact"/>
        <w:rPr>
          <w:sz w:val="20"/>
          <w:szCs w:val="20"/>
          <w:color w:val="auto"/>
        </w:rPr>
      </w:pPr>
    </w:p>
    <w:p>
      <w:pPr>
        <w:ind w:left="8" w:hanging="8"/>
        <w:spacing w:after="0" w:line="285" w:lineRule="auto"/>
        <w:tabs>
          <w:tab w:leader="none" w:pos="265"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commercially reasonable efforts to obtain all such authorizations, exemptions or consents from any public regulatory body having jurisdiction thereof, as may be, necessary to enable the Company to perform its obligations under this Warrant.</w:t>
      </w:r>
    </w:p>
    <w:p>
      <w:pPr>
        <w:spacing w:after="0" w:line="61" w:lineRule="exact"/>
        <w:rPr>
          <w:sz w:val="20"/>
          <w:szCs w:val="20"/>
          <w:color w:val="auto"/>
        </w:rPr>
      </w:pPr>
    </w:p>
    <w:p>
      <w:pPr>
        <w:ind w:left="8" w:firstLine="864"/>
        <w:spacing w:after="0" w:line="295" w:lineRule="auto"/>
        <w:rPr>
          <w:sz w:val="20"/>
          <w:szCs w:val="20"/>
          <w:color w:val="auto"/>
        </w:rPr>
      </w:pPr>
      <w:r>
        <w:rPr>
          <w:rFonts w:ascii="Times New Roman" w:cs="Times New Roman" w:eastAsia="Times New Roman" w:hAnsi="Times New Roman"/>
          <w:sz w:val="14"/>
          <w:szCs w:val="14"/>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54" w:lineRule="exact"/>
        <w:rPr>
          <w:sz w:val="20"/>
          <w:szCs w:val="20"/>
          <w:color w:val="auto"/>
        </w:rPr>
      </w:pPr>
    </w:p>
    <w:p>
      <w:pPr>
        <w:jc w:val="both"/>
        <w:ind w:left="8" w:firstLine="424"/>
        <w:spacing w:after="0" w:line="261" w:lineRule="auto"/>
        <w:tabs>
          <w:tab w:leader="none" w:pos="87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All questions concerning the construction, validity, enforcement and interpretation of this Warrant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Warrant (whether brought against a party hereto or their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spacing w:after="0" w:line="252" w:lineRule="exact"/>
        <w:rPr>
          <w:rFonts w:ascii="Times New Roman" w:cs="Times New Roman" w:eastAsia="Times New Roman" w:hAnsi="Times New Roman"/>
          <w:sz w:val="14"/>
          <w:szCs w:val="14"/>
          <w:color w:val="auto"/>
        </w:rPr>
      </w:pPr>
    </w:p>
    <w:p>
      <w:pPr>
        <w:ind w:left="8" w:right="20" w:firstLine="424"/>
        <w:spacing w:after="0" w:line="309" w:lineRule="auto"/>
        <w:tabs>
          <w:tab w:leader="none" w:pos="872"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Restrictions</w:t>
      </w:r>
      <w:r>
        <w:rPr>
          <w:rFonts w:ascii="Times New Roman" w:cs="Times New Roman" w:eastAsia="Times New Roman" w:hAnsi="Times New Roman"/>
          <w:sz w:val="14"/>
          <w:szCs w:val="14"/>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44" w:lineRule="exact"/>
        <w:rPr>
          <w:rFonts w:ascii="Times New Roman" w:cs="Times New Roman" w:eastAsia="Times New Roman" w:hAnsi="Times New Roman"/>
          <w:sz w:val="14"/>
          <w:szCs w:val="14"/>
          <w:color w:val="auto"/>
        </w:rPr>
      </w:pPr>
    </w:p>
    <w:p>
      <w:pPr>
        <w:jc w:val="both"/>
        <w:ind w:left="8" w:firstLine="424"/>
        <w:spacing w:after="0" w:line="268" w:lineRule="auto"/>
        <w:tabs>
          <w:tab w:leader="none" w:pos="869"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Nonwaiver and Expenses</w:t>
      </w:r>
      <w:r>
        <w:rPr>
          <w:rFonts w:ascii="Times New Roman" w:cs="Times New Roman" w:eastAsia="Times New Roman" w:hAnsi="Times New Roman"/>
          <w:sz w:val="14"/>
          <w:szCs w:val="14"/>
          <w:color w:val="auto"/>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1308"/>
          </w:cols>
          <w:pgMar w:left="292" w:top="832" w:right="299" w:bottom="1440" w:gutter="0" w:footer="0" w:header="0"/>
        </w:sectPr>
      </w:pPr>
    </w:p>
    <w:bookmarkStart w:id="59" w:name="page60"/>
    <w:bookmarkEnd w:id="59"/>
    <w:p>
      <w:pPr>
        <w:ind w:left="8"/>
        <w:spacing w:after="0"/>
        <w:rPr>
          <w:sz w:val="20"/>
          <w:szCs w:val="20"/>
          <w:color w:val="auto"/>
        </w:rPr>
      </w:pPr>
      <w:r>
        <w:rPr>
          <w:rFonts w:ascii="Times New Roman" w:cs="Times New Roman" w:eastAsia="Times New Roman" w:hAnsi="Times New Roman"/>
          <w:sz w:val="14"/>
          <w:szCs w:val="14"/>
          <w:color w:val="auto"/>
        </w:rPr>
        <w:t>Holder in collecting any amounts due pursuant hereto or in otherwise enforcing any of its rights, powers or remedies hereunder.</w:t>
      </w:r>
    </w:p>
    <w:p>
      <w:pPr>
        <w:spacing w:after="0" w:line="118" w:lineRule="exact"/>
        <w:rPr>
          <w:sz w:val="20"/>
          <w:szCs w:val="20"/>
          <w:color w:val="auto"/>
        </w:rPr>
      </w:pPr>
    </w:p>
    <w:p>
      <w:pPr>
        <w:jc w:val="both"/>
        <w:ind w:left="8" w:firstLine="424"/>
        <w:spacing w:after="0" w:line="261" w:lineRule="auto"/>
        <w:tabs>
          <w:tab w:leader="none" w:pos="869"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3 Hamilton Landing, Suite 160, Novato, CA 94949, Attention: Dr. Raluca Dinu, email address: [***],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w:t>
      </w:r>
    </w:p>
    <w:p>
      <w:pPr>
        <w:jc w:val="both"/>
        <w:ind w:left="8" w:hanging="8"/>
        <w:spacing w:after="0" w:line="265" w:lineRule="auto"/>
        <w:tabs>
          <w:tab w:leader="none" w:pos="224"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next Trading Day after the time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 To the extent that any notice provided hereunder constitutes, or contains, material, non-public information regarding the Company or any Subsidiaries, the Company shall simultaneously file such notice with the Commission pursuant to a Current Report on Form 8-K.</w:t>
      </w:r>
    </w:p>
    <w:p>
      <w:pPr>
        <w:spacing w:after="0" w:line="73" w:lineRule="exact"/>
        <w:rPr>
          <w:rFonts w:ascii="Times New Roman" w:cs="Times New Roman" w:eastAsia="Times New Roman" w:hAnsi="Times New Roman"/>
          <w:sz w:val="14"/>
          <w:szCs w:val="14"/>
          <w:color w:val="auto"/>
        </w:rPr>
      </w:pPr>
    </w:p>
    <w:p>
      <w:pPr>
        <w:jc w:val="both"/>
        <w:ind w:left="8" w:right="20" w:firstLine="424"/>
        <w:spacing w:after="0" w:line="275" w:lineRule="auto"/>
        <w:tabs>
          <w:tab w:leader="none" w:pos="864"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Limitation of Liability</w:t>
      </w:r>
      <w:r>
        <w:rPr>
          <w:rFonts w:ascii="Times New Roman" w:cs="Times New Roman" w:eastAsia="Times New Roman" w:hAnsi="Times New Roman"/>
          <w:sz w:val="14"/>
          <w:szCs w:val="14"/>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76" w:lineRule="exact"/>
        <w:rPr>
          <w:rFonts w:ascii="Times New Roman" w:cs="Times New Roman" w:eastAsia="Times New Roman" w:hAnsi="Times New Roman"/>
          <w:sz w:val="14"/>
          <w:szCs w:val="14"/>
          <w:color w:val="auto"/>
        </w:rPr>
      </w:pPr>
    </w:p>
    <w:p>
      <w:pPr>
        <w:jc w:val="both"/>
        <w:ind w:left="8" w:right="20" w:firstLine="424"/>
        <w:spacing w:after="0" w:line="275" w:lineRule="auto"/>
        <w:tabs>
          <w:tab w:leader="none" w:pos="864"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Remedies</w:t>
      </w:r>
      <w:r>
        <w:rPr>
          <w:rFonts w:ascii="Times New Roman" w:cs="Times New Roman" w:eastAsia="Times New Roman" w:hAnsi="Times New Roman"/>
          <w:sz w:val="14"/>
          <w:szCs w:val="14"/>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67" w:lineRule="exact"/>
        <w:rPr>
          <w:rFonts w:ascii="Times New Roman" w:cs="Times New Roman" w:eastAsia="Times New Roman" w:hAnsi="Times New Roman"/>
          <w:sz w:val="14"/>
          <w:szCs w:val="14"/>
          <w:color w:val="auto"/>
        </w:rPr>
      </w:pPr>
    </w:p>
    <w:p>
      <w:pPr>
        <w:jc w:val="both"/>
        <w:ind w:left="8" w:firstLine="424"/>
        <w:spacing w:after="0" w:line="282" w:lineRule="auto"/>
        <w:tabs>
          <w:tab w:leader="none" w:pos="869"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Successors and Assigns</w:t>
      </w:r>
      <w:r>
        <w:rPr>
          <w:rFonts w:ascii="Times New Roman" w:cs="Times New Roman" w:eastAsia="Times New Roman" w:hAnsi="Times New Roman"/>
          <w:sz w:val="14"/>
          <w:szCs w:val="14"/>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62" w:lineRule="exact"/>
        <w:rPr>
          <w:rFonts w:ascii="Times New Roman" w:cs="Times New Roman" w:eastAsia="Times New Roman" w:hAnsi="Times New Roman"/>
          <w:sz w:val="14"/>
          <w:szCs w:val="14"/>
          <w:color w:val="auto"/>
        </w:rPr>
      </w:pPr>
    </w:p>
    <w:p>
      <w:pPr>
        <w:ind w:left="8" w:firstLine="424"/>
        <w:spacing w:after="0" w:line="295" w:lineRule="auto"/>
        <w:tabs>
          <w:tab w:leader="none" w:pos="864"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Amendment</w:t>
      </w:r>
      <w:r>
        <w:rPr>
          <w:rFonts w:ascii="Times New Roman" w:cs="Times New Roman" w:eastAsia="Times New Roman" w:hAnsi="Times New Roman"/>
          <w:sz w:val="14"/>
          <w:szCs w:val="14"/>
          <w:color w:val="auto"/>
        </w:rPr>
        <w:t>. Other than Section 2(e) above and this Section 5(l), which may not be amended, modified or waived, this Warrant may be modified or amended or the provisions hereof waived with the written consent of the Company, on the one hand, and the Holder or the beneficial owner of this Warrant, on the other hand.</w:t>
      </w:r>
    </w:p>
    <w:p>
      <w:pPr>
        <w:spacing w:after="0" w:line="200" w:lineRule="exact"/>
        <w:rPr>
          <w:sz w:val="20"/>
          <w:szCs w:val="20"/>
          <w:color w:val="auto"/>
        </w:rPr>
      </w:pPr>
    </w:p>
    <w:p>
      <w:pPr>
        <w:spacing w:after="0" w:line="38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1308"/>
          </w:cols>
          <w:pgMar w:left="292" w:top="832" w:right="299" w:bottom="1440" w:gutter="0" w:footer="0" w:header="0"/>
        </w:sectPr>
      </w:pPr>
    </w:p>
    <w:bookmarkStart w:id="60" w:name="page61"/>
    <w:bookmarkEnd w:id="60"/>
    <w:p>
      <w:pPr>
        <w:jc w:val="both"/>
        <w:ind w:firstLine="424"/>
        <w:spacing w:after="0" w:line="275" w:lineRule="auto"/>
        <w:tabs>
          <w:tab w:leader="none" w:pos="856"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76" w:lineRule="exact"/>
        <w:rPr>
          <w:rFonts w:ascii="Times New Roman" w:cs="Times New Roman" w:eastAsia="Times New Roman" w:hAnsi="Times New Roman"/>
          <w:sz w:val="14"/>
          <w:szCs w:val="14"/>
          <w:color w:val="auto"/>
        </w:rPr>
      </w:pPr>
    </w:p>
    <w:p>
      <w:pPr>
        <w:ind w:left="860" w:hanging="436"/>
        <w:spacing w:after="0"/>
        <w:tabs>
          <w:tab w:leader="none" w:pos="8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Headings</w:t>
      </w:r>
      <w:r>
        <w:rPr>
          <w:rFonts w:ascii="Times New Roman" w:cs="Times New Roman" w:eastAsia="Times New Roman" w:hAnsi="Times New Roman"/>
          <w:sz w:val="14"/>
          <w:szCs w:val="14"/>
          <w:color w:val="auto"/>
        </w:rPr>
        <w:t>. The headings used in this Warrant are for the convenience of reference only and shall not, for any purpose, be deemed a part of this Warrant.</w:t>
      </w:r>
    </w:p>
    <w:p>
      <w:pPr>
        <w:spacing w:after="0" w:line="118" w:lineRule="exact"/>
        <w:rPr>
          <w:rFonts w:ascii="Times New Roman" w:cs="Times New Roman" w:eastAsia="Times New Roman" w:hAnsi="Times New Roman"/>
          <w:sz w:val="14"/>
          <w:szCs w:val="14"/>
          <w:color w:val="auto"/>
        </w:rPr>
      </w:pPr>
    </w:p>
    <w:p>
      <w:pPr>
        <w:ind w:firstLine="424"/>
        <w:spacing w:after="0" w:line="295" w:lineRule="auto"/>
        <w:tabs>
          <w:tab w:leader="none" w:pos="861"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Warrant Agency Agreement</w:t>
      </w:r>
      <w:r>
        <w:rPr>
          <w:rFonts w:ascii="Times New Roman" w:cs="Times New Roman" w:eastAsia="Times New Roman" w:hAnsi="Times New Roman"/>
          <w:sz w:val="14"/>
          <w:szCs w:val="14"/>
          <w:color w:val="auto"/>
        </w:rPr>
        <w:t>. If this Warrant is held in global form through DTC (or any successor depositary), this Warrant is issued subject to the Warrant Agency Agreement. To the extent any provision of this Warrant conflicts with the express provisions of the Warrant Agency Agreement, the provisions of this Warrant shall govern and be controlling.</w:t>
      </w:r>
    </w:p>
    <w:p>
      <w:pPr>
        <w:spacing w:after="0" w:line="36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1300"/>
          </w:cols>
          <w:pgMar w:left="300" w:top="832" w:right="299" w:bottom="1440" w:gutter="0" w:footer="0" w:header="0"/>
        </w:sectPr>
      </w:pPr>
    </w:p>
    <w:bookmarkStart w:id="61" w:name="page62"/>
    <w:bookmarkEnd w:id="61"/>
    <w:p>
      <w:pPr>
        <w:ind w:left="380"/>
        <w:spacing w:after="0"/>
        <w:rPr>
          <w:sz w:val="20"/>
          <w:szCs w:val="20"/>
          <w:color w:val="auto"/>
        </w:rPr>
      </w:pPr>
      <w:r>
        <w:rPr>
          <w:rFonts w:ascii="Times New Roman" w:cs="Times New Roman" w:eastAsia="Times New Roman" w:hAnsi="Times New Roman"/>
          <w:sz w:val="14"/>
          <w:szCs w:val="14"/>
          <w:color w:val="auto"/>
        </w:rPr>
        <w:t>IN WITNESS WHEREOF, the Company has caused this Warrant to be executed by its officer thereunto duly authorized as of the date first above indicated.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QT IMAGING HOLDINGS, INC.</w:t>
      </w:r>
    </w:p>
    <w:p>
      <w:pPr>
        <w:spacing w:after="0" w:line="22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4"/>
          <w:szCs w:val="14"/>
          <w:color w:val="auto"/>
        </w:rPr>
        <w:t>By:</w:t>
        <w:tab/>
        <w:t>/s/ Dr. Raluca Dinu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-4445</wp:posOffset>
            </wp:positionV>
            <wp:extent cx="79756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97560" cy="5715"/>
                    </a:xfrm>
                    <a:prstGeom prst="rect">
                      <a:avLst/>
                    </a:prstGeom>
                    <a:noFill/>
                  </pic:spPr>
                </pic:pic>
              </a:graphicData>
            </a:graphic>
          </wp:anchor>
        </w:drawing>
      </w:r>
    </w:p>
    <w:p>
      <w:pPr>
        <w:spacing w:after="0" w:line="2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color w:val="auto"/>
        </w:rPr>
        <w:t>Name:</w:t>
        <w:tab/>
        <w:t>Dr. Raluca Dinu</w:t>
      </w:r>
    </w:p>
    <w:p>
      <w:pPr>
        <w:spacing w:after="0" w:line="4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Title:</w:t>
        <w:tab/>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Pre-Funded Common Stock Purchase Warrant</w:t>
      </w:r>
      <w:r>
        <w:rPr>
          <w:rFonts w:ascii="Times New Roman" w:cs="Times New Roman" w:eastAsia="Times New Roman" w:hAnsi="Times New Roman"/>
          <w:sz w:val="14"/>
          <w:szCs w:val="14"/>
          <w:color w:val="auto"/>
        </w:rPr>
        <w:t>]</w:t>
      </w:r>
    </w:p>
    <w:p>
      <w:pPr>
        <w:sectPr>
          <w:pgSz w:w="11900" w:h="16838" w:orient="portrait"/>
          <w:cols w:equalWidth="0" w:num="1">
            <w:col w:w="10119"/>
          </w:cols>
          <w:pgMar w:left="340" w:top="994" w:right="1440"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4"/>
          <w:szCs w:val="14"/>
          <w:b w:val="1"/>
          <w:bCs w:val="1"/>
          <w:color w:val="auto"/>
        </w:rPr>
        <w:t>NOTICE OF EXERCISE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QT IMAGING HOLDINGS, INC.</w:t>
      </w:r>
    </w:p>
    <w:p>
      <w:pPr>
        <w:spacing w:after="0" w:line="154" w:lineRule="exact"/>
        <w:rPr>
          <w:sz w:val="20"/>
          <w:szCs w:val="20"/>
          <w:color w:val="auto"/>
        </w:rPr>
      </w:pPr>
    </w:p>
    <w:p>
      <w:pPr>
        <w:ind w:firstLine="424"/>
        <w:spacing w:after="0" w:line="309" w:lineRule="auto"/>
        <w:tabs>
          <w:tab w:leader="none" w:pos="773"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80" w:lineRule="exact"/>
        <w:rPr>
          <w:rFonts w:ascii="Times New Roman" w:cs="Times New Roman" w:eastAsia="Times New Roman" w:hAnsi="Times New Roman"/>
          <w:sz w:val="14"/>
          <w:szCs w:val="14"/>
          <w:color w:val="auto"/>
        </w:rPr>
      </w:pPr>
    </w:p>
    <w:p>
      <w:pPr>
        <w:ind w:left="740" w:hanging="316"/>
        <w:spacing w:after="0"/>
        <w:tabs>
          <w:tab w:leader="none" w:pos="7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 shall take the form of (check applicable box):</w:t>
      </w:r>
    </w:p>
    <w:p>
      <w:pPr>
        <w:spacing w:after="0" w:line="1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 ] lawful money of the United States; or</w:t>
      </w:r>
    </w:p>
    <w:p>
      <w:pPr>
        <w:spacing w:after="0" w:line="154" w:lineRule="exact"/>
        <w:rPr>
          <w:sz w:val="20"/>
          <w:szCs w:val="20"/>
          <w:color w:val="auto"/>
        </w:rPr>
      </w:pPr>
    </w:p>
    <w:p>
      <w:pPr>
        <w:ind w:left="860" w:hanging="4"/>
        <w:spacing w:after="0" w:line="295" w:lineRule="auto"/>
        <w:tabs>
          <w:tab w:leader="none" w:pos="948"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99" w:lineRule="exact"/>
        <w:rPr>
          <w:rFonts w:ascii="Times New Roman" w:cs="Times New Roman" w:eastAsia="Times New Roman" w:hAnsi="Times New Roman"/>
          <w:sz w:val="14"/>
          <w:szCs w:val="14"/>
          <w:color w:val="auto"/>
        </w:rPr>
      </w:pPr>
    </w:p>
    <w:p>
      <w:pPr>
        <w:ind w:left="740" w:hanging="316"/>
        <w:spacing w:after="0"/>
        <w:tabs>
          <w:tab w:leader="none" w:pos="7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Please issue said Warrant Shares in the name of the undersigned or in such other name as is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206375</wp:posOffset>
            </wp:positionV>
            <wp:extent cx="914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Warrant Shares shall be delivered to the following DWAC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223520</wp:posOffset>
            </wp:positionV>
            <wp:extent cx="91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566420</wp:posOffset>
            </wp:positionV>
            <wp:extent cx="91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[SIGNATURE OF HOLDER]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332105</wp:posOffset>
            </wp:positionV>
            <wp:extent cx="914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i w:val="1"/>
          <w:iCs w:val="1"/>
          <w:color w:val="auto"/>
        </w:rPr>
        <w:t>Signature of Authorized Signatory of Investing Entity</w:t>
      </w:r>
      <w:r>
        <w:rPr>
          <w:rFonts w:ascii="Times New Roman" w:cs="Times New Roman" w:eastAsia="Times New Roman" w:hAnsi="Times New Roman"/>
          <w:sz w:val="14"/>
          <w:szCs w:val="14"/>
          <w:color w:val="auto"/>
        </w:rPr>
        <w: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109220</wp:posOffset>
            </wp:positionV>
            <wp:extent cx="914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109220</wp:posOffset>
            </wp:positionV>
            <wp:extent cx="914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3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wp:posOffset>
            </wp:positionH>
            <wp:positionV relativeFrom="paragraph">
              <wp:posOffset>-4445</wp:posOffset>
            </wp:positionV>
            <wp:extent cx="914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ectPr>
          <w:pgSz w:w="11900" w:h="16838" w:orient="portrait"/>
          <w:cols w:equalWidth="0" w:num="1">
            <w:col w:w="11300"/>
          </w:cols>
          <w:pgMar w:left="300" w:top="992" w:right="299" w:bottom="1440" w:gutter="0" w:footer="0" w:header="0"/>
        </w:sectPr>
      </w:pPr>
    </w:p>
    <w:bookmarkStart w:id="63" w:name="page64"/>
    <w:bookmarkEnd w:id="63"/>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EXHIBIT A</w:t>
      </w:r>
    </w:p>
    <w:p>
      <w:pPr>
        <w:spacing w:after="0" w:line="15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ASSIGNMENT FORM</w:t>
      </w:r>
    </w:p>
    <w:p>
      <w:pPr>
        <w:spacing w:after="0" w:line="152" w:lineRule="exact"/>
        <w:rPr>
          <w:sz w:val="20"/>
          <w:szCs w:val="20"/>
          <w:color w:val="auto"/>
        </w:rPr>
      </w:pPr>
    </w:p>
    <w:p>
      <w:pPr>
        <w:ind w:left="420" w:right="1059"/>
        <w:spacing w:after="0" w:line="491" w:lineRule="auto"/>
        <w:rPr>
          <w:sz w:val="20"/>
          <w:szCs w:val="20"/>
          <w:color w:val="auto"/>
        </w:rPr>
      </w:pPr>
      <w:r>
        <w:rPr>
          <w:rFonts w:ascii="Times New Roman" w:cs="Times New Roman" w:eastAsia="Times New Roman" w:hAnsi="Times New Roman"/>
          <w:sz w:val="14"/>
          <w:szCs w:val="14"/>
          <w:i w:val="1"/>
          <w:iCs w:val="1"/>
          <w:color w:val="auto"/>
        </w:rPr>
        <w:t xml:space="preserve">(To assign the foregoing Warrant, execute this form and supply required information. Do not use this form to exercise the Warrant to purchase shares.) </w:t>
      </w:r>
      <w:r>
        <w:rPr>
          <w:rFonts w:ascii="Times New Roman" w:cs="Times New Roman" w:eastAsia="Times New Roman" w:hAnsi="Times New Roman"/>
          <w:sz w:val="14"/>
          <w:szCs w:val="14"/>
          <w:color w:val="auto"/>
        </w:rPr>
        <w:t>FOR VALUE RECEIVED, the foregoing Warrant and all rights evidenced thereby are hereby assigned to</w:t>
      </w:r>
    </w:p>
    <w:p>
      <w:pPr>
        <w:spacing w:after="0"/>
        <w:rPr>
          <w:sz w:val="20"/>
          <w:szCs w:val="20"/>
          <w:color w:val="auto"/>
        </w:rPr>
      </w:pPr>
      <w:r>
        <w:rPr>
          <w:rFonts w:ascii="Times New Roman" w:cs="Times New Roman" w:eastAsia="Times New Roman" w:hAnsi="Times New Roman"/>
          <w:sz w:val="14"/>
          <w:szCs w:val="14"/>
          <w:color w:val="auto"/>
        </w:rPr>
        <w:t>Name:</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(Please Print)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Address:</w:t>
      </w:r>
    </w:p>
    <w:p>
      <w:pPr>
        <w:spacing w:after="0" w:line="1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(Please Print)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-4445</wp:posOffset>
            </wp:positionV>
            <wp:extent cx="914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-4445</wp:posOffset>
            </wp:positionV>
            <wp:extent cx="914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_______________ __, 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Holder’s Signature: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Holder’s Address:</w:t>
      </w:r>
    </w:p>
    <w:p>
      <w:pPr>
        <w:sectPr>
          <w:pgSz w:w="11900" w:h="16838" w:orient="portrait"/>
          <w:cols w:equalWidth="0" w:num="1">
            <w:col w:w="10159"/>
          </w:cols>
          <w:pgMar w:left="300" w:top="992" w:right="1440"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2"/>
          <w:szCs w:val="12"/>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 GLOBAL WARRANT CERTIFICATE OF</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WARRANT TO COMMON STOCK</w:t>
      </w:r>
    </w:p>
    <w:p>
      <w:pPr>
        <w:spacing w:after="0" w:line="9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2"/>
          <w:szCs w:val="12"/>
          <w:b w:val="1"/>
          <w:bCs w:val="1"/>
          <w:color w:val="auto"/>
        </w:rPr>
        <w:t>UNLESS THIS CERTIFICATE IS PRESENTED BY AN AUTHORIZED REPRESENTATIVE OF THE DEPOSITORY TRUST COMPANY, A NEW YORK CORPORATION (“DTC”), TO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ectPr>
          <w:pgSz w:w="11900" w:h="16838" w:orient="portrait"/>
          <w:cols w:equalWidth="0" w:num="1">
            <w:col w:w="11300"/>
          </w:cols>
          <w:pgMar w:left="300" w:top="134" w:right="299" w:bottom="1440" w:gutter="0" w:footer="0" w:header="0"/>
        </w:sectPr>
      </w:pP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Certificate No.: 1</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CUSIP No.: 746962 125</w:t>
      </w:r>
    </w:p>
    <w:p>
      <w:pPr>
        <w:spacing w:after="0" w:line="170" w:lineRule="exact"/>
        <w:rPr>
          <w:sz w:val="20"/>
          <w:szCs w:val="20"/>
          <w:color w:val="auto"/>
        </w:rPr>
      </w:pPr>
    </w:p>
    <w:p>
      <w:pPr>
        <w:sectPr>
          <w:pgSz w:w="11900" w:h="16838" w:orient="portrait"/>
          <w:cols w:equalWidth="0" w:num="2">
            <w:col w:w="9380" w:space="720"/>
            <w:col w:w="1200"/>
          </w:cols>
          <w:pgMar w:left="300" w:top="134" w:right="299" w:bottom="1440" w:gutter="0" w:footer="0" w:header="0"/>
          <w:type w:val="continuous"/>
        </w:sectPr>
      </w:pPr>
    </w:p>
    <w:p>
      <w:pPr>
        <w:spacing w:after="0"/>
        <w:rPr>
          <w:sz w:val="20"/>
          <w:szCs w:val="20"/>
          <w:color w:val="auto"/>
        </w:rPr>
      </w:pPr>
      <w:r>
        <w:rPr>
          <w:rFonts w:ascii="Times New Roman" w:cs="Times New Roman" w:eastAsia="Times New Roman" w:hAnsi="Times New Roman"/>
          <w:sz w:val="11"/>
          <w:szCs w:val="11"/>
          <w:color w:val="auto"/>
        </w:rPr>
        <w:t>Number of Warrants: 800,000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Issue Date: May 18, 2026</w:t>
      </w:r>
    </w:p>
    <w:p>
      <w:pPr>
        <w:spacing w:after="0" w:line="200" w:lineRule="exact"/>
        <w:rPr>
          <w:sz w:val="20"/>
          <w:szCs w:val="20"/>
          <w:color w:val="auto"/>
        </w:rPr>
      </w:pPr>
    </w:p>
    <w:p>
      <w:pPr>
        <w:sectPr>
          <w:pgSz w:w="11900" w:h="16838" w:orient="portrait"/>
          <w:cols w:equalWidth="0" w:num="2">
            <w:col w:w="9320" w:space="720"/>
            <w:col w:w="1260"/>
          </w:cols>
          <w:pgMar w:left="300" w:top="134" w:right="299" w:bottom="1440" w:gutter="0" w:footer="0" w:header="0"/>
          <w:type w:val="continuous"/>
        </w:sectPr>
      </w:pPr>
    </w:p>
    <w:p>
      <w:pPr>
        <w:spacing w:after="0" w:line="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QT IMAGING HOLDINGS,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GLOBAL WARRANT CERTIFICATE</w:t>
      </w:r>
    </w:p>
    <w:p>
      <w:pPr>
        <w:spacing w:after="0" w:line="99" w:lineRule="exact"/>
        <w:rPr>
          <w:sz w:val="20"/>
          <w:szCs w:val="20"/>
          <w:color w:val="auto"/>
        </w:rPr>
      </w:pPr>
    </w:p>
    <w:p>
      <w:pPr>
        <w:ind w:right="100" w:firstLine="294"/>
        <w:spacing w:after="0" w:line="262" w:lineRule="auto"/>
        <w:rPr>
          <w:sz w:val="20"/>
          <w:szCs w:val="20"/>
          <w:color w:val="auto"/>
        </w:rPr>
      </w:pPr>
      <w:r>
        <w:rPr>
          <w:rFonts w:ascii="Times New Roman" w:cs="Times New Roman" w:eastAsia="Times New Roman" w:hAnsi="Times New Roman"/>
          <w:sz w:val="12"/>
          <w:szCs w:val="12"/>
          <w:color w:val="auto"/>
        </w:rPr>
        <w:t>This certifies that CEDE &amp; CO., or its registered assigns, is the registered owner of the number of Pre-Funded Warrants set forth above (the “</w:t>
      </w:r>
      <w:r>
        <w:rPr>
          <w:rFonts w:ascii="Times New Roman" w:cs="Times New Roman" w:eastAsia="Times New Roman" w:hAnsi="Times New Roman"/>
          <w:sz w:val="12"/>
          <w:szCs w:val="12"/>
          <w:b w:val="1"/>
          <w:bCs w:val="1"/>
          <w:color w:val="auto"/>
        </w:rPr>
        <w:t>Warrants</w:t>
      </w:r>
      <w:r>
        <w:rPr>
          <w:rFonts w:ascii="Times New Roman" w:cs="Times New Roman" w:eastAsia="Times New Roman" w:hAnsi="Times New Roman"/>
          <w:sz w:val="12"/>
          <w:szCs w:val="12"/>
          <w:color w:val="auto"/>
        </w:rPr>
        <w:t>”). Each Warrant entitles its registered holder to purchase from QT Imaging Holdings, Inc., a Delaware corporation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at any time until this Warrant is exercised in full one share of Common Stock, par value $0.0001 per share, of the Company (each, a “</w:t>
      </w:r>
      <w:r>
        <w:rPr>
          <w:rFonts w:ascii="Times New Roman" w:cs="Times New Roman" w:eastAsia="Times New Roman" w:hAnsi="Times New Roman"/>
          <w:sz w:val="12"/>
          <w:szCs w:val="12"/>
          <w:b w:val="1"/>
          <w:bCs w:val="1"/>
          <w:color w:val="auto"/>
        </w:rPr>
        <w:t>Warrant Share</w:t>
      </w:r>
      <w:r>
        <w:rPr>
          <w:rFonts w:ascii="Times New Roman" w:cs="Times New Roman" w:eastAsia="Times New Roman" w:hAnsi="Times New Roman"/>
          <w:sz w:val="12"/>
          <w:szCs w:val="12"/>
          <w:color w:val="auto"/>
        </w:rPr>
        <w:t>” and collectively, the “</w:t>
      </w:r>
      <w:r>
        <w:rPr>
          <w:rFonts w:ascii="Times New Roman" w:cs="Times New Roman" w:eastAsia="Times New Roman" w:hAnsi="Times New Roman"/>
          <w:sz w:val="12"/>
          <w:szCs w:val="12"/>
          <w:b w:val="1"/>
          <w:bCs w:val="1"/>
          <w:color w:val="auto"/>
        </w:rPr>
        <w:t>Warrant Shares</w:t>
      </w:r>
      <w:r>
        <w:rPr>
          <w:rFonts w:ascii="Times New Roman" w:cs="Times New Roman" w:eastAsia="Times New Roman" w:hAnsi="Times New Roman"/>
          <w:sz w:val="12"/>
          <w:szCs w:val="12"/>
          <w:color w:val="auto"/>
        </w:rPr>
        <w:t xml:space="preserve">”), at an exercise price of $0.0001 per share, subject to possible adjustments as provided in the Warrant Agency Agreement (as defined below) and the Warrant Certificate in the form of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xml:space="preserve"> attached to this Global Warrant Certificate (the “</w:t>
      </w:r>
      <w:r>
        <w:rPr>
          <w:rFonts w:ascii="Times New Roman" w:cs="Times New Roman" w:eastAsia="Times New Roman" w:hAnsi="Times New Roman"/>
          <w:sz w:val="12"/>
          <w:szCs w:val="12"/>
          <w:b w:val="1"/>
          <w:bCs w:val="1"/>
          <w:color w:val="auto"/>
        </w:rPr>
        <w:t>Warrant Certificate</w:t>
      </w:r>
      <w:r>
        <w:rPr>
          <w:rFonts w:ascii="Times New Roman" w:cs="Times New Roman" w:eastAsia="Times New Roman" w:hAnsi="Times New Roman"/>
          <w:sz w:val="12"/>
          <w:szCs w:val="12"/>
          <w:color w:val="auto"/>
        </w:rPr>
        <w:t>”).</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The terms and conditions of the Warrants and the rights and obligations of the holder of this Global Warrant Certificate are set forth in the Warrant Certificate and the Warrant Agency Agreement, dated as of May 15, 2026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Warrant Agency Agreement</w:t>
      </w:r>
      <w:r>
        <w:rPr>
          <w:rFonts w:ascii="Times New Roman" w:cs="Times New Roman" w:eastAsia="Times New Roman" w:hAnsi="Times New Roman"/>
          <w:sz w:val="11"/>
          <w:szCs w:val="11"/>
          <w:color w:val="auto"/>
        </w:rPr>
        <w:t>”) between the Company and Continental Stock Transfer &amp; Trust Company (the “</w:t>
      </w:r>
      <w:r>
        <w:rPr>
          <w:rFonts w:ascii="Times New Roman" w:cs="Times New Roman" w:eastAsia="Times New Roman" w:hAnsi="Times New Roman"/>
          <w:sz w:val="11"/>
          <w:szCs w:val="11"/>
          <w:b w:val="1"/>
          <w:bCs w:val="1"/>
          <w:color w:val="auto"/>
        </w:rPr>
        <w:t>Warrant Agent</w:t>
      </w:r>
      <w:r>
        <w:rPr>
          <w:rFonts w:ascii="Times New Roman" w:cs="Times New Roman" w:eastAsia="Times New Roman" w:hAnsi="Times New Roman"/>
          <w:sz w:val="11"/>
          <w:szCs w:val="11"/>
          <w:color w:val="auto"/>
        </w:rPr>
        <w:t>”), which Warrant Certificate and Warrant Agency Agreement are each hereby incorporated by reference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in and made a part of this Global Warrant Certificate. A copy of the Warrant Agency Agreement is available for inspection during business hours at the office of the Warrant Agent. Defined terms used in this Global Warrant Certificate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but not defined herein shall have the meanings given to them in the Warrant Certificate or Warrant Agency Agreement. In the event of any discrepancy or inconsistency between the terms and conditions of the Warrant Certificate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Warrant Agency Agreement, the terms and conditions of the Warrant Certificate shall prevail, govern and control.</w:t>
      </w:r>
    </w:p>
    <w:p>
      <w:pPr>
        <w:spacing w:after="0" w:line="103" w:lineRule="exact"/>
        <w:rPr>
          <w:sz w:val="20"/>
          <w:szCs w:val="20"/>
          <w:color w:val="auto"/>
        </w:rPr>
      </w:pPr>
    </w:p>
    <w:p>
      <w:pPr>
        <w:ind w:right="80" w:firstLine="294"/>
        <w:spacing w:after="0" w:line="265" w:lineRule="auto"/>
        <w:rPr>
          <w:sz w:val="20"/>
          <w:szCs w:val="20"/>
          <w:color w:val="auto"/>
        </w:rPr>
      </w:pPr>
      <w:r>
        <w:rPr>
          <w:rFonts w:ascii="Times New Roman" w:cs="Times New Roman" w:eastAsia="Times New Roman" w:hAnsi="Times New Roman"/>
          <w:sz w:val="12"/>
          <w:szCs w:val="12"/>
          <w:color w:val="auto"/>
        </w:rPr>
        <w:t>The Company and the Warrant Agent may deem and treat the registered Holder(s) hereof as the absolute owner(s) of this Global Warrant Certificate (notwithstanding any notation of ownership or other writing hereon made by anyone), for the purpose of any exercise hereof, of any distribution to the holder(s) hereof, and for all other purposes, and neither the Company nor the Warrant Agent shall be affected by any notice to the contrary. Neither the Warrants nor this Global Warrant Certificate entitles any holder hereof to any rights of a holder of Common Stock.</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This Global Warrant Certificate shall not be valid or obligatory for any purpose until it shall have been countersigned by an authorized signatory of the Warrant Agent.</w:t>
      </w:r>
    </w:p>
    <w:p>
      <w:pPr>
        <w:spacing w:after="0" w:line="3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[Signature Page Follows]</w:t>
      </w:r>
    </w:p>
    <w:p>
      <w:pPr>
        <w:sectPr>
          <w:pgSz w:w="11900" w:h="16838" w:orient="portrait"/>
          <w:cols w:equalWidth="0" w:num="1">
            <w:col w:w="11300"/>
          </w:cols>
          <w:pgMar w:left="300" w:top="134" w:right="299" w:bottom="1440" w:gutter="0" w:footer="0" w:header="0"/>
          <w:type w:val="continuous"/>
        </w:sectPr>
      </w:pPr>
    </w:p>
    <w:bookmarkStart w:id="65" w:name="page66"/>
    <w:bookmarkEnd w:id="65"/>
    <w:p>
      <w:pPr>
        <w:ind w:left="280"/>
        <w:spacing w:after="0"/>
        <w:rPr>
          <w:sz w:val="20"/>
          <w:szCs w:val="20"/>
          <w:color w:val="auto"/>
        </w:rPr>
      </w:pPr>
      <w:r>
        <w:rPr>
          <w:rFonts w:ascii="Times New Roman" w:cs="Times New Roman" w:eastAsia="Times New Roman" w:hAnsi="Times New Roman"/>
          <w:sz w:val="11"/>
          <w:szCs w:val="11"/>
          <w:color w:val="auto"/>
        </w:rPr>
        <w:t>IN WITNESS WHEREOF, the parties hereto have caused this Global Warrant Certificate to be duly executed as of the date first written above.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QT IMAGING HOLDINGS, INC.</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u w:val="single" w:color="auto"/>
          <w:color w:val="auto"/>
        </w:rPr>
        <w:t>/s/ Dr. Raluca Dinu</w:t>
      </w:r>
    </w:p>
    <w:p>
      <w:pPr>
        <w:spacing w:after="0" w:line="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auto"/>
        </w:rPr>
        <w:t>Name: Dr. Raluca Dinu</w:t>
      </w:r>
    </w:p>
    <w:p>
      <w:pPr>
        <w:spacing w:after="0" w:line="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Title: Chief Executive Officer</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Countersigned: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CONTINENTAL STOCK TRANSFER &amp; TRUST COMPANY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Warrant Agent</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u w:val="single" w:color="auto"/>
          <w:color w:val="auto"/>
        </w:rPr>
        <w:t>/s/ Henry Farrell</w:t>
      </w:r>
    </w:p>
    <w:p>
      <w:pPr>
        <w:spacing w:after="0" w:line="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auto"/>
        </w:rPr>
        <w:t>Name: Henry Farrell</w:t>
      </w:r>
    </w:p>
    <w:p>
      <w:pPr>
        <w:spacing w:after="0" w:line="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Title: Vice President</w:t>
      </w:r>
    </w:p>
    <w:p>
      <w:pPr>
        <w:sectPr>
          <w:pgSz w:w="11900" w:h="16838" w:orient="portrait"/>
          <w:cols w:equalWidth="0" w:num="1">
            <w:col w:w="10159"/>
          </w:cols>
          <w:pgMar w:left="300" w:top="993" w:right="1440"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4"/>
          <w:szCs w:val="14"/>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WARRANT AGENCY AGREEMENT</w:t>
      </w:r>
    </w:p>
    <w:p>
      <w:pPr>
        <w:spacing w:after="0" w:line="120" w:lineRule="exact"/>
        <w:rPr>
          <w:sz w:val="20"/>
          <w:szCs w:val="20"/>
          <w:color w:val="auto"/>
        </w:rPr>
      </w:pPr>
    </w:p>
    <w:p>
      <w:pPr>
        <w:ind w:left="8" w:right="500" w:firstLine="432"/>
        <w:spacing w:after="0" w:line="295" w:lineRule="auto"/>
        <w:rPr>
          <w:sz w:val="20"/>
          <w:szCs w:val="20"/>
          <w:color w:val="auto"/>
        </w:rPr>
      </w:pPr>
      <w:r>
        <w:rPr>
          <w:rFonts w:ascii="Times New Roman" w:cs="Times New Roman" w:eastAsia="Times New Roman" w:hAnsi="Times New Roman"/>
          <w:sz w:val="14"/>
          <w:szCs w:val="14"/>
          <w:color w:val="auto"/>
        </w:rPr>
        <w:t>THIS WARRANT AGENCY AGREEMENT (this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dated as of May 15, 2026, is entered into by and between QT Imaging Holdings, Inc.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and Continental Stock Transfer &amp; Trust Company, a New York corporation (the “</w:t>
      </w:r>
      <w:r>
        <w:rPr>
          <w:rFonts w:ascii="Times New Roman" w:cs="Times New Roman" w:eastAsia="Times New Roman" w:hAnsi="Times New Roman"/>
          <w:sz w:val="14"/>
          <w:szCs w:val="14"/>
          <w:u w:val="single" w:color="auto"/>
          <w:color w:val="auto"/>
        </w:rPr>
        <w:t>Warrant Agent</w:t>
      </w:r>
      <w:r>
        <w:rPr>
          <w:rFonts w:ascii="Times New Roman" w:cs="Times New Roman" w:eastAsia="Times New Roman" w:hAnsi="Times New Roman"/>
          <w:sz w:val="14"/>
          <w:szCs w:val="14"/>
          <w:color w:val="auto"/>
        </w:rPr>
        <w:t>”).</w:t>
      </w:r>
    </w:p>
    <w:p>
      <w:pPr>
        <w:spacing w:after="0" w:line="63" w:lineRule="exact"/>
        <w:rPr>
          <w:sz w:val="20"/>
          <w:szCs w:val="20"/>
          <w:color w:val="auto"/>
        </w:rPr>
      </w:pPr>
    </w:p>
    <w:p>
      <w:pPr>
        <w:ind w:left="8" w:right="300" w:firstLine="432"/>
        <w:spacing w:after="0" w:line="265" w:lineRule="auto"/>
        <w:rPr>
          <w:sz w:val="20"/>
          <w:szCs w:val="20"/>
          <w:color w:val="auto"/>
        </w:rPr>
      </w:pPr>
      <w:r>
        <w:rPr>
          <w:rFonts w:ascii="Times New Roman" w:cs="Times New Roman" w:eastAsia="Times New Roman" w:hAnsi="Times New Roman"/>
          <w:sz w:val="14"/>
          <w:szCs w:val="14"/>
          <w:color w:val="auto"/>
        </w:rPr>
        <w:t>WHEREAS, pursuant to a registered offering by the Company of shares of common stock, par value $0.0001 per share (the “</w:t>
      </w:r>
      <w:r>
        <w:rPr>
          <w:rFonts w:ascii="Times New Roman" w:cs="Times New Roman" w:eastAsia="Times New Roman" w:hAnsi="Times New Roman"/>
          <w:sz w:val="14"/>
          <w:szCs w:val="14"/>
          <w:u w:val="single" w:color="auto"/>
          <w:color w:val="auto"/>
        </w:rPr>
        <w:t>Common Stock</w:t>
      </w:r>
      <w:r>
        <w:rPr>
          <w:rFonts w:ascii="Times New Roman" w:cs="Times New Roman" w:eastAsia="Times New Roman" w:hAnsi="Times New Roman"/>
          <w:sz w:val="14"/>
          <w:szCs w:val="14"/>
          <w:color w:val="auto"/>
        </w:rPr>
        <w:t>”), and Pre-Funded Warrants (as defined below), pursuant to an effective registration statement on Form S-3 (File No. 333-294705) (the “</w:t>
      </w:r>
      <w:r>
        <w:rPr>
          <w:rFonts w:ascii="Times New Roman" w:cs="Times New Roman" w:eastAsia="Times New Roman" w:hAnsi="Times New Roman"/>
          <w:sz w:val="14"/>
          <w:szCs w:val="14"/>
          <w:u w:val="single" w:color="auto"/>
          <w:color w:val="auto"/>
        </w:rPr>
        <w:t>Registration Statement</w:t>
      </w:r>
      <w:r>
        <w:rPr>
          <w:rFonts w:ascii="Times New Roman" w:cs="Times New Roman" w:eastAsia="Times New Roman" w:hAnsi="Times New Roman"/>
          <w:sz w:val="14"/>
          <w:szCs w:val="14"/>
          <w:color w:val="auto"/>
        </w:rPr>
        <w:t>”), the Company wishes to issue the Pre-Funded Warrants in book entry form entitling the respective holders of the Pre-Funded Warrants (the “</w:t>
      </w:r>
      <w:r>
        <w:rPr>
          <w:rFonts w:ascii="Times New Roman" w:cs="Times New Roman" w:eastAsia="Times New Roman" w:hAnsi="Times New Roman"/>
          <w:sz w:val="14"/>
          <w:szCs w:val="14"/>
          <w:u w:val="single" w:color="auto"/>
          <w:color w:val="auto"/>
        </w:rPr>
        <w:t>Holders</w:t>
      </w:r>
      <w:r>
        <w:rPr>
          <w:rFonts w:ascii="Times New Roman" w:cs="Times New Roman" w:eastAsia="Times New Roman" w:hAnsi="Times New Roman"/>
          <w:sz w:val="14"/>
          <w:szCs w:val="14"/>
          <w:color w:val="auto"/>
        </w:rPr>
        <w:t xml:space="preserve"> ”, which term shall include a Holder’s transferees, successors and assigns and “Holder” shall include, if the Pre-Funded Warrants are held in “street name”, a Participant (as defined below) or a designee appointed by such Participant), to purchase an aggregate of up to 800,000 shares of Common Stock underlying the Pre-Funded Warrants upon the terms and subject to the conditions hereinafter set forth;</w:t>
      </w:r>
    </w:p>
    <w:p>
      <w:pPr>
        <w:spacing w:after="0" w:line="83" w:lineRule="exact"/>
        <w:rPr>
          <w:sz w:val="20"/>
          <w:szCs w:val="20"/>
          <w:color w:val="auto"/>
        </w:rPr>
      </w:pPr>
    </w:p>
    <w:p>
      <w:pPr>
        <w:ind w:left="8" w:right="220" w:firstLine="432"/>
        <w:spacing w:after="0" w:line="295" w:lineRule="auto"/>
        <w:rPr>
          <w:sz w:val="20"/>
          <w:szCs w:val="20"/>
          <w:color w:val="auto"/>
        </w:rPr>
      </w:pPr>
      <w:r>
        <w:rPr>
          <w:rFonts w:ascii="Times New Roman" w:cs="Times New Roman" w:eastAsia="Times New Roman" w:hAnsi="Times New Roman"/>
          <w:sz w:val="14"/>
          <w:szCs w:val="14"/>
          <w:color w:val="auto"/>
        </w:rPr>
        <w:t>WHEREAS, the Company desires the Warrant Agent to act on behalf of the Company, and the Warrant Agent is willing to so act, in connection with the issuance, registration, transfer, exchange and exercise of the Pre-Funded Warrants and, in the Warrant Agent’s capacity as the Company’s transfer agent, the delivery of the Pre-Funded Warrant Shares (as defined below); and</w:t>
      </w:r>
    </w:p>
    <w:p>
      <w:pPr>
        <w:spacing w:after="0" w:line="54" w:lineRule="exact"/>
        <w:rPr>
          <w:sz w:val="20"/>
          <w:szCs w:val="20"/>
          <w:color w:val="auto"/>
        </w:rPr>
      </w:pPr>
    </w:p>
    <w:p>
      <w:pPr>
        <w:ind w:left="8" w:right="20" w:firstLine="432"/>
        <w:spacing w:after="0" w:line="295" w:lineRule="auto"/>
        <w:rPr>
          <w:sz w:val="20"/>
          <w:szCs w:val="20"/>
          <w:color w:val="auto"/>
        </w:rPr>
      </w:pPr>
      <w:r>
        <w:rPr>
          <w:rFonts w:ascii="Times New Roman" w:cs="Times New Roman" w:eastAsia="Times New Roman" w:hAnsi="Times New Roman"/>
          <w:sz w:val="14"/>
          <w:szCs w:val="14"/>
          <w:color w:val="auto"/>
        </w:rPr>
        <w:t>WHEREAS, all acts and things have been done and performed which are necessary to make the Pre-Funded Warrants, when executed on behalf of the Company and countersigned by or on behalf of the Warrant Agent, as provided herein, the valid, binding and legal obligations of the Company, and to authorize the execution and delivery of this Agreement.</w:t>
      </w:r>
    </w:p>
    <w:p>
      <w:pPr>
        <w:spacing w:after="0" w:line="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4"/>
          <w:szCs w:val="14"/>
          <w:color w:val="auto"/>
        </w:rPr>
        <w:t>NOW, THEREFORE, in consideration of the mutual agreements herein contained, the parties hereto agree as follows:</w:t>
      </w:r>
    </w:p>
    <w:p>
      <w:pPr>
        <w:spacing w:after="0" w:line="118" w:lineRule="exact"/>
        <w:rPr>
          <w:sz w:val="20"/>
          <w:szCs w:val="20"/>
          <w:color w:val="auto"/>
        </w:rPr>
      </w:pPr>
    </w:p>
    <w:p>
      <w:pPr>
        <w:ind w:left="8" w:right="20" w:hanging="8"/>
        <w:spacing w:after="0" w:line="309" w:lineRule="auto"/>
        <w:tabs>
          <w:tab w:leader="none" w:pos="4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Appointment of Warrant Agent</w:t>
      </w:r>
      <w:r>
        <w:rPr>
          <w:rFonts w:ascii="Times New Roman" w:cs="Times New Roman" w:eastAsia="Times New Roman" w:hAnsi="Times New Roman"/>
          <w:sz w:val="14"/>
          <w:szCs w:val="14"/>
          <w:color w:val="auto"/>
        </w:rPr>
        <w:t>. The Company hereby appoints the Warrant Agent to act as agent for the Company for the Pre-Funded Warrants, and the Warrant Agent hereby accepts such appointment and agrees to perform the same in accordance with the terms and conditions set forth in this Agreement.</w:t>
      </w:r>
    </w:p>
    <w:p>
      <w:pPr>
        <w:spacing w:after="0" w:line="44" w:lineRule="exact"/>
        <w:rPr>
          <w:rFonts w:ascii="Times New Roman" w:cs="Times New Roman" w:eastAsia="Times New Roman" w:hAnsi="Times New Roman"/>
          <w:sz w:val="14"/>
          <w:szCs w:val="14"/>
          <w:color w:val="auto"/>
        </w:rPr>
      </w:pPr>
    </w:p>
    <w:p>
      <w:pPr>
        <w:ind w:left="428" w:right="4960" w:hanging="428"/>
        <w:spacing w:after="0" w:line="415" w:lineRule="auto"/>
        <w:tabs>
          <w:tab w:leader="none" w:pos="428"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Certain Definitions</w:t>
      </w:r>
      <w:r>
        <w:rPr>
          <w:rFonts w:ascii="Times New Roman" w:cs="Times New Roman" w:eastAsia="Times New Roman" w:hAnsi="Times New Roman"/>
          <w:sz w:val="14"/>
          <w:szCs w:val="14"/>
          <w:color w:val="auto"/>
        </w:rPr>
        <w:t>. For purposes of this Agreement, the following terms have the meanings indicated: 2.1 “</w:t>
      </w:r>
      <w:r>
        <w:rPr>
          <w:rFonts w:ascii="Times New Roman" w:cs="Times New Roman" w:eastAsia="Times New Roman" w:hAnsi="Times New Roman"/>
          <w:sz w:val="14"/>
          <w:szCs w:val="14"/>
          <w:u w:val="single" w:color="auto"/>
          <w:color w:val="auto"/>
        </w:rPr>
        <w:t>Act</w:t>
      </w:r>
      <w:r>
        <w:rPr>
          <w:rFonts w:ascii="Times New Roman" w:cs="Times New Roman" w:eastAsia="Times New Roman" w:hAnsi="Times New Roman"/>
          <w:sz w:val="14"/>
          <w:szCs w:val="14"/>
          <w:color w:val="auto"/>
        </w:rPr>
        <w:t>” means the Securities Act of 1933, as amended.</w:t>
      </w:r>
    </w:p>
    <w:p>
      <w:pPr>
        <w:spacing w:after="0" w:line="1" w:lineRule="exact"/>
        <w:rPr>
          <w:sz w:val="20"/>
          <w:szCs w:val="20"/>
          <w:color w:val="auto"/>
        </w:rPr>
      </w:pPr>
    </w:p>
    <w:p>
      <w:pPr>
        <w:ind w:left="8" w:right="700" w:firstLine="432"/>
        <w:spacing w:after="0" w:line="295" w:lineRule="auto"/>
        <w:rPr>
          <w:sz w:val="20"/>
          <w:szCs w:val="20"/>
          <w:color w:val="auto"/>
        </w:rPr>
      </w:pPr>
      <w:r>
        <w:rPr>
          <w:rFonts w:ascii="Times New Roman" w:cs="Times New Roman" w:eastAsia="Times New Roman" w:hAnsi="Times New Roman"/>
          <w:sz w:val="14"/>
          <w:szCs w:val="14"/>
          <w:color w:val="auto"/>
        </w:rPr>
        <w:t>2.2 “</w:t>
      </w:r>
      <w:r>
        <w:rPr>
          <w:rFonts w:ascii="Times New Roman" w:cs="Times New Roman" w:eastAsia="Times New Roman" w:hAnsi="Times New Roman"/>
          <w:sz w:val="14"/>
          <w:szCs w:val="14"/>
          <w:u w:val="single" w:color="auto"/>
          <w:color w:val="auto"/>
        </w:rPr>
        <w:t>Business Day</w:t>
      </w:r>
      <w:r>
        <w:rPr>
          <w:rFonts w:ascii="Times New Roman" w:cs="Times New Roman" w:eastAsia="Times New Roman" w:hAnsi="Times New Roman"/>
          <w:sz w:val="14"/>
          <w:szCs w:val="14"/>
          <w:color w:val="auto"/>
        </w:rPr>
        <w:t>” means any day other than Saturday, Sunday, or other day on which commercial banks in the City of New York are authorized or required by law or other governmental action to remain closed.</w:t>
      </w:r>
    </w:p>
    <w:p>
      <w:pPr>
        <w:sectPr>
          <w:pgSz w:w="11900" w:h="16838" w:orient="portrait"/>
          <w:cols w:equalWidth="0" w:num="1">
            <w:col w:w="11308"/>
          </w:cols>
          <w:pgMar w:left="292" w:top="128" w:right="299" w:bottom="1440" w:gutter="0" w:footer="0" w:header="0"/>
        </w:sectPr>
      </w:pPr>
    </w:p>
    <w:bookmarkStart w:id="67" w:name="page68"/>
    <w:bookmarkEnd w:id="67"/>
    <w:p>
      <w:pPr>
        <w:ind w:left="8" w:right="20" w:firstLine="432"/>
        <w:spacing w:after="0" w:line="298" w:lineRule="auto"/>
        <w:rPr>
          <w:sz w:val="20"/>
          <w:szCs w:val="20"/>
          <w:color w:val="auto"/>
        </w:rPr>
      </w:pPr>
      <w:r>
        <w:rPr>
          <w:rFonts w:ascii="Times New Roman" w:cs="Times New Roman" w:eastAsia="Times New Roman" w:hAnsi="Times New Roman"/>
          <w:sz w:val="14"/>
          <w:szCs w:val="14"/>
          <w:color w:val="auto"/>
        </w:rPr>
        <w:t>2.3 “</w:t>
      </w:r>
      <w:r>
        <w:rPr>
          <w:rFonts w:ascii="Times New Roman" w:cs="Times New Roman" w:eastAsia="Times New Roman" w:hAnsi="Times New Roman"/>
          <w:sz w:val="14"/>
          <w:szCs w:val="14"/>
          <w:u w:val="single" w:color="auto"/>
          <w:color w:val="auto"/>
        </w:rPr>
        <w:t>Close of Business</w:t>
      </w:r>
      <w:r>
        <w:rPr>
          <w:rFonts w:ascii="Times New Roman" w:cs="Times New Roman" w:eastAsia="Times New Roman" w:hAnsi="Times New Roman"/>
          <w:sz w:val="14"/>
          <w:szCs w:val="14"/>
          <w:color w:val="auto"/>
        </w:rPr>
        <w:t xml:space="preserve">” on any given date means 5:00 p.m., New York City time, on such date;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if such date is not a Business Day it means 5:00 p.m., New York City time, on the next succeeding Business Day.</w:t>
      </w:r>
    </w:p>
    <w:p>
      <w:pPr>
        <w:spacing w:after="0" w:line="52" w:lineRule="exact"/>
        <w:rPr>
          <w:sz w:val="20"/>
          <w:szCs w:val="20"/>
          <w:color w:val="auto"/>
        </w:rPr>
      </w:pPr>
    </w:p>
    <w:p>
      <w:pPr>
        <w:ind w:left="8" w:right="60" w:firstLine="432"/>
        <w:spacing w:after="0" w:line="309" w:lineRule="auto"/>
        <w:rPr>
          <w:sz w:val="20"/>
          <w:szCs w:val="20"/>
          <w:color w:val="auto"/>
        </w:rPr>
      </w:pPr>
      <w:r>
        <w:rPr>
          <w:rFonts w:ascii="Times New Roman" w:cs="Times New Roman" w:eastAsia="Times New Roman" w:hAnsi="Times New Roman"/>
          <w:sz w:val="14"/>
          <w:szCs w:val="14"/>
          <w:color w:val="auto"/>
        </w:rPr>
        <w:t>2.4 “</w:t>
      </w:r>
      <w:r>
        <w:rPr>
          <w:rFonts w:ascii="Times New Roman" w:cs="Times New Roman" w:eastAsia="Times New Roman" w:hAnsi="Times New Roman"/>
          <w:sz w:val="14"/>
          <w:szCs w:val="14"/>
          <w:u w:val="single" w:color="auto"/>
          <w:color w:val="auto"/>
        </w:rPr>
        <w:t>Person</w:t>
      </w:r>
      <w:r>
        <w:rPr>
          <w:rFonts w:ascii="Times New Roman" w:cs="Times New Roman" w:eastAsia="Times New Roman" w:hAnsi="Times New Roman"/>
          <w:sz w:val="14"/>
          <w:szCs w:val="14"/>
          <w:color w:val="auto"/>
        </w:rPr>
        <w:t>” means an individual, corporation, association, partnership, limited liability company, joint venture, trust, unincorporated organization, government or political subdivision thereof or governmental agency or other entity.</w:t>
      </w:r>
    </w:p>
    <w:p>
      <w:pPr>
        <w:spacing w:after="0" w:line="44" w:lineRule="exact"/>
        <w:rPr>
          <w:sz w:val="20"/>
          <w:szCs w:val="20"/>
          <w:color w:val="auto"/>
        </w:rPr>
      </w:pPr>
    </w:p>
    <w:p>
      <w:pPr>
        <w:ind w:left="428"/>
        <w:spacing w:after="0"/>
        <w:tabs>
          <w:tab w:leader="none" w:pos="848" w:val="left"/>
        </w:tabs>
        <w:rPr>
          <w:sz w:val="20"/>
          <w:szCs w:val="20"/>
          <w:color w:val="auto"/>
        </w:rPr>
      </w:pPr>
      <w:r>
        <w:rPr>
          <w:rFonts w:ascii="Times New Roman" w:cs="Times New Roman" w:eastAsia="Times New Roman" w:hAnsi="Times New Roman"/>
          <w:sz w:val="14"/>
          <w:szCs w:val="14"/>
          <w:color w:val="auto"/>
        </w:rPr>
        <w:t>2.5</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Pre-Funded Warrants</w:t>
      </w:r>
      <w:r>
        <w:rPr>
          <w:rFonts w:ascii="Times New Roman" w:cs="Times New Roman" w:eastAsia="Times New Roman" w:hAnsi="Times New Roman"/>
          <w:sz w:val="14"/>
          <w:szCs w:val="14"/>
          <w:color w:val="auto"/>
        </w:rPr>
        <w:t>” shall mean the pre-funded warrants to purchase one share of Common Stock, which shall be exercisable immediately and shall be exercisable until exercised</w:t>
      </w:r>
    </w:p>
    <w:p>
      <w:pPr>
        <w:spacing w:after="0" w:line="2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in full.</w:t>
      </w:r>
    </w:p>
    <w:p>
      <w:pPr>
        <w:spacing w:after="0" w:line="102" w:lineRule="exact"/>
        <w:rPr>
          <w:sz w:val="20"/>
          <w:szCs w:val="20"/>
          <w:color w:val="auto"/>
        </w:rPr>
      </w:pPr>
    </w:p>
    <w:p>
      <w:pPr>
        <w:ind w:left="428"/>
        <w:spacing w:after="0"/>
        <w:tabs>
          <w:tab w:leader="none" w:pos="848" w:val="left"/>
        </w:tabs>
        <w:rPr>
          <w:sz w:val="20"/>
          <w:szCs w:val="20"/>
          <w:color w:val="auto"/>
        </w:rPr>
      </w:pPr>
      <w:r>
        <w:rPr>
          <w:rFonts w:ascii="Times New Roman" w:cs="Times New Roman" w:eastAsia="Times New Roman" w:hAnsi="Times New Roman"/>
          <w:sz w:val="14"/>
          <w:szCs w:val="14"/>
          <w:color w:val="auto"/>
        </w:rPr>
        <w:t>2.6</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Pre-Funded Warrant Shares</w:t>
      </w:r>
      <w:r>
        <w:rPr>
          <w:rFonts w:ascii="Times New Roman" w:cs="Times New Roman" w:eastAsia="Times New Roman" w:hAnsi="Times New Roman"/>
          <w:sz w:val="14"/>
          <w:szCs w:val="14"/>
          <w:color w:val="auto"/>
        </w:rPr>
        <w:t>” means the shares of Common Stock underlying the Warrants and issuable upon exercise of the Pre-Funded Warrants under the terms stated therein.</w:t>
      </w:r>
    </w:p>
    <w:p>
      <w:pPr>
        <w:spacing w:after="0" w:line="118" w:lineRule="exact"/>
        <w:rPr>
          <w:sz w:val="20"/>
          <w:szCs w:val="20"/>
          <w:color w:val="auto"/>
        </w:rPr>
      </w:pPr>
    </w:p>
    <w:p>
      <w:pPr>
        <w:ind w:left="8" w:right="540" w:firstLine="432"/>
        <w:spacing w:after="0" w:line="309" w:lineRule="auto"/>
        <w:rPr>
          <w:sz w:val="20"/>
          <w:szCs w:val="20"/>
          <w:color w:val="auto"/>
        </w:rPr>
      </w:pPr>
      <w:r>
        <w:rPr>
          <w:rFonts w:ascii="Times New Roman" w:cs="Times New Roman" w:eastAsia="Times New Roman" w:hAnsi="Times New Roman"/>
          <w:sz w:val="14"/>
          <w:szCs w:val="14"/>
          <w:color w:val="auto"/>
        </w:rPr>
        <w:t>2.7 “</w:t>
      </w:r>
      <w:r>
        <w:rPr>
          <w:rFonts w:ascii="Times New Roman" w:cs="Times New Roman" w:eastAsia="Times New Roman" w:hAnsi="Times New Roman"/>
          <w:sz w:val="14"/>
          <w:szCs w:val="14"/>
          <w:u w:val="single" w:color="auto"/>
          <w:color w:val="auto"/>
        </w:rPr>
        <w:t>Warrant Certificate</w:t>
      </w:r>
      <w:r>
        <w:rPr>
          <w:rFonts w:ascii="Times New Roman" w:cs="Times New Roman" w:eastAsia="Times New Roman" w:hAnsi="Times New Roman"/>
          <w:sz w:val="14"/>
          <w:szCs w:val="14"/>
          <w:color w:val="auto"/>
        </w:rPr>
        <w:t>” means the book-entry position evidencing the Pre-Funded Warrants held by a Holder through the Depositary or a Participant (each as defined below), including any written confirmation or statement issued by the Depositary or a Participant reflecting such Holder’s ownership of Pre-Funded Warrants.</w:t>
      </w:r>
    </w:p>
    <w:p>
      <w:pPr>
        <w:spacing w:after="0" w:line="44" w:lineRule="exact"/>
        <w:rPr>
          <w:sz w:val="20"/>
          <w:szCs w:val="20"/>
          <w:color w:val="auto"/>
        </w:rPr>
      </w:pPr>
    </w:p>
    <w:p>
      <w:pPr>
        <w:ind w:left="428" w:hanging="428"/>
        <w:spacing w:after="0"/>
        <w:tabs>
          <w:tab w:leader="none" w:pos="428"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Global Warrants</w:t>
      </w:r>
      <w:r>
        <w:rPr>
          <w:rFonts w:ascii="Times New Roman" w:cs="Times New Roman" w:eastAsia="Times New Roman" w:hAnsi="Times New Roman"/>
          <w:sz w:val="14"/>
          <w:szCs w:val="14"/>
          <w:color w:val="auto"/>
        </w:rPr>
        <w:t>.</w:t>
      </w:r>
    </w:p>
    <w:p>
      <w:pPr>
        <w:spacing w:after="0" w:line="118" w:lineRule="exact"/>
        <w:rPr>
          <w:sz w:val="20"/>
          <w:szCs w:val="20"/>
          <w:color w:val="auto"/>
        </w:rPr>
      </w:pPr>
    </w:p>
    <w:p>
      <w:pPr>
        <w:ind w:left="8" w:right="60" w:firstLine="432"/>
        <w:spacing w:after="0" w:line="270" w:lineRule="auto"/>
        <w:rPr>
          <w:sz w:val="20"/>
          <w:szCs w:val="20"/>
          <w:color w:val="auto"/>
        </w:rPr>
      </w:pPr>
      <w:r>
        <w:rPr>
          <w:rFonts w:ascii="Times New Roman" w:cs="Times New Roman" w:eastAsia="Times New Roman" w:hAnsi="Times New Roman"/>
          <w:sz w:val="14"/>
          <w:szCs w:val="14"/>
          <w:color w:val="auto"/>
        </w:rPr>
        <w:t>3.1 The Pre-Funded Warrants shall be issuable in book entry form (the “</w:t>
      </w:r>
      <w:r>
        <w:rPr>
          <w:rFonts w:ascii="Times New Roman" w:cs="Times New Roman" w:eastAsia="Times New Roman" w:hAnsi="Times New Roman"/>
          <w:sz w:val="14"/>
          <w:szCs w:val="14"/>
          <w:u w:val="single" w:color="auto"/>
          <w:color w:val="auto"/>
        </w:rPr>
        <w:t>Global Warrants</w:t>
      </w:r>
      <w:r>
        <w:rPr>
          <w:rFonts w:ascii="Times New Roman" w:cs="Times New Roman" w:eastAsia="Times New Roman" w:hAnsi="Times New Roman"/>
          <w:sz w:val="14"/>
          <w:szCs w:val="14"/>
          <w:color w:val="auto"/>
        </w:rPr>
        <w:t>” and, each, a “</w:t>
      </w:r>
      <w:r>
        <w:rPr>
          <w:rFonts w:ascii="Times New Roman" w:cs="Times New Roman" w:eastAsia="Times New Roman" w:hAnsi="Times New Roman"/>
          <w:sz w:val="14"/>
          <w:szCs w:val="14"/>
          <w:u w:val="single" w:color="auto"/>
          <w:color w:val="auto"/>
        </w:rPr>
        <w:t>Global Warrant</w:t>
      </w:r>
      <w:r>
        <w:rPr>
          <w:rFonts w:ascii="Times New Roman" w:cs="Times New Roman" w:eastAsia="Times New Roman" w:hAnsi="Times New Roman"/>
          <w:sz w:val="14"/>
          <w:szCs w:val="14"/>
          <w:color w:val="auto"/>
        </w:rPr>
        <w:t>”). All of the Pre-Funded Warrants shall initially be represented by one or more Global Warrants deposited with the Warrant Agent and registered in the name of Cede &amp; Co., a nominee of The Depository Trust Company (the “</w:t>
      </w:r>
      <w:r>
        <w:rPr>
          <w:rFonts w:ascii="Times New Roman" w:cs="Times New Roman" w:eastAsia="Times New Roman" w:hAnsi="Times New Roman"/>
          <w:sz w:val="14"/>
          <w:szCs w:val="14"/>
          <w:u w:val="single" w:color="auto"/>
          <w:color w:val="auto"/>
        </w:rPr>
        <w:t>Depositary</w:t>
      </w:r>
      <w:r>
        <w:rPr>
          <w:rFonts w:ascii="Times New Roman" w:cs="Times New Roman" w:eastAsia="Times New Roman" w:hAnsi="Times New Roman"/>
          <w:sz w:val="14"/>
          <w:szCs w:val="14"/>
          <w:color w:val="auto"/>
        </w:rPr>
        <w:t>”), or as otherwise directed by the Depositary. Ownership of beneficial interests in the Pre-Funded Warrants shall be shown on, and the transfer of such ownership shall be effected through, records maintained by (i) the Depositary or its nominee for each Global Warrant or (ii) institutions that have accounts with the Depositary (such institution, with respect to a Pre-Funded Warrant in its account, a “</w:t>
      </w:r>
      <w:r>
        <w:rPr>
          <w:rFonts w:ascii="Times New Roman" w:cs="Times New Roman" w:eastAsia="Times New Roman" w:hAnsi="Times New Roman"/>
          <w:sz w:val="14"/>
          <w:szCs w:val="14"/>
          <w:u w:val="single" w:color="auto"/>
          <w:color w:val="auto"/>
        </w:rPr>
        <w:t>Participant</w:t>
      </w:r>
      <w:r>
        <w:rPr>
          <w:rFonts w:ascii="Times New Roman" w:cs="Times New Roman" w:eastAsia="Times New Roman" w:hAnsi="Times New Roman"/>
          <w:sz w:val="14"/>
          <w:szCs w:val="14"/>
          <w:color w:val="auto"/>
        </w:rPr>
        <w:t>”).</w:t>
      </w:r>
    </w:p>
    <w:p>
      <w:pPr>
        <w:spacing w:after="0" w:line="248" w:lineRule="exact"/>
        <w:rPr>
          <w:sz w:val="20"/>
          <w:szCs w:val="20"/>
          <w:color w:val="auto"/>
        </w:rPr>
      </w:pPr>
    </w:p>
    <w:p>
      <w:pPr>
        <w:ind w:left="8" w:right="200" w:firstLine="432"/>
        <w:spacing w:after="0" w:line="287" w:lineRule="auto"/>
        <w:rPr>
          <w:sz w:val="20"/>
          <w:szCs w:val="20"/>
          <w:color w:val="auto"/>
        </w:rPr>
      </w:pPr>
      <w:r>
        <w:rPr>
          <w:rFonts w:ascii="Times New Roman" w:cs="Times New Roman" w:eastAsia="Times New Roman" w:hAnsi="Times New Roman"/>
          <w:sz w:val="14"/>
          <w:szCs w:val="14"/>
          <w:color w:val="auto"/>
        </w:rPr>
        <w:t>3.2 If the Depositary subsequently ceases to make its book-entry settlement system available for the Pre-Funded Warrants, the Company shall use commercially reasonable efforts to make the Pre-Funded Warrants available through another book-entry settlement system. The Company may instruct the Warrant Agent regarding alternative arrangements for book-entry settlement.</w:t>
      </w:r>
    </w:p>
    <w:p>
      <w:pPr>
        <w:spacing w:after="0" w:line="236" w:lineRule="exact"/>
        <w:rPr>
          <w:sz w:val="20"/>
          <w:szCs w:val="20"/>
          <w:color w:val="auto"/>
        </w:rPr>
      </w:pPr>
    </w:p>
    <w:p>
      <w:pPr>
        <w:ind w:left="428" w:hanging="428"/>
        <w:spacing w:after="0"/>
        <w:tabs>
          <w:tab w:leader="none" w:pos="428"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Warrants</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left="8" w:right="220" w:firstLine="432"/>
        <w:spacing w:after="0" w:line="295" w:lineRule="auto"/>
        <w:rPr>
          <w:sz w:val="20"/>
          <w:szCs w:val="20"/>
          <w:color w:val="auto"/>
        </w:rPr>
      </w:pPr>
      <w:r>
        <w:rPr>
          <w:rFonts w:ascii="Times New Roman" w:cs="Times New Roman" w:eastAsia="Times New Roman" w:hAnsi="Times New Roman"/>
          <w:sz w:val="14"/>
          <w:szCs w:val="14"/>
          <w:color w:val="auto"/>
        </w:rPr>
        <w:t xml:space="preserve">4.1 </w:t>
      </w:r>
      <w:r>
        <w:rPr>
          <w:rFonts w:ascii="Times New Roman" w:cs="Times New Roman" w:eastAsia="Times New Roman" w:hAnsi="Times New Roman"/>
          <w:sz w:val="14"/>
          <w:szCs w:val="14"/>
          <w:u w:val="single" w:color="auto"/>
          <w:color w:val="auto"/>
        </w:rPr>
        <w:t>Form of Pre-Funded Warrant</w:t>
      </w:r>
      <w:r>
        <w:rPr>
          <w:rFonts w:ascii="Times New Roman" w:cs="Times New Roman" w:eastAsia="Times New Roman" w:hAnsi="Times New Roman"/>
          <w:sz w:val="14"/>
          <w:szCs w:val="14"/>
          <w:color w:val="auto"/>
        </w:rPr>
        <w:t xml:space="preserve">. Each Pre-Funded Warrant shall be (a) issued in registered, book-entry form only through the facilities of the Depositary and (b) in substantially the form of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hereto, the provisions of which are incorporated herein.</w:t>
      </w:r>
    </w:p>
    <w:p>
      <w:pPr>
        <w:spacing w:after="0" w:line="54" w:lineRule="exact"/>
        <w:rPr>
          <w:sz w:val="20"/>
          <w:szCs w:val="20"/>
          <w:color w:val="auto"/>
        </w:rPr>
      </w:pPr>
    </w:p>
    <w:p>
      <w:pPr>
        <w:ind w:left="8" w:right="40" w:firstLine="432"/>
        <w:spacing w:after="0" w:line="295" w:lineRule="auto"/>
        <w:rPr>
          <w:sz w:val="20"/>
          <w:szCs w:val="20"/>
          <w:color w:val="auto"/>
        </w:rPr>
      </w:pPr>
      <w:r>
        <w:rPr>
          <w:rFonts w:ascii="Times New Roman" w:cs="Times New Roman" w:eastAsia="Times New Roman" w:hAnsi="Times New Roman"/>
          <w:sz w:val="14"/>
          <w:szCs w:val="14"/>
          <w:color w:val="auto"/>
        </w:rPr>
        <w:t xml:space="preserve">4.2 </w:t>
      </w:r>
      <w:r>
        <w:rPr>
          <w:rFonts w:ascii="Times New Roman" w:cs="Times New Roman" w:eastAsia="Times New Roman" w:hAnsi="Times New Roman"/>
          <w:sz w:val="14"/>
          <w:szCs w:val="14"/>
          <w:u w:val="single" w:color="auto"/>
          <w:color w:val="auto"/>
        </w:rPr>
        <w:t>Effect of Countersignature</w:t>
      </w:r>
      <w:r>
        <w:rPr>
          <w:rFonts w:ascii="Times New Roman" w:cs="Times New Roman" w:eastAsia="Times New Roman" w:hAnsi="Times New Roman"/>
          <w:sz w:val="14"/>
          <w:szCs w:val="14"/>
          <w:color w:val="auto"/>
        </w:rPr>
        <w:t>. Unless and until countersigned by the Warrant Agent pursuant to this Agreement, a Pre-Funded Warrant shall be invalid and of no effect and may not be exercised by the holder thereof.</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48"/>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88"/>
          </w:cols>
          <w:pgMar w:left="292" w:top="992" w:right="319" w:bottom="1440" w:gutter="0" w:footer="0" w:header="0"/>
        </w:sectPr>
      </w:pPr>
    </w:p>
    <w:bookmarkStart w:id="68" w:name="page69"/>
    <w:bookmarkEnd w:id="68"/>
    <w:p>
      <w:pPr>
        <w:ind w:left="428"/>
        <w:spacing w:after="0"/>
        <w:tabs>
          <w:tab w:leader="none" w:pos="848" w:val="left"/>
        </w:tabs>
        <w:rPr>
          <w:sz w:val="20"/>
          <w:szCs w:val="20"/>
          <w:color w:val="auto"/>
        </w:rPr>
      </w:pPr>
      <w:r>
        <w:rPr>
          <w:rFonts w:ascii="Times New Roman" w:cs="Times New Roman" w:eastAsia="Times New Roman" w:hAnsi="Times New Roman"/>
          <w:sz w:val="14"/>
          <w:szCs w:val="14"/>
          <w:color w:val="auto"/>
        </w:rPr>
        <w:t>4.3</w:t>
      </w:r>
      <w:r>
        <w:rPr>
          <w:sz w:val="20"/>
          <w:szCs w:val="20"/>
          <w:color w:val="auto"/>
        </w:rPr>
        <w:tab/>
      </w:r>
      <w:r>
        <w:rPr>
          <w:rFonts w:ascii="Times New Roman" w:cs="Times New Roman" w:eastAsia="Times New Roman" w:hAnsi="Times New Roman"/>
          <w:sz w:val="14"/>
          <w:szCs w:val="14"/>
          <w:u w:val="single" w:color="auto"/>
          <w:color w:val="auto"/>
        </w:rPr>
        <w:t>Registration</w:t>
      </w:r>
      <w:r>
        <w:rPr>
          <w:rFonts w:ascii="Times New Roman" w:cs="Times New Roman" w:eastAsia="Times New Roman" w:hAnsi="Times New Roman"/>
          <w:sz w:val="14"/>
          <w:szCs w:val="14"/>
          <w:color w:val="auto"/>
        </w:rPr>
        <w:t>.</w:t>
      </w:r>
    </w:p>
    <w:p>
      <w:pPr>
        <w:spacing w:after="0" w:line="118" w:lineRule="exact"/>
        <w:rPr>
          <w:sz w:val="20"/>
          <w:szCs w:val="20"/>
          <w:color w:val="auto"/>
        </w:rPr>
      </w:pPr>
    </w:p>
    <w:p>
      <w:pPr>
        <w:ind w:left="8" w:right="60" w:firstLine="864"/>
        <w:spacing w:after="0" w:line="282" w:lineRule="auto"/>
        <w:rPr>
          <w:sz w:val="20"/>
          <w:szCs w:val="20"/>
          <w:color w:val="auto"/>
        </w:rPr>
      </w:pPr>
      <w:r>
        <w:rPr>
          <w:rFonts w:ascii="Times New Roman" w:cs="Times New Roman" w:eastAsia="Times New Roman" w:hAnsi="Times New Roman"/>
          <w:sz w:val="14"/>
          <w:szCs w:val="14"/>
          <w:color w:val="auto"/>
        </w:rPr>
        <w:t xml:space="preserve">4.3.1 </w:t>
      </w:r>
      <w:r>
        <w:rPr>
          <w:rFonts w:ascii="Times New Roman" w:cs="Times New Roman" w:eastAsia="Times New Roman" w:hAnsi="Times New Roman"/>
          <w:sz w:val="14"/>
          <w:szCs w:val="14"/>
          <w:u w:val="single" w:color="auto"/>
          <w:color w:val="auto"/>
        </w:rPr>
        <w:t>Warrant Register</w:t>
      </w:r>
      <w:r>
        <w:rPr>
          <w:rFonts w:ascii="Times New Roman" w:cs="Times New Roman" w:eastAsia="Times New Roman" w:hAnsi="Times New Roman"/>
          <w:sz w:val="14"/>
          <w:szCs w:val="14"/>
          <w:color w:val="auto"/>
        </w:rPr>
        <w:t>. The Warrant Agent shall maintain books (the “</w:t>
      </w:r>
      <w:r>
        <w:rPr>
          <w:rFonts w:ascii="Times New Roman" w:cs="Times New Roman" w:eastAsia="Times New Roman" w:hAnsi="Times New Roman"/>
          <w:sz w:val="14"/>
          <w:szCs w:val="14"/>
          <w:u w:val="single" w:color="auto"/>
          <w:color w:val="auto"/>
        </w:rPr>
        <w:t>Warrant Register</w:t>
      </w:r>
      <w:r>
        <w:rPr>
          <w:rFonts w:ascii="Times New Roman" w:cs="Times New Roman" w:eastAsia="Times New Roman" w:hAnsi="Times New Roman"/>
          <w:sz w:val="14"/>
          <w:szCs w:val="14"/>
          <w:color w:val="auto"/>
        </w:rPr>
        <w:t>”) for the registration of the original issuance and transfers of the Pre-Funded Warrants. Upon the initial issuance of the Pre-Funded Warrants, the Warrant Agent shall issue and register the Pre-Funded Warrants in the names of the respective holders thereof in such denominations and otherwise in accordance with instructions delivered to the Warrant Agent by the Company.</w:t>
      </w:r>
    </w:p>
    <w:p>
      <w:pPr>
        <w:spacing w:after="0" w:line="63" w:lineRule="exact"/>
        <w:rPr>
          <w:sz w:val="20"/>
          <w:szCs w:val="20"/>
          <w:color w:val="auto"/>
        </w:rPr>
      </w:pPr>
    </w:p>
    <w:p>
      <w:pPr>
        <w:jc w:val="both"/>
        <w:ind w:left="8" w:right="120" w:firstLine="864"/>
        <w:spacing w:after="0" w:line="268" w:lineRule="auto"/>
        <w:rPr>
          <w:sz w:val="20"/>
          <w:szCs w:val="20"/>
          <w:color w:val="auto"/>
        </w:rPr>
      </w:pPr>
      <w:r>
        <w:rPr>
          <w:rFonts w:ascii="Times New Roman" w:cs="Times New Roman" w:eastAsia="Times New Roman" w:hAnsi="Times New Roman"/>
          <w:sz w:val="14"/>
          <w:szCs w:val="14"/>
          <w:color w:val="auto"/>
        </w:rPr>
        <w:t xml:space="preserve">4.3.2 </w:t>
      </w:r>
      <w:r>
        <w:rPr>
          <w:rFonts w:ascii="Times New Roman" w:cs="Times New Roman" w:eastAsia="Times New Roman" w:hAnsi="Times New Roman"/>
          <w:sz w:val="14"/>
          <w:szCs w:val="14"/>
          <w:u w:val="single" w:color="auto"/>
          <w:color w:val="auto"/>
        </w:rPr>
        <w:t>Registered Holder</w:t>
      </w:r>
      <w:r>
        <w:rPr>
          <w:rFonts w:ascii="Times New Roman" w:cs="Times New Roman" w:eastAsia="Times New Roman" w:hAnsi="Times New Roman"/>
          <w:sz w:val="14"/>
          <w:szCs w:val="14"/>
          <w:color w:val="auto"/>
        </w:rPr>
        <w:t>. Prior to due presentment for registration of transfer of any Pre-Funded Warrant, the Company and the Warrant Agent may deem and treat the person in whose name such Pre-Funded Warrant shall be registered upon the Warrant Register (the “</w:t>
      </w:r>
      <w:r>
        <w:rPr>
          <w:rFonts w:ascii="Times New Roman" w:cs="Times New Roman" w:eastAsia="Times New Roman" w:hAnsi="Times New Roman"/>
          <w:sz w:val="14"/>
          <w:szCs w:val="14"/>
          <w:u w:val="single" w:color="auto"/>
          <w:color w:val="auto"/>
        </w:rPr>
        <w:t>registered holder</w:t>
      </w:r>
      <w:r>
        <w:rPr>
          <w:rFonts w:ascii="Times New Roman" w:cs="Times New Roman" w:eastAsia="Times New Roman" w:hAnsi="Times New Roman"/>
          <w:sz w:val="14"/>
          <w:szCs w:val="14"/>
          <w:color w:val="auto"/>
        </w:rPr>
        <w:t>”), as the absolute owner of such Pre-Funded Warrant and of each Pre-Funded Warrant represented thereby (notwithstanding any notation of ownership or other writing on the warrant certificate made by anyone other than the Company or the Warrant Agent), for the purpose of any exercise thereof, and for all other purposes, and neither the Company nor the Warrant Agent shall be affected by any notice to the contrary.</w:t>
      </w:r>
    </w:p>
    <w:p>
      <w:pPr>
        <w:spacing w:after="0" w:line="82" w:lineRule="exact"/>
        <w:rPr>
          <w:sz w:val="20"/>
          <w:szCs w:val="20"/>
          <w:color w:val="auto"/>
        </w:rPr>
      </w:pPr>
    </w:p>
    <w:p>
      <w:pPr>
        <w:ind w:left="428" w:hanging="428"/>
        <w:spacing w:after="0"/>
        <w:tabs>
          <w:tab w:leader="none" w:pos="428"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Terms and Exercise of Pre-Funded Warrants</w:t>
      </w:r>
      <w:r>
        <w:rPr>
          <w:rFonts w:ascii="Times New Roman" w:cs="Times New Roman" w:eastAsia="Times New Roman" w:hAnsi="Times New Roman"/>
          <w:sz w:val="14"/>
          <w:szCs w:val="14"/>
          <w:color w:val="auto"/>
        </w:rPr>
        <w:t>.</w:t>
      </w:r>
    </w:p>
    <w:p>
      <w:pPr>
        <w:spacing w:after="0" w:line="118" w:lineRule="exact"/>
        <w:rPr>
          <w:sz w:val="20"/>
          <w:szCs w:val="20"/>
          <w:color w:val="auto"/>
        </w:rPr>
      </w:pPr>
    </w:p>
    <w:p>
      <w:pPr>
        <w:ind w:left="8" w:right="20" w:firstLine="432"/>
        <w:spacing w:after="0" w:line="275" w:lineRule="auto"/>
        <w:rPr>
          <w:sz w:val="20"/>
          <w:szCs w:val="20"/>
          <w:color w:val="auto"/>
        </w:rPr>
      </w:pPr>
      <w:r>
        <w:rPr>
          <w:rFonts w:ascii="Times New Roman" w:cs="Times New Roman" w:eastAsia="Times New Roman" w:hAnsi="Times New Roman"/>
          <w:sz w:val="14"/>
          <w:szCs w:val="14"/>
          <w:color w:val="auto"/>
        </w:rPr>
        <w:t xml:space="preserve">5.1 </w:t>
      </w:r>
      <w:r>
        <w:rPr>
          <w:rFonts w:ascii="Times New Roman" w:cs="Times New Roman" w:eastAsia="Times New Roman" w:hAnsi="Times New Roman"/>
          <w:sz w:val="14"/>
          <w:szCs w:val="14"/>
          <w:u w:val="single" w:color="auto"/>
          <w:color w:val="auto"/>
        </w:rPr>
        <w:t>Warrant Price</w:t>
      </w:r>
      <w:r>
        <w:rPr>
          <w:rFonts w:ascii="Times New Roman" w:cs="Times New Roman" w:eastAsia="Times New Roman" w:hAnsi="Times New Roman"/>
          <w:sz w:val="14"/>
          <w:szCs w:val="14"/>
          <w:color w:val="auto"/>
        </w:rPr>
        <w:t>. Each Pre-Funded Warrant shall, when countersigned by the Warrant Agent, entitle the registered holder thereof, subject to the provisions of such Pre-Funded Warrant and of this Agreement, to purchase from the Company the number of shares of Common Stock stated therein at the price of $0.0001 per whole share (the “</w:t>
      </w:r>
      <w:r>
        <w:rPr>
          <w:rFonts w:ascii="Times New Roman" w:cs="Times New Roman" w:eastAsia="Times New Roman" w:hAnsi="Times New Roman"/>
          <w:sz w:val="14"/>
          <w:szCs w:val="14"/>
          <w:u w:val="single" w:color="auto"/>
          <w:color w:val="auto"/>
        </w:rPr>
        <w:t>Exercise Price</w:t>
      </w:r>
      <w:r>
        <w:rPr>
          <w:rFonts w:ascii="Times New Roman" w:cs="Times New Roman" w:eastAsia="Times New Roman" w:hAnsi="Times New Roman"/>
          <w:sz w:val="14"/>
          <w:szCs w:val="14"/>
          <w:color w:val="auto"/>
        </w:rPr>
        <w:t>”), subject to the adjustments provided in Section 6 hereof. The Company, in its sole discretion, may lower the Exercise Price at any time.</w:t>
      </w:r>
    </w:p>
    <w:p>
      <w:pPr>
        <w:spacing w:after="0" w:line="68" w:lineRule="exact"/>
        <w:rPr>
          <w:sz w:val="20"/>
          <w:szCs w:val="20"/>
          <w:color w:val="auto"/>
        </w:rPr>
      </w:pPr>
    </w:p>
    <w:p>
      <w:pPr>
        <w:ind w:left="8" w:right="240" w:firstLine="432"/>
        <w:spacing w:after="0" w:line="295" w:lineRule="auto"/>
        <w:rPr>
          <w:sz w:val="20"/>
          <w:szCs w:val="20"/>
          <w:color w:val="auto"/>
        </w:rPr>
      </w:pPr>
      <w:r>
        <w:rPr>
          <w:rFonts w:ascii="Times New Roman" w:cs="Times New Roman" w:eastAsia="Times New Roman" w:hAnsi="Times New Roman"/>
          <w:sz w:val="14"/>
          <w:szCs w:val="14"/>
          <w:color w:val="auto"/>
        </w:rPr>
        <w:t xml:space="preserve">5.2 </w:t>
      </w:r>
      <w:r>
        <w:rPr>
          <w:rFonts w:ascii="Times New Roman" w:cs="Times New Roman" w:eastAsia="Times New Roman" w:hAnsi="Times New Roman"/>
          <w:sz w:val="14"/>
          <w:szCs w:val="14"/>
          <w:u w:val="single" w:color="auto"/>
          <w:color w:val="auto"/>
        </w:rPr>
        <w:t>Duration of Pre-Funded Warrants</w:t>
      </w:r>
      <w:r>
        <w:rPr>
          <w:rFonts w:ascii="Times New Roman" w:cs="Times New Roman" w:eastAsia="Times New Roman" w:hAnsi="Times New Roman"/>
          <w:sz w:val="14"/>
          <w:szCs w:val="14"/>
          <w:color w:val="auto"/>
        </w:rPr>
        <w:t>. The Pre-Funded Warrants shall be exercisable immediately upon issuance and shall remain exercisable until exercised in full. The Pre-Funded Warrants shall not expire and shall have no termination date.</w:t>
      </w:r>
    </w:p>
    <w:p>
      <w:pPr>
        <w:spacing w:after="0" w:line="63" w:lineRule="exact"/>
        <w:rPr>
          <w:sz w:val="20"/>
          <w:szCs w:val="20"/>
          <w:color w:val="auto"/>
        </w:rPr>
      </w:pPr>
    </w:p>
    <w:p>
      <w:pPr>
        <w:ind w:left="428"/>
        <w:spacing w:after="0"/>
        <w:tabs>
          <w:tab w:leader="none" w:pos="848" w:val="left"/>
        </w:tabs>
        <w:rPr>
          <w:sz w:val="20"/>
          <w:szCs w:val="20"/>
          <w:color w:val="auto"/>
        </w:rPr>
      </w:pPr>
      <w:r>
        <w:rPr>
          <w:rFonts w:ascii="Times New Roman" w:cs="Times New Roman" w:eastAsia="Times New Roman" w:hAnsi="Times New Roman"/>
          <w:sz w:val="14"/>
          <w:szCs w:val="14"/>
          <w:color w:val="auto"/>
        </w:rPr>
        <w:t>5.3</w:t>
      </w:r>
      <w:r>
        <w:rPr>
          <w:sz w:val="20"/>
          <w:szCs w:val="20"/>
          <w:color w:val="auto"/>
        </w:rPr>
        <w:tab/>
      </w:r>
      <w:r>
        <w:rPr>
          <w:rFonts w:ascii="Times New Roman" w:cs="Times New Roman" w:eastAsia="Times New Roman" w:hAnsi="Times New Roman"/>
          <w:sz w:val="14"/>
          <w:szCs w:val="14"/>
          <w:u w:val="single" w:color="auto"/>
          <w:color w:val="auto"/>
        </w:rPr>
        <w:t>Exercise of Pre-Funded Warrants</w:t>
      </w:r>
      <w:r>
        <w:rPr>
          <w:rFonts w:ascii="Times New Roman" w:cs="Times New Roman" w:eastAsia="Times New Roman" w:hAnsi="Times New Roman"/>
          <w:sz w:val="14"/>
          <w:szCs w:val="14"/>
          <w:color w:val="auto"/>
        </w:rPr>
        <w:t>.</w:t>
      </w:r>
    </w:p>
    <w:p>
      <w:pPr>
        <w:spacing w:after="0" w:line="118" w:lineRule="exact"/>
        <w:rPr>
          <w:sz w:val="20"/>
          <w:szCs w:val="20"/>
          <w:color w:val="auto"/>
        </w:rPr>
      </w:pPr>
    </w:p>
    <w:p>
      <w:pPr>
        <w:ind w:left="8" w:firstLine="864"/>
        <w:spacing w:after="0" w:line="268" w:lineRule="auto"/>
        <w:rPr>
          <w:sz w:val="20"/>
          <w:szCs w:val="20"/>
          <w:color w:val="auto"/>
        </w:rPr>
      </w:pPr>
      <w:r>
        <w:rPr>
          <w:rFonts w:ascii="Times New Roman" w:cs="Times New Roman" w:eastAsia="Times New Roman" w:hAnsi="Times New Roman"/>
          <w:sz w:val="14"/>
          <w:szCs w:val="14"/>
          <w:color w:val="auto"/>
        </w:rPr>
        <w:t xml:space="preserve">5.3.1 </w:t>
      </w:r>
      <w:r>
        <w:rPr>
          <w:rFonts w:ascii="Times New Roman" w:cs="Times New Roman" w:eastAsia="Times New Roman" w:hAnsi="Times New Roman"/>
          <w:sz w:val="14"/>
          <w:szCs w:val="14"/>
          <w:u w:val="single" w:color="auto"/>
          <w:color w:val="auto"/>
        </w:rPr>
        <w:t>Payment</w:t>
      </w:r>
      <w:r>
        <w:rPr>
          <w:rFonts w:ascii="Times New Roman" w:cs="Times New Roman" w:eastAsia="Times New Roman" w:hAnsi="Times New Roman"/>
          <w:sz w:val="14"/>
          <w:szCs w:val="14"/>
          <w:color w:val="auto"/>
        </w:rPr>
        <w:t>. Subject to the provisions of the Pre-Funded Warrant and this Agreement, a Pre-Funded Warrant, when countersigned by the Warrant Agent, may be exercised by the registered holder thereof by delivering an exercise notice to the Warrant Agent, or to its successor as Warrant Agent, with the subscription form, as set forth in the Pre-Funded Warrant, duly executed, and by paying in full the Exercise Price for each full share of Common Stock as to which the Pre-Funded Warrant is exercised and any and all applicable taxes due in connection with the exercise of the Pre-Funded Warrant, by certified check payable to the order of the Warrant Agent, or wire transfer.</w:t>
      </w:r>
    </w:p>
    <w:p>
      <w:pPr>
        <w:spacing w:after="0" w:line="82" w:lineRule="exact"/>
        <w:rPr>
          <w:sz w:val="20"/>
          <w:szCs w:val="20"/>
          <w:color w:val="auto"/>
        </w:rPr>
      </w:pPr>
    </w:p>
    <w:p>
      <w:pPr>
        <w:ind w:left="8" w:right="300" w:firstLine="864"/>
        <w:spacing w:after="0" w:line="268" w:lineRule="auto"/>
        <w:rPr>
          <w:sz w:val="20"/>
          <w:szCs w:val="20"/>
          <w:color w:val="auto"/>
        </w:rPr>
      </w:pPr>
      <w:r>
        <w:rPr>
          <w:rFonts w:ascii="Times New Roman" w:cs="Times New Roman" w:eastAsia="Times New Roman" w:hAnsi="Times New Roman"/>
          <w:sz w:val="14"/>
          <w:szCs w:val="14"/>
          <w:color w:val="auto"/>
        </w:rPr>
        <w:t xml:space="preserve">5.3.2 </w:t>
      </w:r>
      <w:r>
        <w:rPr>
          <w:rFonts w:ascii="Times New Roman" w:cs="Times New Roman" w:eastAsia="Times New Roman" w:hAnsi="Times New Roman"/>
          <w:sz w:val="14"/>
          <w:szCs w:val="14"/>
          <w:u w:val="single" w:color="auto"/>
          <w:color w:val="auto"/>
        </w:rPr>
        <w:t>Cashless Exercise</w:t>
      </w:r>
      <w:r>
        <w:rPr>
          <w:rFonts w:ascii="Times New Roman" w:cs="Times New Roman" w:eastAsia="Times New Roman" w:hAnsi="Times New Roman"/>
          <w:sz w:val="14"/>
          <w:szCs w:val="14"/>
          <w:color w:val="auto"/>
        </w:rPr>
        <w:t>. Upon receipt of an exercise notice for a cashless exercise pursuant to the terms of the Pre-Funded Warrant (each, a “</w:t>
      </w:r>
      <w:r>
        <w:rPr>
          <w:rFonts w:ascii="Times New Roman" w:cs="Times New Roman" w:eastAsia="Times New Roman" w:hAnsi="Times New Roman"/>
          <w:sz w:val="14"/>
          <w:szCs w:val="14"/>
          <w:u w:val="single" w:color="auto"/>
          <w:color w:val="auto"/>
        </w:rPr>
        <w:t>Cashless Exercise</w:t>
      </w:r>
      <w:r>
        <w:rPr>
          <w:rFonts w:ascii="Times New Roman" w:cs="Times New Roman" w:eastAsia="Times New Roman" w:hAnsi="Times New Roman"/>
          <w:sz w:val="14"/>
          <w:szCs w:val="14"/>
          <w:color w:val="auto"/>
        </w:rPr>
        <w:t>”), the Warrant Agent shall deliver a copy of the exercise notice to the Company and request from the Company, and the Company shall promptly calculate and transmit to the Warrant Agent in writing, the number of Pre-Funded Warrant Shares issuable in connection with such Cashless Exercise. The Warrant Agent shall issue such number of Pre-Funded Warrant Shares in connection with such Cashless Exercise.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48"/>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88"/>
          </w:cols>
          <w:pgMar w:left="292" w:top="994" w:right="319" w:bottom="1440" w:gutter="0" w:footer="0" w:header="0"/>
        </w:sectPr>
      </w:pPr>
    </w:p>
    <w:bookmarkStart w:id="69" w:name="page70"/>
    <w:bookmarkEnd w:id="69"/>
    <w:p>
      <w:pPr>
        <w:ind w:left="8" w:right="20" w:firstLine="864"/>
        <w:spacing w:after="0" w:line="263" w:lineRule="auto"/>
        <w:rPr>
          <w:sz w:val="20"/>
          <w:szCs w:val="20"/>
          <w:color w:val="auto"/>
        </w:rPr>
      </w:pPr>
      <w:r>
        <w:rPr>
          <w:rFonts w:ascii="Times New Roman" w:cs="Times New Roman" w:eastAsia="Times New Roman" w:hAnsi="Times New Roman"/>
          <w:sz w:val="14"/>
          <w:szCs w:val="14"/>
          <w:color w:val="auto"/>
        </w:rPr>
        <w:t xml:space="preserve">5.3.3 </w:t>
      </w:r>
      <w:r>
        <w:rPr>
          <w:rFonts w:ascii="Times New Roman" w:cs="Times New Roman" w:eastAsia="Times New Roman" w:hAnsi="Times New Roman"/>
          <w:sz w:val="14"/>
          <w:szCs w:val="14"/>
          <w:u w:val="single" w:color="auto"/>
          <w:color w:val="auto"/>
        </w:rPr>
        <w:t>Issuance of Shares</w:t>
      </w:r>
      <w:r>
        <w:rPr>
          <w:rFonts w:ascii="Times New Roman" w:cs="Times New Roman" w:eastAsia="Times New Roman" w:hAnsi="Times New Roman"/>
          <w:sz w:val="14"/>
          <w:szCs w:val="14"/>
          <w:color w:val="auto"/>
        </w:rPr>
        <w:t>. As soon as practicable after the exercise of any Pre-Funded Warrant and the clearance of the funds in payment of the Exercise Price (if applicable), the Company shall cause to be credited to the account of the registered holder’s broker with the Depositary through its DWAC system the number of full shares of Common Stock to which he, she or it is entitled, registered in such name or names as may be directed by him, her or it, and, if such Pre-Funded Warrant shall not have been exercised in full, a new countersigned Pre-Funded Warrant for the number of shares as to which such Pre-Funded Warrant shall not have been exercised shall be reflected in the records of the Depositary. Notwithstanding the foregoing, the Company shall not be obligated to deliver any securities pursuant to the exercise of a Pre-Funded Warrant unless (a) a registration statement under the Act with respect to the Common Stock issuable upon exercise of such Pre-Funded Warrants is effective and a current prospectus relating to the shares of Common Stock issuable upon exercise of the Pre-Funded Warrants is available for delivery to the Pre-Funded Warrant holders or (b) in the opinion of counsel to the Company, the exercise of the Pre-Funded Warrants is exempt from the registration requirements of the Act and such securities are qualified for sale or exempt from qualification under applicable securities laws of the states or other jurisdictions in which the registered holder resides. In no event will the Company be required to “net cash settle” the warrant exercise.</w:t>
      </w:r>
    </w:p>
    <w:p>
      <w:pPr>
        <w:spacing w:after="0" w:line="77" w:lineRule="exact"/>
        <w:rPr>
          <w:sz w:val="20"/>
          <w:szCs w:val="20"/>
          <w:color w:val="auto"/>
        </w:rPr>
      </w:pPr>
    </w:p>
    <w:p>
      <w:pPr>
        <w:ind w:left="8" w:right="120" w:firstLine="864"/>
        <w:spacing w:after="0" w:line="295" w:lineRule="auto"/>
        <w:rPr>
          <w:sz w:val="20"/>
          <w:szCs w:val="20"/>
          <w:color w:val="auto"/>
        </w:rPr>
      </w:pPr>
      <w:r>
        <w:rPr>
          <w:rFonts w:ascii="Times New Roman" w:cs="Times New Roman" w:eastAsia="Times New Roman" w:hAnsi="Times New Roman"/>
          <w:sz w:val="14"/>
          <w:szCs w:val="14"/>
          <w:color w:val="auto"/>
        </w:rPr>
        <w:t xml:space="preserve">5.3.4 </w:t>
      </w:r>
      <w:r>
        <w:rPr>
          <w:rFonts w:ascii="Times New Roman" w:cs="Times New Roman" w:eastAsia="Times New Roman" w:hAnsi="Times New Roman"/>
          <w:sz w:val="14"/>
          <w:szCs w:val="14"/>
          <w:u w:val="single" w:color="auto"/>
          <w:color w:val="auto"/>
        </w:rPr>
        <w:t>Valid Issuance</w:t>
      </w:r>
      <w:r>
        <w:rPr>
          <w:rFonts w:ascii="Times New Roman" w:cs="Times New Roman" w:eastAsia="Times New Roman" w:hAnsi="Times New Roman"/>
          <w:sz w:val="14"/>
          <w:szCs w:val="14"/>
          <w:color w:val="auto"/>
        </w:rPr>
        <w:t>. All shares of Common Stock issued upon the proper exercise of a Pre-Funded Warrant in conformity with this Agreement shall be validly issued, fully paid and nonassessable.</w:t>
      </w:r>
    </w:p>
    <w:p>
      <w:pPr>
        <w:spacing w:after="0" w:line="54" w:lineRule="exact"/>
        <w:rPr>
          <w:sz w:val="20"/>
          <w:szCs w:val="20"/>
          <w:color w:val="auto"/>
        </w:rPr>
      </w:pPr>
    </w:p>
    <w:p>
      <w:pPr>
        <w:ind w:left="8" w:right="40" w:firstLine="864"/>
        <w:spacing w:after="0" w:line="272" w:lineRule="auto"/>
        <w:rPr>
          <w:sz w:val="20"/>
          <w:szCs w:val="20"/>
          <w:color w:val="auto"/>
        </w:rPr>
      </w:pPr>
      <w:r>
        <w:rPr>
          <w:rFonts w:ascii="Times New Roman" w:cs="Times New Roman" w:eastAsia="Times New Roman" w:hAnsi="Times New Roman"/>
          <w:sz w:val="14"/>
          <w:szCs w:val="14"/>
          <w:color w:val="auto"/>
        </w:rPr>
        <w:t xml:space="preserve">5.3.5 </w:t>
      </w:r>
      <w:r>
        <w:rPr>
          <w:rFonts w:ascii="Times New Roman" w:cs="Times New Roman" w:eastAsia="Times New Roman" w:hAnsi="Times New Roman"/>
          <w:sz w:val="14"/>
          <w:szCs w:val="14"/>
          <w:u w:val="single" w:color="auto"/>
          <w:color w:val="auto"/>
        </w:rPr>
        <w:t>Date of Issuance</w:t>
      </w:r>
      <w:r>
        <w:rPr>
          <w:rFonts w:ascii="Times New Roman" w:cs="Times New Roman" w:eastAsia="Times New Roman" w:hAnsi="Times New Roman"/>
          <w:sz w:val="14"/>
          <w:szCs w:val="14"/>
          <w:color w:val="auto"/>
        </w:rPr>
        <w:t>. Each person in whose name any shares of Common Stock are credited upon the exercise of Pre-Funded Warrants shall for all purposes be deemed to have become the holder of record of such shares on the date on which the exercise notice was delivered and payment of the Exercise Price was made, irrespective of the date of crediting of such shares, except that, if the date of such delivery and payment is a date when the stock transfer books of the Company are closed, such person shall be deemed to have become the holder of such shares at the close of business on the next succeeding date on which the stock transfer books are open.</w:t>
      </w:r>
    </w:p>
    <w:p>
      <w:pPr>
        <w:spacing w:after="0" w:line="71" w:lineRule="exact"/>
        <w:rPr>
          <w:sz w:val="20"/>
          <w:szCs w:val="20"/>
          <w:color w:val="auto"/>
        </w:rPr>
      </w:pPr>
    </w:p>
    <w:p>
      <w:pPr>
        <w:ind w:left="428" w:hanging="428"/>
        <w:spacing w:after="0"/>
        <w:tabs>
          <w:tab w:leader="none" w:pos="428"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Adjustments</w:t>
      </w:r>
      <w:r>
        <w:rPr>
          <w:rFonts w:ascii="Times New Roman" w:cs="Times New Roman" w:eastAsia="Times New Roman" w:hAnsi="Times New Roman"/>
          <w:sz w:val="14"/>
          <w:szCs w:val="14"/>
          <w:color w:val="auto"/>
        </w:rPr>
        <w:t>.</w:t>
      </w:r>
    </w:p>
    <w:p>
      <w:pPr>
        <w:spacing w:after="0" w:line="118" w:lineRule="exact"/>
        <w:rPr>
          <w:sz w:val="20"/>
          <w:szCs w:val="20"/>
          <w:color w:val="auto"/>
        </w:rPr>
      </w:pPr>
    </w:p>
    <w:p>
      <w:pPr>
        <w:ind w:left="8" w:right="60" w:firstLine="432"/>
        <w:spacing w:after="0" w:line="275" w:lineRule="auto"/>
        <w:rPr>
          <w:sz w:val="20"/>
          <w:szCs w:val="20"/>
          <w:color w:val="auto"/>
        </w:rPr>
      </w:pPr>
      <w:r>
        <w:rPr>
          <w:rFonts w:ascii="Times New Roman" w:cs="Times New Roman" w:eastAsia="Times New Roman" w:hAnsi="Times New Roman"/>
          <w:sz w:val="14"/>
          <w:szCs w:val="14"/>
          <w:color w:val="auto"/>
        </w:rPr>
        <w:t xml:space="preserve">6.1 </w:t>
      </w:r>
      <w:r>
        <w:rPr>
          <w:rFonts w:ascii="Times New Roman" w:cs="Times New Roman" w:eastAsia="Times New Roman" w:hAnsi="Times New Roman"/>
          <w:sz w:val="14"/>
          <w:szCs w:val="14"/>
          <w:u w:val="single" w:color="auto"/>
          <w:color w:val="auto"/>
        </w:rPr>
        <w:t>Stock Dividends - Split-Ups</w:t>
      </w:r>
      <w:r>
        <w:rPr>
          <w:rFonts w:ascii="Times New Roman" w:cs="Times New Roman" w:eastAsia="Times New Roman" w:hAnsi="Times New Roman"/>
          <w:sz w:val="14"/>
          <w:szCs w:val="14"/>
          <w:color w:val="auto"/>
        </w:rPr>
        <w:t>. If, after the date hereof, and subject to the provisions of Section 6.6 below, the number of outstanding shares of Common Stock is increased by a stock dividend payable in shares of Common Stock, or by a split-up of shares of Common Stock, or other similar event, then, on the effective date of such stock dividend, split-up or similar event, the number of shares of Common Stock issuable on exercise of each Pre-Funded Warrant shall be increased in proportion to such increase in outstanding shares of Common Stock.</w:t>
      </w:r>
    </w:p>
    <w:p>
      <w:pPr>
        <w:spacing w:after="0" w:line="59" w:lineRule="exact"/>
        <w:rPr>
          <w:sz w:val="20"/>
          <w:szCs w:val="20"/>
          <w:color w:val="auto"/>
        </w:rPr>
      </w:pPr>
    </w:p>
    <w:p>
      <w:pPr>
        <w:ind w:left="8" w:firstLine="432"/>
        <w:spacing w:after="0"/>
        <w:rPr>
          <w:sz w:val="20"/>
          <w:szCs w:val="20"/>
          <w:color w:val="auto"/>
        </w:rPr>
      </w:pPr>
      <w:r>
        <w:rPr>
          <w:rFonts w:ascii="Times New Roman" w:cs="Times New Roman" w:eastAsia="Times New Roman" w:hAnsi="Times New Roman"/>
          <w:sz w:val="14"/>
          <w:szCs w:val="14"/>
          <w:color w:val="auto"/>
        </w:rPr>
        <w:t xml:space="preserve">6.2 </w:t>
      </w:r>
      <w:r>
        <w:rPr>
          <w:rFonts w:ascii="Times New Roman" w:cs="Times New Roman" w:eastAsia="Times New Roman" w:hAnsi="Times New Roman"/>
          <w:sz w:val="14"/>
          <w:szCs w:val="14"/>
          <w:u w:val="single" w:color="auto"/>
          <w:color w:val="auto"/>
        </w:rPr>
        <w:t>Aggregation of Shares</w:t>
      </w:r>
      <w:r>
        <w:rPr>
          <w:rFonts w:ascii="Times New Roman" w:cs="Times New Roman" w:eastAsia="Times New Roman" w:hAnsi="Times New Roman"/>
          <w:sz w:val="14"/>
          <w:szCs w:val="14"/>
          <w:color w:val="auto"/>
        </w:rPr>
        <w:t>. If, after the date hereof, and subject to the provisions of Section 6.6, the number of outstanding shares of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Stock issuable on exercise of each Pre-Funded Warrant shall be decreased in proportion to such decrease in outstanding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48"/>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88"/>
          </w:cols>
          <w:pgMar w:left="292" w:top="994" w:right="319" w:bottom="1440" w:gutter="0" w:footer="0" w:header="0"/>
        </w:sectPr>
      </w:pPr>
    </w:p>
    <w:bookmarkStart w:id="70" w:name="page71"/>
    <w:bookmarkEnd w:id="70"/>
    <w:p>
      <w:pPr>
        <w:ind w:firstLine="432"/>
        <w:spacing w:after="0" w:line="272" w:lineRule="auto"/>
        <w:rPr>
          <w:sz w:val="20"/>
          <w:szCs w:val="20"/>
          <w:color w:val="auto"/>
        </w:rPr>
      </w:pPr>
      <w:r>
        <w:rPr>
          <w:rFonts w:ascii="Times New Roman" w:cs="Times New Roman" w:eastAsia="Times New Roman" w:hAnsi="Times New Roman"/>
          <w:sz w:val="14"/>
          <w:szCs w:val="14"/>
          <w:color w:val="auto"/>
        </w:rPr>
        <w:t xml:space="preserve">6.3 </w:t>
      </w:r>
      <w:r>
        <w:rPr>
          <w:rFonts w:ascii="Times New Roman" w:cs="Times New Roman" w:eastAsia="Times New Roman" w:hAnsi="Times New Roman"/>
          <w:sz w:val="14"/>
          <w:szCs w:val="14"/>
          <w:u w:val="single" w:color="auto"/>
          <w:color w:val="auto"/>
        </w:rPr>
        <w:t>Adjustments in Exercise Price</w:t>
      </w:r>
      <w:r>
        <w:rPr>
          <w:rFonts w:ascii="Times New Roman" w:cs="Times New Roman" w:eastAsia="Times New Roman" w:hAnsi="Times New Roman"/>
          <w:sz w:val="14"/>
          <w:szCs w:val="14"/>
          <w:color w:val="auto"/>
        </w:rPr>
        <w:t>. Whenever the number of shares of Common Stock purchasable upon the exercise of the Pre-Funded Warrants is adjusted, as provided in Sections 6.1 and 6.2 above, the Exercise Price shall be adjusted (to the nearest cent) by multiplying such Exercise Price immediately prior to such adjustment by a fraction (x) the numerator of which shall be the number of shares of Common Stock purchasable upon the exercise of the Pre-Funded Warrants immediately prior to such adjustment, and (y) the denominator of which shall be the number of shares of Common Stock so purchasable immediately thereafter.</w:t>
      </w:r>
    </w:p>
    <w:p>
      <w:pPr>
        <w:spacing w:after="0" w:line="71" w:lineRule="exact"/>
        <w:rPr>
          <w:sz w:val="20"/>
          <w:szCs w:val="20"/>
          <w:color w:val="auto"/>
        </w:rPr>
      </w:pPr>
    </w:p>
    <w:p>
      <w:pPr>
        <w:ind w:right="80" w:firstLine="432"/>
        <w:spacing w:after="0" w:line="260" w:lineRule="auto"/>
        <w:rPr>
          <w:sz w:val="20"/>
          <w:szCs w:val="20"/>
          <w:color w:val="auto"/>
        </w:rPr>
      </w:pPr>
      <w:r>
        <w:rPr>
          <w:rFonts w:ascii="Times New Roman" w:cs="Times New Roman" w:eastAsia="Times New Roman" w:hAnsi="Times New Roman"/>
          <w:sz w:val="14"/>
          <w:szCs w:val="14"/>
          <w:color w:val="auto"/>
        </w:rPr>
        <w:t xml:space="preserve">6.4 </w:t>
      </w:r>
      <w:r>
        <w:rPr>
          <w:rFonts w:ascii="Times New Roman" w:cs="Times New Roman" w:eastAsia="Times New Roman" w:hAnsi="Times New Roman"/>
          <w:sz w:val="14"/>
          <w:szCs w:val="14"/>
          <w:u w:val="single" w:color="auto"/>
          <w:color w:val="auto"/>
        </w:rPr>
        <w:t>Replacement of Securities upon Reorganization, etc</w:t>
      </w:r>
      <w:r>
        <w:rPr>
          <w:rFonts w:ascii="Times New Roman" w:cs="Times New Roman" w:eastAsia="Times New Roman" w:hAnsi="Times New Roman"/>
          <w:sz w:val="14"/>
          <w:szCs w:val="14"/>
          <w:color w:val="auto"/>
        </w:rPr>
        <w:t>. In case of any reclassification or reorganization of the outstanding shares of Common Stock (other than a change covered by Section 6.1 or 6.2 hereof or one that solely affects the par value of such shares of Common Stock), or, in the case of any merger or consolidation of the Company with or into another corporation (other than a consolidation or merger in which the Company is the continuing corporation and that does not result in any reclassification or reorganization of the outstanding shares of Common Stock), or, in the case of any sale or conveyance to another corporation or entity of the assets or other property of the Company as an entirety or substantially as an entirety, in connection with which the Company is dissolved, the Pre-Funded Warrant holders shall thereafter have the right to purchase and receive, upon the basis and upon the terms and conditions specified in the Pre-Funded Warrants and in lieu of the shares of Common Stock of the Company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Pre-Funded Warrant holder would have received if such Pre-Funded Warrant holder had exercised his, her or its Pre-Funded Warrant(s) immediately prior to such event; and if any reclassification also results in a change in shares of Common Stock covered by Section 6.1 or 6.2, then such adjustment shall be made pursuant to Sections 6.1, 6.2, 6.3 and this Section 6.4. The provisions of this Section 6.4 shall similarly apply to successive reclassifications, reorganizations, mergers or consolidations, sales or other transfers.</w:t>
      </w:r>
    </w:p>
    <w:p>
      <w:pPr>
        <w:spacing w:after="0" w:line="92" w:lineRule="exact"/>
        <w:rPr>
          <w:sz w:val="20"/>
          <w:szCs w:val="20"/>
          <w:color w:val="auto"/>
        </w:rPr>
      </w:pPr>
    </w:p>
    <w:p>
      <w:pPr>
        <w:ind w:right="40" w:firstLine="432"/>
        <w:spacing w:after="0" w:line="265" w:lineRule="auto"/>
        <w:rPr>
          <w:sz w:val="20"/>
          <w:szCs w:val="20"/>
          <w:color w:val="auto"/>
        </w:rPr>
      </w:pPr>
      <w:r>
        <w:rPr>
          <w:rFonts w:ascii="Times New Roman" w:cs="Times New Roman" w:eastAsia="Times New Roman" w:hAnsi="Times New Roman"/>
          <w:sz w:val="14"/>
          <w:szCs w:val="14"/>
          <w:color w:val="auto"/>
        </w:rPr>
        <w:t xml:space="preserve">6.5 </w:t>
      </w:r>
      <w:r>
        <w:rPr>
          <w:rFonts w:ascii="Times New Roman" w:cs="Times New Roman" w:eastAsia="Times New Roman" w:hAnsi="Times New Roman"/>
          <w:sz w:val="14"/>
          <w:szCs w:val="14"/>
          <w:u w:val="single" w:color="auto"/>
          <w:color w:val="auto"/>
        </w:rPr>
        <w:t>Notices of Changes in Pre-Funded Warrant</w:t>
      </w:r>
      <w:r>
        <w:rPr>
          <w:rFonts w:ascii="Times New Roman" w:cs="Times New Roman" w:eastAsia="Times New Roman" w:hAnsi="Times New Roman"/>
          <w:sz w:val="14"/>
          <w:szCs w:val="14"/>
          <w:color w:val="auto"/>
        </w:rPr>
        <w:t>. Upon every adjustment of the Exercise Price or the number of shares issuable upon exercise of a Pre-Funded Warrant, the Company shall give written notice thereof to the Warrant Agent, which notice shall state the Exercise Price resulting from such adjustment and the increase or decrease, if any, in the number of shares purchasable at such price upon the exercise of a Pre-Funded Warrant, setting forth in reasonable detail the method of calculation and the facts upon which such calculation is based. Upon the occurrence of any event specified in Sections 6.1, 6.2, 6.3 or 6.4, then, in any such event, the Company shall give written notice to each Pre-Funded Warrant holder, at the last address set forth for such holder in the Warrant Register, of the record date or the effective date of the event. Failure to give such notice, or any defect therein, shall not affect the legality or validity of such event.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60"/>
          </w:cols>
          <w:pgMar w:left="300" w:top="994" w:right="339" w:bottom="1440" w:gutter="0" w:footer="0" w:header="0"/>
        </w:sectPr>
      </w:pPr>
    </w:p>
    <w:bookmarkStart w:id="71" w:name="page72"/>
    <w:bookmarkEnd w:id="71"/>
    <w:p>
      <w:pPr>
        <w:ind w:left="8" w:right="20" w:firstLine="432"/>
        <w:spacing w:after="0" w:line="277" w:lineRule="auto"/>
        <w:rPr>
          <w:sz w:val="20"/>
          <w:szCs w:val="20"/>
          <w:color w:val="auto"/>
        </w:rPr>
      </w:pPr>
      <w:r>
        <w:rPr>
          <w:rFonts w:ascii="Times New Roman" w:cs="Times New Roman" w:eastAsia="Times New Roman" w:hAnsi="Times New Roman"/>
          <w:sz w:val="14"/>
          <w:szCs w:val="14"/>
          <w:color w:val="auto"/>
        </w:rPr>
        <w:t xml:space="preserve">6.6 </w:t>
      </w:r>
      <w:r>
        <w:rPr>
          <w:rFonts w:ascii="Times New Roman" w:cs="Times New Roman" w:eastAsia="Times New Roman" w:hAnsi="Times New Roman"/>
          <w:sz w:val="14"/>
          <w:szCs w:val="14"/>
          <w:u w:val="single" w:color="auto"/>
          <w:color w:val="auto"/>
        </w:rPr>
        <w:t>No Fractional Shares</w:t>
      </w:r>
      <w:r>
        <w:rPr>
          <w:rFonts w:ascii="Times New Roman" w:cs="Times New Roman" w:eastAsia="Times New Roman" w:hAnsi="Times New Roman"/>
          <w:sz w:val="14"/>
          <w:szCs w:val="14"/>
          <w:color w:val="auto"/>
        </w:rPr>
        <w:t>. Notwithstanding any provision contained in this Agreement to the contrary, the Company shall not issue fractional shares upon exercise of Pre-Funded Warrants. If, by reason of any adjustment made pursuant to this Section 6, the holder of any Pre-Funded Warrant would be entitled, upon the exercise of such Pre-Funded Warrant, to receive a fractional interest in a share, the Company shall, upon such exercise, round up or down to the nearest whole number the number of shares of Common Stock to be issued to the Pre-Funded Warrant holder.</w:t>
      </w:r>
    </w:p>
    <w:p>
      <w:pPr>
        <w:spacing w:after="0" w:line="244" w:lineRule="exact"/>
        <w:rPr>
          <w:sz w:val="20"/>
          <w:szCs w:val="20"/>
          <w:color w:val="auto"/>
        </w:rPr>
      </w:pPr>
    </w:p>
    <w:p>
      <w:pPr>
        <w:ind w:left="8" w:right="60" w:firstLine="432"/>
        <w:spacing w:after="0" w:line="268" w:lineRule="auto"/>
        <w:rPr>
          <w:sz w:val="20"/>
          <w:szCs w:val="20"/>
          <w:color w:val="auto"/>
        </w:rPr>
      </w:pPr>
      <w:r>
        <w:rPr>
          <w:rFonts w:ascii="Times New Roman" w:cs="Times New Roman" w:eastAsia="Times New Roman" w:hAnsi="Times New Roman"/>
          <w:sz w:val="14"/>
          <w:szCs w:val="14"/>
          <w:color w:val="auto"/>
        </w:rPr>
        <w:t xml:space="preserve">6.7 </w:t>
      </w:r>
      <w:r>
        <w:rPr>
          <w:rFonts w:ascii="Times New Roman" w:cs="Times New Roman" w:eastAsia="Times New Roman" w:hAnsi="Times New Roman"/>
          <w:sz w:val="14"/>
          <w:szCs w:val="14"/>
          <w:u w:val="single" w:color="auto"/>
          <w:color w:val="auto"/>
        </w:rPr>
        <w:t>Form of Pre-Funded Warrant</w:t>
      </w:r>
      <w:r>
        <w:rPr>
          <w:rFonts w:ascii="Times New Roman" w:cs="Times New Roman" w:eastAsia="Times New Roman" w:hAnsi="Times New Roman"/>
          <w:sz w:val="14"/>
          <w:szCs w:val="14"/>
          <w:color w:val="auto"/>
        </w:rPr>
        <w:t>. The form of Pre-Funded Warrant need not be changed because of any adjustment pursuant to this Section 6, and Pre-Funded Warrants issued after such adjustment may state the same Exercise Price and the same number of shares as is stated in the Pre-Funded Warrants initially issued pursuant to this Agreement. However, the Company may, at any time, in its sole discretion, make any change in the form of Pre-Funded Warrant that the Company may deem appropriate and that does not affect the substance thereof, and any Pre-Funded Warrant thereafter issued or countersigned, whether in exchange or substitution for an outstanding Pre-Funded Warrant or otherwise, may be in the form as so changed.</w:t>
      </w:r>
    </w:p>
    <w:p>
      <w:pPr>
        <w:spacing w:after="0" w:line="82" w:lineRule="exact"/>
        <w:rPr>
          <w:sz w:val="20"/>
          <w:szCs w:val="20"/>
          <w:color w:val="auto"/>
        </w:rPr>
      </w:pPr>
    </w:p>
    <w:p>
      <w:pPr>
        <w:ind w:left="428" w:hanging="428"/>
        <w:spacing w:after="0"/>
        <w:tabs>
          <w:tab w:leader="none" w:pos="428"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Transfer and Exchange of Pre-Funded Warrants</w:t>
      </w:r>
      <w:r>
        <w:rPr>
          <w:rFonts w:ascii="Times New Roman" w:cs="Times New Roman" w:eastAsia="Times New Roman" w:hAnsi="Times New Roman"/>
          <w:sz w:val="14"/>
          <w:szCs w:val="14"/>
          <w:color w:val="auto"/>
        </w:rPr>
        <w:t>.</w:t>
      </w:r>
    </w:p>
    <w:p>
      <w:pPr>
        <w:spacing w:after="0" w:line="118" w:lineRule="exact"/>
        <w:rPr>
          <w:sz w:val="20"/>
          <w:szCs w:val="20"/>
          <w:color w:val="auto"/>
        </w:rPr>
      </w:pPr>
    </w:p>
    <w:p>
      <w:pPr>
        <w:ind w:left="8" w:firstLine="432"/>
        <w:spacing w:after="0" w:line="268" w:lineRule="auto"/>
        <w:rPr>
          <w:sz w:val="20"/>
          <w:szCs w:val="20"/>
          <w:color w:val="auto"/>
        </w:rPr>
      </w:pPr>
      <w:r>
        <w:rPr>
          <w:rFonts w:ascii="Times New Roman" w:cs="Times New Roman" w:eastAsia="Times New Roman" w:hAnsi="Times New Roman"/>
          <w:sz w:val="14"/>
          <w:szCs w:val="14"/>
          <w:color w:val="auto"/>
        </w:rPr>
        <w:t xml:space="preserve">7.1 </w:t>
      </w:r>
      <w:r>
        <w:rPr>
          <w:rFonts w:ascii="Times New Roman" w:cs="Times New Roman" w:eastAsia="Times New Roman" w:hAnsi="Times New Roman"/>
          <w:sz w:val="14"/>
          <w:szCs w:val="14"/>
          <w:u w:val="single" w:color="auto"/>
          <w:color w:val="auto"/>
        </w:rPr>
        <w:t>Registration of Transfer</w:t>
      </w:r>
      <w:r>
        <w:rPr>
          <w:rFonts w:ascii="Times New Roman" w:cs="Times New Roman" w:eastAsia="Times New Roman" w:hAnsi="Times New Roman"/>
          <w:sz w:val="14"/>
          <w:szCs w:val="14"/>
          <w:color w:val="auto"/>
        </w:rPr>
        <w:t>. The Warrant Agent shall register the transfer, from time to time, of any outstanding Pre-Funded Warrant in the Warrant Register, upon receipt of instructions from the Depositary or a Participant, properly endorsed with signatures properly medallion guaranteed and accompanied by appropriate instructions for transfer. Upon any such transfer, the Warrant Agent shall cause the records of the Depositary to be adjusted to reflect the transfer of the applicable number of Pre-Funded Warrants. Any Pre-Funded Warrants so transferred shall be cancelled in the records of the Depositary, and a corresponding number of Pre-Funded Warrants shall be credited to the transferee.</w:t>
      </w:r>
    </w:p>
    <w:p>
      <w:pPr>
        <w:spacing w:after="0" w:line="73" w:lineRule="exact"/>
        <w:rPr>
          <w:sz w:val="20"/>
          <w:szCs w:val="20"/>
          <w:color w:val="auto"/>
        </w:rPr>
      </w:pPr>
    </w:p>
    <w:p>
      <w:pPr>
        <w:ind w:left="8" w:right="80" w:firstLine="432"/>
        <w:spacing w:after="0" w:line="268" w:lineRule="auto"/>
        <w:rPr>
          <w:sz w:val="20"/>
          <w:szCs w:val="20"/>
          <w:color w:val="auto"/>
        </w:rPr>
      </w:pPr>
      <w:r>
        <w:rPr>
          <w:rFonts w:ascii="Times New Roman" w:cs="Times New Roman" w:eastAsia="Times New Roman" w:hAnsi="Times New Roman"/>
          <w:sz w:val="14"/>
          <w:szCs w:val="14"/>
          <w:color w:val="auto"/>
        </w:rPr>
        <w:t xml:space="preserve">7.2 </w:t>
      </w:r>
      <w:r>
        <w:rPr>
          <w:rFonts w:ascii="Times New Roman" w:cs="Times New Roman" w:eastAsia="Times New Roman" w:hAnsi="Times New Roman"/>
          <w:sz w:val="14"/>
          <w:szCs w:val="14"/>
          <w:u w:val="single" w:color="auto"/>
          <w:color w:val="auto"/>
        </w:rPr>
        <w:t>Procedure for Surrender of Pre-Funded Warrants</w:t>
      </w:r>
      <w:r>
        <w:rPr>
          <w:rFonts w:ascii="Times New Roman" w:cs="Times New Roman" w:eastAsia="Times New Roman" w:hAnsi="Times New Roman"/>
          <w:sz w:val="14"/>
          <w:szCs w:val="14"/>
          <w:color w:val="auto"/>
        </w:rPr>
        <w:t>. Pre-Funded Warrants may be surrendered to the Warrant Agent through the Depositary, together with a written request for exchange or transfer, and thereupon the Warrant Agent shall cause the records of the Depositary to be adjusted to reflect such exchange or transfer, representing an equal aggregate number of Pre-Funded Warrants; provided, however, that in the event that a Pre-Funded Warrant surrendered for transfer bears a restrictive legend or notation, the Warrant Agent shall not effect such transfer until the Warrant Agent has received an opinion of counsel for the Company stating that such transfer is exempt from registration under the Act and indicating whether the new Pre-Funded Warrants must also bear a restrictive legend or notation.</w:t>
      </w:r>
    </w:p>
    <w:p>
      <w:pPr>
        <w:spacing w:after="0" w:line="73" w:lineRule="exact"/>
        <w:rPr>
          <w:sz w:val="20"/>
          <w:szCs w:val="20"/>
          <w:color w:val="auto"/>
        </w:rPr>
      </w:pPr>
    </w:p>
    <w:p>
      <w:pPr>
        <w:ind w:left="428"/>
        <w:spacing w:after="0"/>
        <w:tabs>
          <w:tab w:leader="none" w:pos="848" w:val="left"/>
        </w:tabs>
        <w:rPr>
          <w:sz w:val="20"/>
          <w:szCs w:val="20"/>
          <w:color w:val="auto"/>
        </w:rPr>
      </w:pPr>
      <w:r>
        <w:rPr>
          <w:rFonts w:ascii="Times New Roman" w:cs="Times New Roman" w:eastAsia="Times New Roman" w:hAnsi="Times New Roman"/>
          <w:sz w:val="14"/>
          <w:szCs w:val="14"/>
          <w:color w:val="auto"/>
        </w:rPr>
        <w:t>7.3</w:t>
      </w:r>
      <w:r>
        <w:rPr>
          <w:sz w:val="20"/>
          <w:szCs w:val="20"/>
          <w:color w:val="auto"/>
        </w:rPr>
        <w:tab/>
      </w:r>
      <w:r>
        <w:rPr>
          <w:rFonts w:ascii="Times New Roman" w:cs="Times New Roman" w:eastAsia="Times New Roman" w:hAnsi="Times New Roman"/>
          <w:sz w:val="14"/>
          <w:szCs w:val="14"/>
          <w:u w:val="single" w:color="auto"/>
          <w:color w:val="auto"/>
        </w:rPr>
        <w:t>Fractional Pre-Funded Warrants</w:t>
      </w:r>
      <w:r>
        <w:rPr>
          <w:rFonts w:ascii="Times New Roman" w:cs="Times New Roman" w:eastAsia="Times New Roman" w:hAnsi="Times New Roman"/>
          <w:sz w:val="14"/>
          <w:szCs w:val="14"/>
          <w:color w:val="auto"/>
        </w:rPr>
        <w:t>. The Warrant Agent shall not be required to effect any registration of transfer or exchange which will result in the issuance of a fractional warrant.</w:t>
      </w:r>
    </w:p>
    <w:p>
      <w:pPr>
        <w:spacing w:after="0" w:line="127" w:lineRule="exact"/>
        <w:rPr>
          <w:sz w:val="20"/>
          <w:szCs w:val="20"/>
          <w:color w:val="auto"/>
        </w:rPr>
      </w:pPr>
    </w:p>
    <w:p>
      <w:pPr>
        <w:ind w:left="428"/>
        <w:spacing w:after="0"/>
        <w:tabs>
          <w:tab w:leader="none" w:pos="848" w:val="left"/>
        </w:tabs>
        <w:rPr>
          <w:sz w:val="20"/>
          <w:szCs w:val="20"/>
          <w:color w:val="auto"/>
        </w:rPr>
      </w:pPr>
      <w:r>
        <w:rPr>
          <w:rFonts w:ascii="Times New Roman" w:cs="Times New Roman" w:eastAsia="Times New Roman" w:hAnsi="Times New Roman"/>
          <w:sz w:val="14"/>
          <w:szCs w:val="14"/>
          <w:color w:val="auto"/>
        </w:rPr>
        <w:t>7.4</w:t>
      </w:r>
      <w:r>
        <w:rPr>
          <w:sz w:val="20"/>
          <w:szCs w:val="20"/>
          <w:color w:val="auto"/>
        </w:rPr>
        <w:tab/>
      </w:r>
      <w:r>
        <w:rPr>
          <w:rFonts w:ascii="Times New Roman" w:cs="Times New Roman" w:eastAsia="Times New Roman" w:hAnsi="Times New Roman"/>
          <w:sz w:val="14"/>
          <w:szCs w:val="14"/>
          <w:u w:val="single" w:color="auto"/>
          <w:color w:val="auto"/>
        </w:rPr>
        <w:t>Service Charges</w:t>
      </w:r>
      <w:r>
        <w:rPr>
          <w:rFonts w:ascii="Times New Roman" w:cs="Times New Roman" w:eastAsia="Times New Roman" w:hAnsi="Times New Roman"/>
          <w:sz w:val="14"/>
          <w:szCs w:val="14"/>
          <w:color w:val="auto"/>
        </w:rPr>
        <w:t>. No service charge shall be made for any exchange or registration of transfer of Pre-Funded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48"/>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308"/>
          </w:cols>
          <w:pgMar w:left="292" w:top="994" w:right="299" w:bottom="1440" w:gutter="0" w:footer="0" w:header="0"/>
        </w:sectPr>
      </w:pPr>
    </w:p>
    <w:bookmarkStart w:id="72" w:name="page73"/>
    <w:bookmarkEnd w:id="72"/>
    <w:p>
      <w:pPr>
        <w:ind w:left="8" w:right="20" w:firstLine="432"/>
        <w:spacing w:after="0" w:line="275" w:lineRule="auto"/>
        <w:rPr>
          <w:sz w:val="20"/>
          <w:szCs w:val="20"/>
          <w:color w:val="auto"/>
        </w:rPr>
      </w:pPr>
      <w:r>
        <w:rPr>
          <w:rFonts w:ascii="Times New Roman" w:cs="Times New Roman" w:eastAsia="Times New Roman" w:hAnsi="Times New Roman"/>
          <w:sz w:val="14"/>
          <w:szCs w:val="14"/>
          <w:color w:val="auto"/>
        </w:rPr>
        <w:t xml:space="preserve">7.5 </w:t>
      </w:r>
      <w:r>
        <w:rPr>
          <w:rFonts w:ascii="Times New Roman" w:cs="Times New Roman" w:eastAsia="Times New Roman" w:hAnsi="Times New Roman"/>
          <w:sz w:val="14"/>
          <w:szCs w:val="14"/>
          <w:u w:val="single" w:color="auto"/>
          <w:color w:val="auto"/>
        </w:rPr>
        <w:t>Pre-Funded Warrant Execution and Countersignature</w:t>
      </w:r>
      <w:r>
        <w:rPr>
          <w:rFonts w:ascii="Times New Roman" w:cs="Times New Roman" w:eastAsia="Times New Roman" w:hAnsi="Times New Roman"/>
          <w:sz w:val="14"/>
          <w:szCs w:val="14"/>
          <w:color w:val="auto"/>
        </w:rPr>
        <w:t>. The Warrant Agent is hereby authorized to countersign and to deliver, in accordance with the terms of this Agreement, the Pre-Funded Warrants required to be issued pursuant to the provisions of this Section 7, and the Company, whenever required by the Warrant Agent, will supply the Warrant Agent with Pre-Funded Warrants duly executed on behalf of the Company for such purpose.</w:t>
      </w:r>
    </w:p>
    <w:p>
      <w:pPr>
        <w:spacing w:after="0" w:line="77" w:lineRule="exact"/>
        <w:rPr>
          <w:sz w:val="20"/>
          <w:szCs w:val="20"/>
          <w:color w:val="auto"/>
        </w:rPr>
      </w:pPr>
    </w:p>
    <w:p>
      <w:pPr>
        <w:ind w:left="8" w:right="40" w:hanging="8"/>
        <w:spacing w:after="0" w:line="268" w:lineRule="auto"/>
        <w:tabs>
          <w:tab w:leader="none" w:pos="4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Cancellation of Pre-Funded Warrants</w:t>
      </w:r>
      <w:r>
        <w:rPr>
          <w:rFonts w:ascii="Times New Roman" w:cs="Times New Roman" w:eastAsia="Times New Roman" w:hAnsi="Times New Roman"/>
          <w:sz w:val="14"/>
          <w:szCs w:val="14"/>
          <w:color w:val="auto"/>
        </w:rPr>
        <w:t>. All Pre-Funded Warrants surrendered for the purpose of exercise, transfer, split up, combination or exchange shall be cancelled by the Warrant Agent in the records of the Depositary, and no new Pre-Funded Warrants shall be issued in lieu thereof except as expressly permitted by any of the provisions of this Agreement. The Company shall instruct the Warrant Agent to cancel in the records of the Depositary any other Pre-Funded Warrants purchased or acquired by the Company otherwise than upon the exercise thereof. The Warrant Agent shall maintain records of all cancelled Pre-Funded Warrants and shall provide such records to the Company upon request.</w:t>
      </w:r>
    </w:p>
    <w:p>
      <w:pPr>
        <w:spacing w:after="0" w:line="72" w:lineRule="exact"/>
        <w:rPr>
          <w:rFonts w:ascii="Times New Roman" w:cs="Times New Roman" w:eastAsia="Times New Roman" w:hAnsi="Times New Roman"/>
          <w:sz w:val="14"/>
          <w:szCs w:val="14"/>
          <w:color w:val="auto"/>
        </w:rPr>
      </w:pPr>
    </w:p>
    <w:p>
      <w:pPr>
        <w:ind w:left="8" w:right="80" w:hanging="8"/>
        <w:spacing w:after="0" w:line="264" w:lineRule="auto"/>
        <w:tabs>
          <w:tab w:leader="none" w:pos="4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Common Stock Record Date</w:t>
      </w:r>
      <w:r>
        <w:rPr>
          <w:rFonts w:ascii="Times New Roman" w:cs="Times New Roman" w:eastAsia="Times New Roman" w:hAnsi="Times New Roman"/>
          <w:sz w:val="14"/>
          <w:szCs w:val="14"/>
          <w:color w:val="auto"/>
        </w:rPr>
        <w:t xml:space="preserve">. Each Person in whose name shares of Common Stock are credited (including to whose broker’s account shares of Common Stock are credited through the DWAC system) upon the exercise of Pre-Funded Warrants shall for all purposes be deemed to have become the holder of record for the Common Stock represented thereby on, and such shares shall be deemed credited as of, the date on which submission of the exercise notice was made, provided that the applicable Pre-Funded Warrant was duly surrendered through the Depositary (but only if required herein) and payment of the Exercise Price (and any applicable transfer taxes) was received on or prior to the Warrant Share Delivery Date (as such term is defined in the Pre-Funded Warrant);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if the date of submission of the exercise notice is a date upon which the Common Stock transfer books of the Company are closed, such Person shall be deemed to have become the record holder of such shares on, and such shares shall be deemed credited as of, the next succeeding day on which the Common Stock transfer books of the Company are open.</w:t>
      </w:r>
    </w:p>
    <w:p>
      <w:pPr>
        <w:spacing w:after="0" w:line="260" w:lineRule="exact"/>
        <w:rPr>
          <w:rFonts w:ascii="Times New Roman" w:cs="Times New Roman" w:eastAsia="Times New Roman" w:hAnsi="Times New Roman"/>
          <w:sz w:val="14"/>
          <w:szCs w:val="14"/>
          <w:color w:val="auto"/>
        </w:rPr>
      </w:pPr>
    </w:p>
    <w:p>
      <w:pPr>
        <w:ind w:left="428" w:hanging="428"/>
        <w:spacing w:after="0"/>
        <w:tabs>
          <w:tab w:leader="none" w:pos="428"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Other Provisions Relating to Rights of Holders of Pre-Funded Warrants</w:t>
      </w:r>
      <w:r>
        <w:rPr>
          <w:rFonts w:ascii="Times New Roman" w:cs="Times New Roman" w:eastAsia="Times New Roman" w:hAnsi="Times New Roman"/>
          <w:sz w:val="14"/>
          <w:szCs w:val="14"/>
          <w:color w:val="auto"/>
        </w:rPr>
        <w:t>.</w:t>
      </w:r>
    </w:p>
    <w:p>
      <w:pPr>
        <w:spacing w:after="0" w:line="118" w:lineRule="exact"/>
        <w:rPr>
          <w:sz w:val="20"/>
          <w:szCs w:val="20"/>
          <w:color w:val="auto"/>
        </w:rPr>
      </w:pPr>
    </w:p>
    <w:p>
      <w:pPr>
        <w:ind w:left="8" w:right="180" w:firstLine="432"/>
        <w:spacing w:after="0" w:line="275" w:lineRule="auto"/>
        <w:rPr>
          <w:sz w:val="20"/>
          <w:szCs w:val="20"/>
          <w:color w:val="auto"/>
        </w:rPr>
      </w:pPr>
      <w:r>
        <w:rPr>
          <w:rFonts w:ascii="Times New Roman" w:cs="Times New Roman" w:eastAsia="Times New Roman" w:hAnsi="Times New Roman"/>
          <w:sz w:val="14"/>
          <w:szCs w:val="14"/>
          <w:color w:val="auto"/>
        </w:rPr>
        <w:t xml:space="preserve">10.1 </w:t>
      </w:r>
      <w:r>
        <w:rPr>
          <w:rFonts w:ascii="Times New Roman" w:cs="Times New Roman" w:eastAsia="Times New Roman" w:hAnsi="Times New Roman"/>
          <w:sz w:val="14"/>
          <w:szCs w:val="14"/>
          <w:u w:val="single" w:color="auto"/>
          <w:color w:val="auto"/>
        </w:rPr>
        <w:t>No Rights as Stockholder</w:t>
      </w:r>
      <w:r>
        <w:rPr>
          <w:rFonts w:ascii="Times New Roman" w:cs="Times New Roman" w:eastAsia="Times New Roman" w:hAnsi="Times New Roman"/>
          <w:sz w:val="14"/>
          <w:szCs w:val="14"/>
          <w:color w:val="auto"/>
        </w:rPr>
        <w:t>. A Pre-Funded Warrant does not entitle the registered holder thereof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w:t>
      </w:r>
    </w:p>
    <w:p>
      <w:pPr>
        <w:spacing w:after="0" w:line="68" w:lineRule="exact"/>
        <w:rPr>
          <w:sz w:val="20"/>
          <w:szCs w:val="20"/>
          <w:color w:val="auto"/>
        </w:rPr>
      </w:pPr>
    </w:p>
    <w:p>
      <w:pPr>
        <w:ind w:left="8" w:right="20" w:firstLine="432"/>
        <w:spacing w:after="0" w:line="309" w:lineRule="auto"/>
        <w:rPr>
          <w:sz w:val="20"/>
          <w:szCs w:val="20"/>
          <w:color w:val="auto"/>
        </w:rPr>
      </w:pPr>
      <w:r>
        <w:rPr>
          <w:rFonts w:ascii="Times New Roman" w:cs="Times New Roman" w:eastAsia="Times New Roman" w:hAnsi="Times New Roman"/>
          <w:sz w:val="14"/>
          <w:szCs w:val="14"/>
          <w:color w:val="auto"/>
        </w:rPr>
        <w:t xml:space="preserve">10.2 </w:t>
      </w:r>
      <w:r>
        <w:rPr>
          <w:rFonts w:ascii="Times New Roman" w:cs="Times New Roman" w:eastAsia="Times New Roman" w:hAnsi="Times New Roman"/>
          <w:sz w:val="14"/>
          <w:szCs w:val="14"/>
          <w:u w:val="single" w:color="auto"/>
          <w:color w:val="auto"/>
        </w:rPr>
        <w:t>Reservation of Common Stock</w:t>
      </w:r>
      <w:r>
        <w:rPr>
          <w:rFonts w:ascii="Times New Roman" w:cs="Times New Roman" w:eastAsia="Times New Roman" w:hAnsi="Times New Roman"/>
          <w:sz w:val="14"/>
          <w:szCs w:val="14"/>
          <w:color w:val="auto"/>
        </w:rPr>
        <w:t>. The Company shall at all times reserve and keep available a number of its authorized but unissued shares of Common Stock that will be sufficient to permit the exercise in full of all outstanding Pre-Funded Warrants issued pursuant to this Agreement.</w:t>
      </w:r>
    </w:p>
    <w:p>
      <w:pPr>
        <w:spacing w:after="0" w:line="26" w:lineRule="exact"/>
        <w:rPr>
          <w:sz w:val="20"/>
          <w:szCs w:val="20"/>
          <w:color w:val="auto"/>
        </w:rPr>
      </w:pPr>
    </w:p>
    <w:p>
      <w:pPr>
        <w:ind w:left="8" w:firstLine="432"/>
        <w:spacing w:after="0" w:line="236" w:lineRule="auto"/>
        <w:rPr>
          <w:sz w:val="20"/>
          <w:szCs w:val="20"/>
          <w:color w:val="auto"/>
        </w:rPr>
      </w:pPr>
      <w:r>
        <w:rPr>
          <w:rFonts w:ascii="Times New Roman" w:cs="Times New Roman" w:eastAsia="Times New Roman" w:hAnsi="Times New Roman"/>
          <w:sz w:val="14"/>
          <w:szCs w:val="14"/>
          <w:color w:val="auto"/>
        </w:rPr>
        <w:t xml:space="preserve">10.3 </w:t>
      </w:r>
      <w:r>
        <w:rPr>
          <w:rFonts w:ascii="Times New Roman" w:cs="Times New Roman" w:eastAsia="Times New Roman" w:hAnsi="Times New Roman"/>
          <w:sz w:val="14"/>
          <w:szCs w:val="14"/>
          <w:u w:val="single" w:color="auto"/>
          <w:color w:val="auto"/>
        </w:rPr>
        <w:t>Registration of Common Stock</w:t>
      </w:r>
      <w:r>
        <w:rPr>
          <w:rFonts w:ascii="Times New Roman" w:cs="Times New Roman" w:eastAsia="Times New Roman" w:hAnsi="Times New Roman"/>
          <w:sz w:val="14"/>
          <w:szCs w:val="14"/>
          <w:color w:val="auto"/>
        </w:rPr>
        <w:t>. The Company agrees that it shall use its best efforts to maintain the effectiveness of the Registration Statement or file with the Securities and Exchange Commission a post-effective amendment to the Registration Statement, or a new registration statement, for the registration under the Act of the Common Stock issuable upon exercise of the Pre-Funded Warrants, and it shall take such action as is necessary to qualify for sale, in those states in which the Pre-Funded Warrants were initially offered by the Company,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48"/>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288"/>
          </w:cols>
          <w:pgMar w:left="292" w:top="994" w:right="319" w:bottom="1440" w:gutter="0" w:footer="0" w:header="0"/>
        </w:sectPr>
      </w:pPr>
    </w:p>
    <w:bookmarkStart w:id="73" w:name="page74"/>
    <w:bookmarkEnd w:id="73"/>
    <w:p>
      <w:pPr>
        <w:jc w:val="both"/>
        <w:ind w:left="8" w:right="100"/>
        <w:spacing w:after="0" w:line="236" w:lineRule="auto"/>
        <w:rPr>
          <w:sz w:val="20"/>
          <w:szCs w:val="20"/>
          <w:color w:val="auto"/>
        </w:rPr>
      </w:pPr>
      <w:r>
        <w:rPr>
          <w:rFonts w:ascii="Times New Roman" w:cs="Times New Roman" w:eastAsia="Times New Roman" w:hAnsi="Times New Roman"/>
          <w:sz w:val="14"/>
          <w:szCs w:val="14"/>
          <w:color w:val="auto"/>
        </w:rPr>
        <w:t>Common Stock issuable upon exercise of the Pre-Funded Warrants. In either case, the Company will use its best efforts to cause the same to become effective and to maintain the effectiveness of such registration statement until the Pre-Funded Warrants have been exercised in full in accordance with the provisions of this Agreement. In no event will the registered holder of a Pre-Funded Warrant be entitled to receive a “net cash settlement” in lieu of physical settlement in shares of Common Stock, regardless of whether the Company complies with this Section 10.3.</w:t>
      </w:r>
    </w:p>
    <w:p>
      <w:pPr>
        <w:spacing w:after="0" w:line="119" w:lineRule="exact"/>
        <w:rPr>
          <w:sz w:val="20"/>
          <w:szCs w:val="20"/>
          <w:color w:val="auto"/>
        </w:rPr>
      </w:pPr>
    </w:p>
    <w:p>
      <w:pPr>
        <w:ind w:left="8" w:right="120" w:firstLine="432"/>
        <w:spacing w:after="0" w:line="272" w:lineRule="auto"/>
        <w:rPr>
          <w:sz w:val="20"/>
          <w:szCs w:val="20"/>
          <w:color w:val="auto"/>
        </w:rPr>
      </w:pPr>
      <w:r>
        <w:rPr>
          <w:rFonts w:ascii="Times New Roman" w:cs="Times New Roman" w:eastAsia="Times New Roman" w:hAnsi="Times New Roman"/>
          <w:sz w:val="14"/>
          <w:szCs w:val="14"/>
          <w:color w:val="auto"/>
        </w:rPr>
        <w:t xml:space="preserve">10.4 </w:t>
      </w:r>
      <w:r>
        <w:rPr>
          <w:rFonts w:ascii="Times New Roman" w:cs="Times New Roman" w:eastAsia="Times New Roman" w:hAnsi="Times New Roman"/>
          <w:sz w:val="14"/>
          <w:szCs w:val="14"/>
          <w:u w:val="single" w:color="auto"/>
          <w:color w:val="auto"/>
        </w:rPr>
        <w:t>Limitation on Monetary Damages</w:t>
      </w:r>
      <w:r>
        <w:rPr>
          <w:rFonts w:ascii="Times New Roman" w:cs="Times New Roman" w:eastAsia="Times New Roman" w:hAnsi="Times New Roman"/>
          <w:sz w:val="14"/>
          <w:szCs w:val="14"/>
          <w:color w:val="auto"/>
        </w:rPr>
        <w:t>. In no event shall the registered holder of a Pre-Funded Warrant be entitled to receive monetary damages for failure to settle any Pre-Funded Warrant exercise if the Common Stock issuable upon exercise of the Pre-Funded Warrants has not been registered with the Securities and Exchange Commission pursuant to an effective registration statement or if a current prospectus is not available for delivery by the Warrant Agent, provided the Company has fulfilled its obligations under Section 10.3 to use its reasonable best efforts to effect the registration under the Act of the Common Stock issuable upon exercise of the Pre-Funded Warrants.</w:t>
      </w:r>
    </w:p>
    <w:p>
      <w:pPr>
        <w:spacing w:after="0" w:line="71" w:lineRule="exact"/>
        <w:rPr>
          <w:sz w:val="20"/>
          <w:szCs w:val="20"/>
          <w:color w:val="auto"/>
        </w:rPr>
      </w:pPr>
    </w:p>
    <w:p>
      <w:pPr>
        <w:ind w:left="428" w:hanging="428"/>
        <w:spacing w:after="0"/>
        <w:tabs>
          <w:tab w:leader="none" w:pos="428"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Concerning the Warrant Agent and Other Matters</w:t>
      </w:r>
      <w:r>
        <w:rPr>
          <w:rFonts w:ascii="Times New Roman" w:cs="Times New Roman" w:eastAsia="Times New Roman" w:hAnsi="Times New Roman"/>
          <w:sz w:val="14"/>
          <w:szCs w:val="14"/>
          <w:color w:val="auto"/>
        </w:rPr>
        <w:t>.</w:t>
      </w:r>
    </w:p>
    <w:p>
      <w:pPr>
        <w:spacing w:after="0" w:line="118" w:lineRule="exact"/>
        <w:rPr>
          <w:sz w:val="20"/>
          <w:szCs w:val="20"/>
          <w:color w:val="auto"/>
        </w:rPr>
      </w:pPr>
    </w:p>
    <w:p>
      <w:pPr>
        <w:ind w:left="8" w:firstLine="432"/>
        <w:spacing w:after="0" w:line="265" w:lineRule="auto"/>
        <w:rPr>
          <w:sz w:val="20"/>
          <w:szCs w:val="20"/>
          <w:color w:val="auto"/>
        </w:rPr>
      </w:pPr>
      <w:r>
        <w:rPr>
          <w:rFonts w:ascii="Times New Roman" w:cs="Times New Roman" w:eastAsia="Times New Roman" w:hAnsi="Times New Roman"/>
          <w:sz w:val="14"/>
          <w:szCs w:val="14"/>
          <w:color w:val="auto"/>
        </w:rPr>
        <w:t xml:space="preserve">11.1 </w:t>
      </w:r>
      <w:r>
        <w:rPr>
          <w:rFonts w:ascii="Times New Roman" w:cs="Times New Roman" w:eastAsia="Times New Roman" w:hAnsi="Times New Roman"/>
          <w:sz w:val="14"/>
          <w:szCs w:val="14"/>
          <w:u w:val="single" w:color="auto"/>
          <w:color w:val="auto"/>
        </w:rPr>
        <w:t>Payment of Taxes</w:t>
      </w:r>
      <w:r>
        <w:rPr>
          <w:rFonts w:ascii="Times New Roman" w:cs="Times New Roman" w:eastAsia="Times New Roman" w:hAnsi="Times New Roman"/>
          <w:sz w:val="14"/>
          <w:szCs w:val="14"/>
          <w:color w:val="auto"/>
        </w:rPr>
        <w:t>. The Company will from time to time promptly pay all taxes and charges that may be imposed upon the Company or the Warrant Agent in respect of the issuance or delivery of shares of Common Stock upon the exercise of Pre-Funded Warrants, but the Company shall not be obligated to pay any transfer taxes in respect of the Pre-Funded Warrants or such shares. The Company shall not, however, be required to pay any tax or governmental charge which may be payable in respect of any transfer involved in the transfer of Pre-Funded Warrants through the Depositary or the issuance or delivery of shares of Common Stock in a name other than that of the Holder of the Pre-Funded Warrants surrendered for exercise or to issue or deliver any shares of Common Stock upon the exercise of any Pre-Funded Warrants until any such tax or governmental charge shall have been paid (any such tax or governmental charge being payable by the Holder at the time of exercise) or until it has been established to the Company’s and the Warrant Agent’s reasonable satisfaction that no such tax or governmental charge is due.</w:t>
      </w:r>
    </w:p>
    <w:p>
      <w:pPr>
        <w:spacing w:after="0" w:line="76" w:lineRule="exact"/>
        <w:rPr>
          <w:sz w:val="20"/>
          <w:szCs w:val="20"/>
          <w:color w:val="auto"/>
        </w:rPr>
      </w:pPr>
    </w:p>
    <w:p>
      <w:pPr>
        <w:ind w:left="428"/>
        <w:spacing w:after="0"/>
        <w:tabs>
          <w:tab w:leader="none" w:pos="848" w:val="left"/>
        </w:tabs>
        <w:rPr>
          <w:sz w:val="20"/>
          <w:szCs w:val="20"/>
          <w:color w:val="auto"/>
        </w:rPr>
      </w:pPr>
      <w:r>
        <w:rPr>
          <w:rFonts w:ascii="Times New Roman" w:cs="Times New Roman" w:eastAsia="Times New Roman" w:hAnsi="Times New Roman"/>
          <w:sz w:val="14"/>
          <w:szCs w:val="14"/>
          <w:color w:val="auto"/>
        </w:rPr>
        <w:t>11.2</w:t>
      </w:r>
      <w:r>
        <w:rPr>
          <w:sz w:val="20"/>
          <w:szCs w:val="20"/>
          <w:color w:val="auto"/>
        </w:rPr>
        <w:tab/>
      </w:r>
      <w:r>
        <w:rPr>
          <w:rFonts w:ascii="Times New Roman" w:cs="Times New Roman" w:eastAsia="Times New Roman" w:hAnsi="Times New Roman"/>
          <w:sz w:val="14"/>
          <w:szCs w:val="14"/>
          <w:u w:val="single" w:color="auto"/>
          <w:color w:val="auto"/>
        </w:rPr>
        <w:t>Resignation, Consolidation, or Merger of Warrant Agent</w:t>
      </w:r>
      <w:r>
        <w:rPr>
          <w:rFonts w:ascii="Times New Roman" w:cs="Times New Roman" w:eastAsia="Times New Roman" w:hAnsi="Times New Roman"/>
          <w:sz w:val="14"/>
          <w:szCs w:val="14"/>
          <w:color w:val="auto"/>
        </w:rPr>
        <w:t>.</w:t>
      </w:r>
    </w:p>
    <w:p>
      <w:pPr>
        <w:spacing w:after="0" w:line="118" w:lineRule="exact"/>
        <w:rPr>
          <w:sz w:val="20"/>
          <w:szCs w:val="20"/>
          <w:color w:val="auto"/>
        </w:rPr>
      </w:pPr>
    </w:p>
    <w:p>
      <w:pPr>
        <w:ind w:left="8" w:firstLine="864"/>
        <w:spacing w:after="0" w:line="263" w:lineRule="auto"/>
        <w:rPr>
          <w:sz w:val="20"/>
          <w:szCs w:val="20"/>
          <w:color w:val="auto"/>
        </w:rPr>
      </w:pPr>
      <w:r>
        <w:rPr>
          <w:rFonts w:ascii="Times New Roman" w:cs="Times New Roman" w:eastAsia="Times New Roman" w:hAnsi="Times New Roman"/>
          <w:sz w:val="14"/>
          <w:szCs w:val="14"/>
          <w:color w:val="auto"/>
        </w:rPr>
        <w:t xml:space="preserve">11.2.1 </w:t>
      </w:r>
      <w:r>
        <w:rPr>
          <w:rFonts w:ascii="Times New Roman" w:cs="Times New Roman" w:eastAsia="Times New Roman" w:hAnsi="Times New Roman"/>
          <w:sz w:val="14"/>
          <w:szCs w:val="14"/>
          <w:u w:val="single" w:color="auto"/>
          <w:color w:val="auto"/>
        </w:rPr>
        <w:t>Appointment of Successor Warrant Agent</w:t>
      </w:r>
      <w:r>
        <w:rPr>
          <w:rFonts w:ascii="Times New Roman" w:cs="Times New Roman" w:eastAsia="Times New Roman" w:hAnsi="Times New Roman"/>
          <w:sz w:val="14"/>
          <w:szCs w:val="14"/>
          <w:color w:val="auto"/>
        </w:rPr>
        <w:t>. The Warrant Agent, or any successor to it hereafter appointed, may resign its duties and be discharged from all further duties and liabilities hereunder after giving sixty (60)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30 days after it has been notified in writing of such resignation or incapacity by the Warrant Agent or by the holder of the Pre-Funded Warrant (who shall, with such notice, submit his, her or its Pre-Funded Warrant for inspection by the Company), then the holder of any Pre-Funded Warrant may apply to the Supreme Court of the State of New York for the County of New York for the appointment of a successor Warrant Agent at the Company’s cost. Any successor Warrant Agent, whether appointed by the Company or by such court, shall be a corporation organized and existing under the laws of the State of New York, in good standing and having its principal office in the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48"/>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288"/>
          </w:cols>
          <w:pgMar w:left="292" w:top="976" w:right="319" w:bottom="1440" w:gutter="0" w:footer="0" w:header="0"/>
        </w:sectPr>
      </w:pPr>
    </w:p>
    <w:bookmarkStart w:id="74" w:name="page75"/>
    <w:bookmarkEnd w:id="74"/>
    <w:p>
      <w:pPr>
        <w:spacing w:after="0" w:line="265" w:lineRule="auto"/>
        <w:rPr>
          <w:sz w:val="20"/>
          <w:szCs w:val="20"/>
          <w:color w:val="auto"/>
        </w:rPr>
      </w:pPr>
      <w:r>
        <w:rPr>
          <w:rFonts w:ascii="Times New Roman" w:cs="Times New Roman" w:eastAsia="Times New Roman" w:hAnsi="Times New Roman"/>
          <w:sz w:val="14"/>
          <w:szCs w:val="14"/>
          <w:color w:val="auto"/>
        </w:rPr>
        <w:t>Borough of Manhattan, City and State of New York, and authorized under such laws to exercise corporate trust powers and subject to supervision or examination by federal or state authority.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spacing w:after="0" w:line="76" w:lineRule="exact"/>
        <w:rPr>
          <w:sz w:val="20"/>
          <w:szCs w:val="20"/>
          <w:color w:val="auto"/>
        </w:rPr>
      </w:pPr>
    </w:p>
    <w:p>
      <w:pPr>
        <w:ind w:right="80" w:firstLine="864"/>
        <w:spacing w:after="0" w:line="295" w:lineRule="auto"/>
        <w:rPr>
          <w:sz w:val="20"/>
          <w:szCs w:val="20"/>
          <w:color w:val="auto"/>
        </w:rPr>
      </w:pPr>
      <w:r>
        <w:rPr>
          <w:rFonts w:ascii="Times New Roman" w:cs="Times New Roman" w:eastAsia="Times New Roman" w:hAnsi="Times New Roman"/>
          <w:sz w:val="14"/>
          <w:szCs w:val="14"/>
          <w:color w:val="auto"/>
        </w:rPr>
        <w:t xml:space="preserve">11.2.2 </w:t>
      </w:r>
      <w:r>
        <w:rPr>
          <w:rFonts w:ascii="Times New Roman" w:cs="Times New Roman" w:eastAsia="Times New Roman" w:hAnsi="Times New Roman"/>
          <w:sz w:val="14"/>
          <w:szCs w:val="14"/>
          <w:u w:val="single" w:color="auto"/>
          <w:color w:val="auto"/>
        </w:rPr>
        <w:t>Notice of Successor Warrant Agent</w:t>
      </w:r>
      <w:r>
        <w:rPr>
          <w:rFonts w:ascii="Times New Roman" w:cs="Times New Roman" w:eastAsia="Times New Roman" w:hAnsi="Times New Roman"/>
          <w:sz w:val="14"/>
          <w:szCs w:val="14"/>
          <w:color w:val="auto"/>
        </w:rPr>
        <w:t>. In the event a successor Warrant Agent shall be appointed, the Company shall give notice thereof to the predecessor Warrant Agent and the transfer agent for the Common Stock not later than the effective date of any such appointment.</w:t>
      </w:r>
    </w:p>
    <w:p>
      <w:pPr>
        <w:spacing w:after="0" w:line="63" w:lineRule="exact"/>
        <w:rPr>
          <w:sz w:val="20"/>
          <w:szCs w:val="20"/>
          <w:color w:val="auto"/>
        </w:rPr>
      </w:pPr>
    </w:p>
    <w:p>
      <w:pPr>
        <w:ind w:right="40" w:firstLine="864"/>
        <w:spacing w:after="0" w:line="295" w:lineRule="auto"/>
        <w:rPr>
          <w:sz w:val="20"/>
          <w:szCs w:val="20"/>
          <w:color w:val="auto"/>
        </w:rPr>
      </w:pPr>
      <w:r>
        <w:rPr>
          <w:rFonts w:ascii="Times New Roman" w:cs="Times New Roman" w:eastAsia="Times New Roman" w:hAnsi="Times New Roman"/>
          <w:sz w:val="14"/>
          <w:szCs w:val="14"/>
          <w:color w:val="auto"/>
        </w:rPr>
        <w:t xml:space="preserve">11.2.3 </w:t>
      </w:r>
      <w:r>
        <w:rPr>
          <w:rFonts w:ascii="Times New Roman" w:cs="Times New Roman" w:eastAsia="Times New Roman" w:hAnsi="Times New Roman"/>
          <w:sz w:val="14"/>
          <w:szCs w:val="14"/>
          <w:u w:val="single" w:color="auto"/>
          <w:color w:val="auto"/>
        </w:rPr>
        <w:t>Merger or Consolidation of Warrant Agent</w:t>
      </w:r>
      <w:r>
        <w:rPr>
          <w:rFonts w:ascii="Times New Roman" w:cs="Times New Roman" w:eastAsia="Times New Roman" w:hAnsi="Times New Roman"/>
          <w:sz w:val="14"/>
          <w:szCs w:val="14"/>
          <w:color w:val="auto"/>
        </w:rPr>
        <w:t>. Any corporation into which the Warrant Agent may be merged or with which it may be consolidated or any corporation resulting from any merger or consolidation to which the Warrant Agent shall be a party shall be the successor Warrant Agent under this Agreement without any further act.</w:t>
      </w:r>
    </w:p>
    <w:p>
      <w:pPr>
        <w:spacing w:after="0" w:line="54"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color w:val="auto"/>
        </w:rPr>
        <w:t>11.3</w:t>
      </w:r>
      <w:r>
        <w:rPr>
          <w:sz w:val="20"/>
          <w:szCs w:val="20"/>
          <w:color w:val="auto"/>
        </w:rPr>
        <w:tab/>
      </w:r>
      <w:r>
        <w:rPr>
          <w:rFonts w:ascii="Times New Roman" w:cs="Times New Roman" w:eastAsia="Times New Roman" w:hAnsi="Times New Roman"/>
          <w:sz w:val="14"/>
          <w:szCs w:val="14"/>
          <w:u w:val="single" w:color="auto"/>
          <w:color w:val="auto"/>
        </w:rPr>
        <w:t>Fees and Expenses of Warrant Agent</w:t>
      </w:r>
      <w:r>
        <w:rPr>
          <w:rFonts w:ascii="Times New Roman" w:cs="Times New Roman" w:eastAsia="Times New Roman" w:hAnsi="Times New Roman"/>
          <w:sz w:val="14"/>
          <w:szCs w:val="14"/>
          <w:color w:val="auto"/>
        </w:rPr>
        <w:t>.</w:t>
      </w:r>
    </w:p>
    <w:p>
      <w:pPr>
        <w:spacing w:after="0" w:line="118" w:lineRule="exact"/>
        <w:rPr>
          <w:sz w:val="20"/>
          <w:szCs w:val="20"/>
          <w:color w:val="auto"/>
        </w:rPr>
      </w:pPr>
    </w:p>
    <w:p>
      <w:pPr>
        <w:ind w:right="300" w:firstLine="864"/>
        <w:spacing w:after="0" w:line="295" w:lineRule="auto"/>
        <w:rPr>
          <w:sz w:val="20"/>
          <w:szCs w:val="20"/>
          <w:color w:val="auto"/>
        </w:rPr>
      </w:pPr>
      <w:r>
        <w:rPr>
          <w:rFonts w:ascii="Times New Roman" w:cs="Times New Roman" w:eastAsia="Times New Roman" w:hAnsi="Times New Roman"/>
          <w:sz w:val="14"/>
          <w:szCs w:val="14"/>
          <w:color w:val="auto"/>
        </w:rPr>
        <w:t xml:space="preserve">11.3.1 </w:t>
      </w:r>
      <w:r>
        <w:rPr>
          <w:rFonts w:ascii="Times New Roman" w:cs="Times New Roman" w:eastAsia="Times New Roman" w:hAnsi="Times New Roman"/>
          <w:sz w:val="14"/>
          <w:szCs w:val="14"/>
          <w:u w:val="single" w:color="auto"/>
          <w:color w:val="auto"/>
        </w:rPr>
        <w:t>Remuneration</w:t>
      </w:r>
      <w:r>
        <w:rPr>
          <w:rFonts w:ascii="Times New Roman" w:cs="Times New Roman" w:eastAsia="Times New Roman" w:hAnsi="Times New Roman"/>
          <w:sz w:val="14"/>
          <w:szCs w:val="14"/>
          <w:color w:val="auto"/>
        </w:rPr>
        <w:t>. The Company agrees to pay the Warrant Agent reasonable remuneration for its services as such Warrant Agent hereunder and will reimburse the Warrant Agent upon demand for all expenditures that the Warrant Agent may reasonably incur in the execution of its duties hereunder.</w:t>
      </w:r>
    </w:p>
    <w:p>
      <w:pPr>
        <w:spacing w:after="0" w:line="54" w:lineRule="exact"/>
        <w:rPr>
          <w:sz w:val="20"/>
          <w:szCs w:val="20"/>
          <w:color w:val="auto"/>
        </w:rPr>
      </w:pPr>
    </w:p>
    <w:p>
      <w:pPr>
        <w:ind w:firstLine="864"/>
        <w:spacing w:after="0" w:line="309" w:lineRule="auto"/>
        <w:rPr>
          <w:sz w:val="20"/>
          <w:szCs w:val="20"/>
          <w:color w:val="auto"/>
        </w:rPr>
      </w:pPr>
      <w:r>
        <w:rPr>
          <w:rFonts w:ascii="Times New Roman" w:cs="Times New Roman" w:eastAsia="Times New Roman" w:hAnsi="Times New Roman"/>
          <w:sz w:val="14"/>
          <w:szCs w:val="14"/>
          <w:color w:val="auto"/>
        </w:rPr>
        <w:t xml:space="preserve">11.3.2 </w:t>
      </w:r>
      <w:r>
        <w:rPr>
          <w:rFonts w:ascii="Times New Roman" w:cs="Times New Roman" w:eastAsia="Times New Roman" w:hAnsi="Times New Roman"/>
          <w:sz w:val="14"/>
          <w:szCs w:val="14"/>
          <w:u w:val="single" w:color="auto"/>
          <w:color w:val="auto"/>
        </w:rPr>
        <w:t>Further Assurances</w:t>
      </w:r>
      <w:r>
        <w:rPr>
          <w:rFonts w:ascii="Times New Roman" w:cs="Times New Roman" w:eastAsia="Times New Roman" w:hAnsi="Times New Roman"/>
          <w:sz w:val="14"/>
          <w:szCs w:val="14"/>
          <w:color w:val="auto"/>
        </w:rPr>
        <w:t>.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Agreement.</w:t>
      </w:r>
    </w:p>
    <w:p>
      <w:pPr>
        <w:spacing w:after="0" w:line="44"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color w:val="auto"/>
        </w:rPr>
        <w:t>11.4</w:t>
      </w:r>
      <w:r>
        <w:rPr>
          <w:sz w:val="20"/>
          <w:szCs w:val="20"/>
          <w:color w:val="auto"/>
        </w:rPr>
        <w:tab/>
      </w:r>
      <w:r>
        <w:rPr>
          <w:rFonts w:ascii="Times New Roman" w:cs="Times New Roman" w:eastAsia="Times New Roman" w:hAnsi="Times New Roman"/>
          <w:sz w:val="14"/>
          <w:szCs w:val="14"/>
          <w:u w:val="single" w:color="auto"/>
          <w:color w:val="auto"/>
        </w:rPr>
        <w:t>Liability of Warrant Agent</w:t>
      </w:r>
      <w:r>
        <w:rPr>
          <w:rFonts w:ascii="Times New Roman" w:cs="Times New Roman" w:eastAsia="Times New Roman" w:hAnsi="Times New Roman"/>
          <w:sz w:val="14"/>
          <w:szCs w:val="14"/>
          <w:color w:val="auto"/>
        </w:rPr>
        <w:t>.</w:t>
      </w:r>
    </w:p>
    <w:p>
      <w:pPr>
        <w:spacing w:after="0" w:line="118" w:lineRule="exact"/>
        <w:rPr>
          <w:sz w:val="20"/>
          <w:szCs w:val="20"/>
          <w:color w:val="auto"/>
        </w:rPr>
      </w:pPr>
    </w:p>
    <w:p>
      <w:pPr>
        <w:ind w:right="220" w:firstLine="864"/>
        <w:spacing w:after="0" w:line="272" w:lineRule="auto"/>
        <w:rPr>
          <w:sz w:val="20"/>
          <w:szCs w:val="20"/>
          <w:color w:val="auto"/>
        </w:rPr>
      </w:pPr>
      <w:r>
        <w:rPr>
          <w:rFonts w:ascii="Times New Roman" w:cs="Times New Roman" w:eastAsia="Times New Roman" w:hAnsi="Times New Roman"/>
          <w:sz w:val="14"/>
          <w:szCs w:val="14"/>
          <w:color w:val="auto"/>
        </w:rPr>
        <w:t xml:space="preserve">11.4.1 </w:t>
      </w:r>
      <w:r>
        <w:rPr>
          <w:rFonts w:ascii="Times New Roman" w:cs="Times New Roman" w:eastAsia="Times New Roman" w:hAnsi="Times New Roman"/>
          <w:sz w:val="14"/>
          <w:szCs w:val="14"/>
          <w:u w:val="single" w:color="auto"/>
          <w:color w:val="auto"/>
        </w:rPr>
        <w:t>Reliance on Company Statement</w:t>
      </w:r>
      <w:r>
        <w:rPr>
          <w:rFonts w:ascii="Times New Roman" w:cs="Times New Roman" w:eastAsia="Times New Roman" w:hAnsi="Times New Roman"/>
          <w:sz w:val="14"/>
          <w:szCs w:val="14"/>
          <w:color w:val="auto"/>
        </w:rPr>
        <w:t>. Whenever in the performance of its duties under this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President or Chairman of the Board of the Company and delivered to the Warrant Agent. The Warrant Agent may rely upon such statement for any action taken or suffered in good faith by it pursuant to the provisions of this Agreement.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280"/>
          </w:cols>
          <w:pgMar w:left="300" w:top="994" w:right="319" w:bottom="1440" w:gutter="0" w:footer="0" w:header="0"/>
        </w:sectPr>
      </w:pPr>
    </w:p>
    <w:bookmarkStart w:id="75" w:name="page76"/>
    <w:bookmarkEnd w:id="75"/>
    <w:p>
      <w:pPr>
        <w:ind w:left="8" w:right="200" w:firstLine="864"/>
        <w:spacing w:after="0" w:line="268" w:lineRule="auto"/>
        <w:rPr>
          <w:sz w:val="20"/>
          <w:szCs w:val="20"/>
          <w:color w:val="auto"/>
        </w:rPr>
      </w:pPr>
      <w:r>
        <w:rPr>
          <w:rFonts w:ascii="Times New Roman" w:cs="Times New Roman" w:eastAsia="Times New Roman" w:hAnsi="Times New Roman"/>
          <w:sz w:val="14"/>
          <w:szCs w:val="14"/>
          <w:color w:val="auto"/>
        </w:rPr>
        <w:t xml:space="preserve">11.4.2 </w:t>
      </w:r>
      <w:r>
        <w:rPr>
          <w:rFonts w:ascii="Times New Roman" w:cs="Times New Roman" w:eastAsia="Times New Roman" w:hAnsi="Times New Roman"/>
          <w:sz w:val="14"/>
          <w:szCs w:val="14"/>
          <w:u w:val="single" w:color="auto"/>
          <w:color w:val="auto"/>
        </w:rPr>
        <w:t>Indemnity</w:t>
      </w:r>
      <w:r>
        <w:rPr>
          <w:rFonts w:ascii="Times New Roman" w:cs="Times New Roman" w:eastAsia="Times New Roman" w:hAnsi="Times New Roman"/>
          <w:sz w:val="14"/>
          <w:szCs w:val="14"/>
          <w:color w:val="auto"/>
        </w:rPr>
        <w:t>. The Warrant Agent shall be liable hereunder only for its own gross negligence, willful misconduct or bad faith. The Company agrees to indemnify the Warrant Agent and save it harmless against any and all liabilities, including judgments, costs and reasonable counsel fees, for anything done or omitted by the Warrant Agent in the execution of this Agreement, except as a result of the Warrant Agent’s gross negligence, willful misconduct or bad faith. Notwithstanding anything in this Agreement to the contrary, any liability of the Warrant Agent under this Agreement will be limited to the amount of annual fees paid by the Company to the Warrant Agent during the twelve (12) months immediately preceding the event for which recovery from the Warrant Agent is being sought. The costs and expenses incurred by the Warrant Agent in enforcing this right of indemnification shall be paid by the Company.</w:t>
      </w:r>
    </w:p>
    <w:p>
      <w:pPr>
        <w:spacing w:after="0" w:line="73" w:lineRule="exact"/>
        <w:rPr>
          <w:sz w:val="20"/>
          <w:szCs w:val="20"/>
          <w:color w:val="auto"/>
        </w:rPr>
      </w:pPr>
    </w:p>
    <w:p>
      <w:pPr>
        <w:ind w:left="8" w:firstLine="864"/>
        <w:spacing w:after="0" w:line="266" w:lineRule="auto"/>
        <w:rPr>
          <w:sz w:val="20"/>
          <w:szCs w:val="20"/>
          <w:color w:val="auto"/>
        </w:rPr>
      </w:pPr>
      <w:r>
        <w:rPr>
          <w:rFonts w:ascii="Times New Roman" w:cs="Times New Roman" w:eastAsia="Times New Roman" w:hAnsi="Times New Roman"/>
          <w:sz w:val="14"/>
          <w:szCs w:val="14"/>
          <w:color w:val="auto"/>
        </w:rPr>
        <w:t xml:space="preserve">11.4.3 </w:t>
      </w:r>
      <w:r>
        <w:rPr>
          <w:rFonts w:ascii="Times New Roman" w:cs="Times New Roman" w:eastAsia="Times New Roman" w:hAnsi="Times New Roman"/>
          <w:sz w:val="14"/>
          <w:szCs w:val="14"/>
          <w:u w:val="single" w:color="auto"/>
          <w:color w:val="auto"/>
        </w:rPr>
        <w:t>Exclusions</w:t>
      </w:r>
      <w:r>
        <w:rPr>
          <w:rFonts w:ascii="Times New Roman" w:cs="Times New Roman" w:eastAsia="Times New Roman" w:hAnsi="Times New Roman"/>
          <w:sz w:val="14"/>
          <w:szCs w:val="14"/>
          <w:color w:val="auto"/>
        </w:rPr>
        <w:t>. The Warrant Agent shall have no responsibility with respect to the validity of this Agreement or with respect to the validity or execution of any Pre-Funded Warrant (except its countersignature thereof); nor shall it be responsible for any breach by the Company of any covenant or condition contained in this Agreement or in any Pre-Funded Warrant; nor shall it be responsible to make any adjustments required under the provisions of Section 6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shares of Common Stock to be issued pursuant to this Agreement or any Pre-Funded Warrant or as to whether any shares of Common Stock will when issued be valid and fully paid and nonassessable.</w:t>
      </w:r>
    </w:p>
    <w:p>
      <w:pPr>
        <w:spacing w:after="0" w:line="251" w:lineRule="exact"/>
        <w:rPr>
          <w:sz w:val="20"/>
          <w:szCs w:val="20"/>
          <w:color w:val="auto"/>
        </w:rPr>
      </w:pPr>
    </w:p>
    <w:p>
      <w:pPr>
        <w:ind w:left="8" w:right="100" w:firstLine="864"/>
        <w:spacing w:after="0" w:line="275" w:lineRule="auto"/>
        <w:rPr>
          <w:sz w:val="20"/>
          <w:szCs w:val="20"/>
          <w:color w:val="auto"/>
        </w:rPr>
      </w:pPr>
      <w:r>
        <w:rPr>
          <w:rFonts w:ascii="Times New Roman" w:cs="Times New Roman" w:eastAsia="Times New Roman" w:hAnsi="Times New Roman"/>
          <w:sz w:val="14"/>
          <w:szCs w:val="14"/>
          <w:color w:val="auto"/>
        </w:rPr>
        <w:t>11.4.4 Except in instances of bad faith, gross negligence, or willful misconduct (each as determined by a final non-appealable court of competent jurisdiction), neither party to this Agreement shall be liable to the other party for any consequential, indirect, punitive, special or incidental damages under any provisions of this Agreement or for any consequential, indirect, punitive, special or incidental damages arising out of any act or failure to act hereunder even if that party has been advised of or has foreseen the possibility of such damages.</w:t>
      </w:r>
    </w:p>
    <w:p>
      <w:pPr>
        <w:spacing w:after="0" w:line="77" w:lineRule="exact"/>
        <w:rPr>
          <w:sz w:val="20"/>
          <w:szCs w:val="20"/>
          <w:color w:val="auto"/>
        </w:rPr>
      </w:pPr>
    </w:p>
    <w:p>
      <w:pPr>
        <w:ind w:left="8" w:right="200" w:firstLine="864"/>
        <w:spacing w:after="0" w:line="295" w:lineRule="auto"/>
        <w:rPr>
          <w:sz w:val="20"/>
          <w:szCs w:val="20"/>
          <w:color w:val="auto"/>
        </w:rPr>
      </w:pPr>
      <w:r>
        <w:rPr>
          <w:rFonts w:ascii="Times New Roman" w:cs="Times New Roman" w:eastAsia="Times New Roman" w:hAnsi="Times New Roman"/>
          <w:sz w:val="14"/>
          <w:szCs w:val="14"/>
          <w:color w:val="auto"/>
        </w:rPr>
        <w:t>11.4.5 Notwithstanding anything contained herein to the contrary, the rights and obligations of the parties set forth in this Section 11 shall survive termination of this Agreement, the expiration of the Pre-Funded Warrants or the resignation, removal or replacement of the Warrant Agent.</w:t>
      </w:r>
    </w:p>
    <w:p>
      <w:pPr>
        <w:spacing w:after="0" w:line="54" w:lineRule="exact"/>
        <w:rPr>
          <w:sz w:val="20"/>
          <w:szCs w:val="20"/>
          <w:color w:val="auto"/>
        </w:rPr>
      </w:pPr>
    </w:p>
    <w:p>
      <w:pPr>
        <w:jc w:val="both"/>
        <w:ind w:left="8" w:right="40" w:firstLine="432"/>
        <w:spacing w:after="0" w:line="275" w:lineRule="auto"/>
        <w:rPr>
          <w:sz w:val="20"/>
          <w:szCs w:val="20"/>
          <w:color w:val="auto"/>
        </w:rPr>
      </w:pPr>
      <w:r>
        <w:rPr>
          <w:rFonts w:ascii="Times New Roman" w:cs="Times New Roman" w:eastAsia="Times New Roman" w:hAnsi="Times New Roman"/>
          <w:sz w:val="14"/>
          <w:szCs w:val="14"/>
          <w:color w:val="auto"/>
        </w:rPr>
        <w:t xml:space="preserve">11.5 </w:t>
      </w:r>
      <w:r>
        <w:rPr>
          <w:rFonts w:ascii="Times New Roman" w:cs="Times New Roman" w:eastAsia="Times New Roman" w:hAnsi="Times New Roman"/>
          <w:sz w:val="14"/>
          <w:szCs w:val="14"/>
          <w:u w:val="single" w:color="auto"/>
          <w:color w:val="auto"/>
        </w:rPr>
        <w:t>Acceptance of Agency</w:t>
      </w:r>
      <w:r>
        <w:rPr>
          <w:rFonts w:ascii="Times New Roman" w:cs="Times New Roman" w:eastAsia="Times New Roman" w:hAnsi="Times New Roman"/>
          <w:sz w:val="14"/>
          <w:szCs w:val="14"/>
          <w:color w:val="auto"/>
        </w:rPr>
        <w:t>. The Warrant Agent hereby accepts the agency established by this Agreement and agrees to perform the same upon the terms and conditions herein set forth and, among other things, shall account promptly to the Company with respect to Pre-Funded Warrants exercised and concurrently account for, and pay to the Company, all moneys received by the Warrant Agent for the purchase of shares of Common Stock through the exercise of Pre-Funded Warrants.</w:t>
      </w:r>
    </w:p>
    <w:p>
      <w:pPr>
        <w:spacing w:after="0" w:line="59" w:lineRule="exact"/>
        <w:rPr>
          <w:sz w:val="20"/>
          <w:szCs w:val="20"/>
          <w:color w:val="auto"/>
        </w:rPr>
      </w:pPr>
    </w:p>
    <w:p>
      <w:pPr>
        <w:ind w:left="428" w:hanging="428"/>
        <w:spacing w:after="0"/>
        <w:tabs>
          <w:tab w:leader="none" w:pos="428"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Certain Representations</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ind w:left="8" w:right="640" w:firstLine="432"/>
        <w:spacing w:after="0" w:line="295" w:lineRule="auto"/>
        <w:rPr>
          <w:sz w:val="20"/>
          <w:szCs w:val="20"/>
          <w:color w:val="auto"/>
        </w:rPr>
      </w:pPr>
      <w:r>
        <w:rPr>
          <w:rFonts w:ascii="Times New Roman" w:cs="Times New Roman" w:eastAsia="Times New Roman" w:hAnsi="Times New Roman"/>
          <w:sz w:val="14"/>
          <w:szCs w:val="14"/>
          <w:color w:val="auto"/>
        </w:rPr>
        <w:t>12.1 This Agreement has been duly authorized, executed and delivered by the Company and, assuming due authorization, execution and delivery hereof by the Warrant Agent, constitutes a valid and legally binding obligation of the Company enforceable against the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48"/>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288"/>
          </w:cols>
          <w:pgMar w:left="292" w:top="994" w:right="319" w:bottom="1440" w:gutter="0" w:footer="0" w:header="0"/>
        </w:sectPr>
      </w:pPr>
    </w:p>
    <w:bookmarkStart w:id="76" w:name="page77"/>
    <w:bookmarkEnd w:id="76"/>
    <w:p>
      <w:pPr>
        <w:ind w:left="8"/>
        <w:spacing w:after="0" w:line="272" w:lineRule="auto"/>
        <w:rPr>
          <w:sz w:val="20"/>
          <w:szCs w:val="20"/>
          <w:color w:val="auto"/>
        </w:rPr>
      </w:pPr>
      <w:r>
        <w:rPr>
          <w:rFonts w:ascii="Times New Roman" w:cs="Times New Roman" w:eastAsia="Times New Roman" w:hAnsi="Times New Roman"/>
          <w:sz w:val="14"/>
          <w:szCs w:val="14"/>
          <w:color w:val="auto"/>
        </w:rPr>
        <w:t>Company in accordance with its terms, and the Pre-Funded Warrants have been duly authorized, executed and issued by the Company and, assuming due execution thereof by the Warrant Agent pursuant hereto and payment therefor by the Holders as provided in the Registration Statement, constitute valid and legally binding obligations of the Company enforceable against the Company in accordance with their terms and entitled to the benefits hereof; in each case except as enforceability may be limited by bankruptcy, insolvency, reorganization, moratorium and other similar laws relating to or affecting creditors’ rights generally or by general equitable principles (regardless of whether such enforceability is considered in a proceeding in equity or at law).</w:t>
      </w:r>
    </w:p>
    <w:p>
      <w:pPr>
        <w:spacing w:after="0" w:line="71" w:lineRule="exact"/>
        <w:rPr>
          <w:sz w:val="20"/>
          <w:szCs w:val="20"/>
          <w:color w:val="auto"/>
        </w:rPr>
      </w:pPr>
    </w:p>
    <w:p>
      <w:pPr>
        <w:ind w:left="428"/>
        <w:spacing w:after="0"/>
        <w:tabs>
          <w:tab w:leader="none" w:pos="848" w:val="left"/>
        </w:tabs>
        <w:rPr>
          <w:sz w:val="20"/>
          <w:szCs w:val="20"/>
          <w:color w:val="auto"/>
        </w:rPr>
      </w:pPr>
      <w:r>
        <w:rPr>
          <w:rFonts w:ascii="Times New Roman" w:cs="Times New Roman" w:eastAsia="Times New Roman" w:hAnsi="Times New Roman"/>
          <w:sz w:val="14"/>
          <w:szCs w:val="14"/>
          <w:color w:val="auto"/>
        </w:rPr>
        <w:t>12.2</w:t>
        <w:tab/>
        <w:t>The Warrant Agent will create a special account for the issuance of Common Stock upon the exercise of Pre-Funded Warrants.</w:t>
      </w:r>
    </w:p>
    <w:p>
      <w:pPr>
        <w:spacing w:after="0" w:line="118" w:lineRule="exact"/>
        <w:rPr>
          <w:sz w:val="20"/>
          <w:szCs w:val="20"/>
          <w:color w:val="auto"/>
        </w:rPr>
      </w:pPr>
    </w:p>
    <w:p>
      <w:pPr>
        <w:ind w:left="428" w:hanging="428"/>
        <w:spacing w:after="0"/>
        <w:tabs>
          <w:tab w:leader="none" w:pos="428"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Miscellaneous Provisions</w:t>
      </w:r>
      <w:r>
        <w:rPr>
          <w:rFonts w:ascii="Times New Roman" w:cs="Times New Roman" w:eastAsia="Times New Roman" w:hAnsi="Times New Roman"/>
          <w:sz w:val="14"/>
          <w:szCs w:val="14"/>
          <w:color w:val="auto"/>
        </w:rPr>
        <w:t>.</w:t>
      </w:r>
    </w:p>
    <w:p>
      <w:pPr>
        <w:spacing w:after="0" w:line="118" w:lineRule="exact"/>
        <w:rPr>
          <w:sz w:val="20"/>
          <w:szCs w:val="20"/>
          <w:color w:val="auto"/>
        </w:rPr>
      </w:pPr>
    </w:p>
    <w:p>
      <w:pPr>
        <w:ind w:left="8" w:right="300" w:firstLine="432"/>
        <w:spacing w:after="0" w:line="295" w:lineRule="auto"/>
        <w:rPr>
          <w:sz w:val="20"/>
          <w:szCs w:val="20"/>
          <w:color w:val="auto"/>
        </w:rPr>
      </w:pPr>
      <w:r>
        <w:rPr>
          <w:rFonts w:ascii="Times New Roman" w:cs="Times New Roman" w:eastAsia="Times New Roman" w:hAnsi="Times New Roman"/>
          <w:sz w:val="14"/>
          <w:szCs w:val="14"/>
          <w:color w:val="auto"/>
        </w:rPr>
        <w:t xml:space="preserve">13.1 </w:t>
      </w:r>
      <w:r>
        <w:rPr>
          <w:rFonts w:ascii="Times New Roman" w:cs="Times New Roman" w:eastAsia="Times New Roman" w:hAnsi="Times New Roman"/>
          <w:sz w:val="14"/>
          <w:szCs w:val="14"/>
          <w:u w:val="single" w:color="auto"/>
          <w:color w:val="auto"/>
        </w:rPr>
        <w:t>Successors</w:t>
      </w:r>
      <w:r>
        <w:rPr>
          <w:rFonts w:ascii="Times New Roman" w:cs="Times New Roman" w:eastAsia="Times New Roman" w:hAnsi="Times New Roman"/>
          <w:sz w:val="14"/>
          <w:szCs w:val="14"/>
          <w:color w:val="auto"/>
        </w:rPr>
        <w:t>. All the covenants and provisions of this Agreement by or for the benefit of the Company or the Warrant Agent shall bind and inure to the benefit of their respective successors and assigns.</w:t>
      </w:r>
    </w:p>
    <w:p>
      <w:pPr>
        <w:spacing w:after="0" w:line="63" w:lineRule="exact"/>
        <w:rPr>
          <w:sz w:val="20"/>
          <w:szCs w:val="20"/>
          <w:color w:val="auto"/>
        </w:rPr>
      </w:pPr>
    </w:p>
    <w:p>
      <w:pPr>
        <w:ind w:left="8" w:firstLine="432"/>
        <w:spacing w:after="0" w:line="287" w:lineRule="auto"/>
        <w:rPr>
          <w:sz w:val="20"/>
          <w:szCs w:val="20"/>
          <w:color w:val="auto"/>
        </w:rPr>
      </w:pPr>
      <w:r>
        <w:rPr>
          <w:rFonts w:ascii="Times New Roman" w:cs="Times New Roman" w:eastAsia="Times New Roman" w:hAnsi="Times New Roman"/>
          <w:sz w:val="14"/>
          <w:szCs w:val="14"/>
          <w:color w:val="auto"/>
        </w:rPr>
        <w:t xml:space="preserve">13.2 </w:t>
      </w: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Any notice, statement or demand authorized by this Agreement to be given or made by the Warrant Agent or by the holder of any Pre-Funded Warrant to or on the Company shall be delivered by hand or sent by registered or certified mail or overnight courier service, addressed (until another address is filed in writing by the Company with the Warrant Agent) as follows:</w:t>
      </w:r>
    </w:p>
    <w:p>
      <w:pPr>
        <w:spacing w:after="0" w:line="236"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4"/>
          <w:szCs w:val="14"/>
          <w:color w:val="auto"/>
        </w:rPr>
        <w:t>QT Imaging Holdings, Inc.</w:t>
      </w:r>
    </w:p>
    <w:p>
      <w:pPr>
        <w:spacing w:after="0" w:line="26"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4"/>
          <w:szCs w:val="14"/>
          <w:color w:val="auto"/>
        </w:rPr>
        <w:t>3 Hamilton Landing, Suite 160</w:t>
      </w:r>
    </w:p>
    <w:p>
      <w:pPr>
        <w:spacing w:after="0" w:line="10"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4"/>
          <w:szCs w:val="14"/>
          <w:color w:val="auto"/>
        </w:rPr>
        <w:t>Novato, CA 94949</w:t>
      </w:r>
    </w:p>
    <w:p>
      <w:pPr>
        <w:spacing w:after="0" w:line="11"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4"/>
          <w:szCs w:val="14"/>
          <w:color w:val="auto"/>
        </w:rPr>
        <w:t>Attention: Dr. Raluca Dinu, CEO</w:t>
      </w:r>
    </w:p>
    <w:p>
      <w:pPr>
        <w:spacing w:after="0" w:line="18"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4"/>
          <w:szCs w:val="14"/>
          <w:color w:val="auto"/>
        </w:rPr>
        <w:t>Telephone: [***]</w:t>
      </w:r>
    </w:p>
    <w:p>
      <w:pPr>
        <w:spacing w:after="0" w:line="10"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4"/>
          <w:szCs w:val="14"/>
          <w:color w:val="auto"/>
        </w:rPr>
        <w:t>Email: [***]</w:t>
      </w:r>
    </w:p>
    <w:p>
      <w:pPr>
        <w:spacing w:after="0" w:line="102"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4"/>
          <w:szCs w:val="14"/>
          <w:color w:val="auto"/>
        </w:rPr>
        <w:t>With a copy to:</w:t>
      </w:r>
    </w:p>
    <w:p>
      <w:pPr>
        <w:spacing w:after="0" w:line="118"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4"/>
          <w:szCs w:val="14"/>
          <w:color w:val="auto"/>
        </w:rPr>
        <w:t>DLA Piper LLP (US)</w:t>
      </w:r>
    </w:p>
    <w:p>
      <w:pPr>
        <w:spacing w:after="0" w:line="27"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4"/>
          <w:szCs w:val="14"/>
          <w:color w:val="auto"/>
        </w:rPr>
        <w:t>555 Mission Street, Suite 2400</w:t>
      </w:r>
    </w:p>
    <w:p>
      <w:pPr>
        <w:spacing w:after="0" w:line="18"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4"/>
          <w:szCs w:val="14"/>
          <w:color w:val="auto"/>
        </w:rPr>
        <w:t>San Francisco, CA 94105</w:t>
      </w:r>
    </w:p>
    <w:p>
      <w:pPr>
        <w:spacing w:after="0" w:line="10"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4"/>
          <w:szCs w:val="14"/>
          <w:color w:val="auto"/>
        </w:rPr>
        <w:t>Attention: Jeffrey C. Selman</w:t>
      </w:r>
    </w:p>
    <w:p>
      <w:pPr>
        <w:spacing w:after="0" w:line="10"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4"/>
          <w:szCs w:val="14"/>
          <w:color w:val="auto"/>
        </w:rPr>
        <w:t>Telephone: [***]</w:t>
      </w:r>
    </w:p>
    <w:p>
      <w:pPr>
        <w:spacing w:after="0" w:line="10"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4"/>
          <w:szCs w:val="14"/>
          <w:color w:val="auto"/>
        </w:rPr>
        <w:t>Email: [***]</w:t>
      </w:r>
    </w:p>
    <w:p>
      <w:pPr>
        <w:spacing w:after="0" w:line="111" w:lineRule="exact"/>
        <w:rPr>
          <w:sz w:val="20"/>
          <w:szCs w:val="20"/>
          <w:color w:val="auto"/>
        </w:rPr>
      </w:pPr>
    </w:p>
    <w:p>
      <w:pPr>
        <w:ind w:left="8" w:right="100"/>
        <w:spacing w:after="0" w:line="295" w:lineRule="auto"/>
        <w:rPr>
          <w:sz w:val="20"/>
          <w:szCs w:val="20"/>
          <w:color w:val="auto"/>
        </w:rPr>
      </w:pPr>
      <w:r>
        <w:rPr>
          <w:rFonts w:ascii="Times New Roman" w:cs="Times New Roman" w:eastAsia="Times New Roman" w:hAnsi="Times New Roman"/>
          <w:sz w:val="14"/>
          <w:szCs w:val="14"/>
          <w:color w:val="auto"/>
        </w:rPr>
        <w:t>Any notice, statement or demand authorized by this Agreement to be given or made by the holder of any Pre-Funded Warrant or by the Company to or on the Warrant Agent shall be delivered by hand or sent by registered or certified mail or overnight courier service, addressed (until another address is filed in writing by the Company with the Warrant Agent) as follows: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48"/>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288"/>
          </w:cols>
          <w:pgMar w:left="292" w:top="994" w:right="319" w:bottom="1440" w:gutter="0" w:footer="0" w:header="0"/>
        </w:sectPr>
      </w:pPr>
    </w:p>
    <w:bookmarkStart w:id="77" w:name="page78"/>
    <w:bookmarkEnd w:id="77"/>
    <w:p>
      <w:pPr>
        <w:ind w:left="860"/>
        <w:spacing w:after="0"/>
        <w:rPr>
          <w:sz w:val="20"/>
          <w:szCs w:val="20"/>
          <w:color w:val="auto"/>
        </w:rPr>
      </w:pPr>
      <w:r>
        <w:rPr>
          <w:rFonts w:ascii="Times New Roman" w:cs="Times New Roman" w:eastAsia="Times New Roman" w:hAnsi="Times New Roman"/>
          <w:sz w:val="14"/>
          <w:szCs w:val="14"/>
          <w:color w:val="auto"/>
        </w:rPr>
        <w:t>Continental Stock Transfer &amp; Trust Company</w:t>
      </w:r>
    </w:p>
    <w:p>
      <w:pPr>
        <w:spacing w:after="0" w:line="2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1 State Street, 30 FL</w:t>
      </w:r>
    </w:p>
    <w:p>
      <w:pPr>
        <w:spacing w:after="0" w:line="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New York, New York 10004</w:t>
      </w:r>
    </w:p>
    <w:p>
      <w:pPr>
        <w:spacing w:after="0" w:line="11" w:lineRule="exact"/>
        <w:rPr>
          <w:sz w:val="20"/>
          <w:szCs w:val="20"/>
          <w:color w:val="auto"/>
        </w:rPr>
      </w:pPr>
    </w:p>
    <w:p>
      <w:pPr>
        <w:ind w:left="860"/>
        <w:spacing w:after="0"/>
        <w:tabs>
          <w:tab w:leader="none" w:pos="1280" w:val="left"/>
        </w:tabs>
        <w:rPr>
          <w:sz w:val="20"/>
          <w:szCs w:val="20"/>
          <w:color w:val="auto"/>
        </w:rPr>
      </w:pPr>
      <w:r>
        <w:rPr>
          <w:rFonts w:ascii="Times New Roman" w:cs="Times New Roman" w:eastAsia="Times New Roman" w:hAnsi="Times New Roman"/>
          <w:sz w:val="14"/>
          <w:szCs w:val="14"/>
          <w:color w:val="auto"/>
        </w:rPr>
        <w:t>Attn:</w:t>
        <w:tab/>
        <w:t>Compliance Department</w:t>
      </w:r>
    </w:p>
    <w:p>
      <w:pPr>
        <w:spacing w:after="0" w:line="110" w:lineRule="exact"/>
        <w:rPr>
          <w:sz w:val="20"/>
          <w:szCs w:val="20"/>
          <w:color w:val="auto"/>
        </w:rPr>
      </w:pPr>
    </w:p>
    <w:p>
      <w:pPr>
        <w:ind w:right="40"/>
        <w:spacing w:after="0" w:line="295" w:lineRule="auto"/>
        <w:rPr>
          <w:sz w:val="20"/>
          <w:szCs w:val="20"/>
          <w:color w:val="auto"/>
        </w:rPr>
      </w:pPr>
      <w:r>
        <w:rPr>
          <w:rFonts w:ascii="Times New Roman" w:cs="Times New Roman" w:eastAsia="Times New Roman" w:hAnsi="Times New Roman"/>
          <w:sz w:val="14"/>
          <w:szCs w:val="14"/>
          <w:color w:val="auto"/>
        </w:rPr>
        <w:t>Any notice, sent pursuant to this Agreement shall be effective, if delivered by hand, upon receipt thereof by the party to whom it is addressed, if sent by overnight courier, on the next business day of the delivery to the courier, and if sent by registered or certified mail on the third day after registration or certification thereof.</w:t>
      </w:r>
    </w:p>
    <w:p>
      <w:pPr>
        <w:spacing w:after="0" w:line="54" w:lineRule="exact"/>
        <w:rPr>
          <w:sz w:val="20"/>
          <w:szCs w:val="20"/>
          <w:color w:val="auto"/>
        </w:rPr>
      </w:pPr>
    </w:p>
    <w:p>
      <w:pPr>
        <w:ind w:right="20" w:firstLine="432"/>
        <w:spacing w:after="0" w:line="263" w:lineRule="auto"/>
        <w:rPr>
          <w:sz w:val="20"/>
          <w:szCs w:val="20"/>
          <w:color w:val="auto"/>
        </w:rPr>
      </w:pPr>
      <w:r>
        <w:rPr>
          <w:rFonts w:ascii="Times New Roman" w:cs="Times New Roman" w:eastAsia="Times New Roman" w:hAnsi="Times New Roman"/>
          <w:sz w:val="14"/>
          <w:szCs w:val="14"/>
          <w:color w:val="auto"/>
        </w:rPr>
        <w:t xml:space="preserve">13.3 </w:t>
      </w:r>
      <w:r>
        <w:rPr>
          <w:rFonts w:ascii="Times New Roman" w:cs="Times New Roman" w:eastAsia="Times New Roman" w:hAnsi="Times New Roman"/>
          <w:sz w:val="14"/>
          <w:szCs w:val="14"/>
          <w:u w:val="single" w:color="auto"/>
          <w:color w:val="auto"/>
        </w:rPr>
        <w:t>Applicable Law</w:t>
      </w:r>
      <w:r>
        <w:rPr>
          <w:rFonts w:ascii="Times New Roman" w:cs="Times New Roman" w:eastAsia="Times New Roman" w:hAnsi="Times New Roman"/>
          <w:sz w:val="14"/>
          <w:szCs w:val="14"/>
          <w:color w:val="auto"/>
        </w:rPr>
        <w:t>. The validity, interpretation and performance of this Agreement and of the Pre-Funded Warrants shall be governed in all respects by the laws of the State of New York, without giving effect to conflicts of law principles that would result in the application of the substantive laws of another jurisdiction. The Company hereby agrees that any action, proceeding or claim against it arising out of or relating in any way to this Agreement shall be brought and enforced in the courts of the State of New York or the United States District Court for the Southern District of New York, and irrevocably submits to such jurisdiction, which jurisdiction shall be exclusive. The Company hereby waives any objection to such exclusive jurisdiction and that such courts represent an inconvenient forum. Any such process or summons to be served upon the Company may be served by transmitting a copy thereof by registered or certified mail, return receipt requested, postage prepaid, addressed to it at the address set forth in Section 13.2 hereof. Such mailing shall be deemed personal service and shall be legal and binding upon the Company in any action, proceeding or claim.</w:t>
      </w:r>
    </w:p>
    <w:p>
      <w:pPr>
        <w:spacing w:after="0" w:line="79" w:lineRule="exact"/>
        <w:rPr>
          <w:sz w:val="20"/>
          <w:szCs w:val="20"/>
          <w:color w:val="auto"/>
        </w:rPr>
      </w:pPr>
    </w:p>
    <w:p>
      <w:pPr>
        <w:ind w:right="100" w:firstLine="432"/>
        <w:spacing w:after="0" w:line="272" w:lineRule="auto"/>
        <w:rPr>
          <w:sz w:val="20"/>
          <w:szCs w:val="20"/>
          <w:color w:val="auto"/>
        </w:rPr>
      </w:pPr>
      <w:r>
        <w:rPr>
          <w:rFonts w:ascii="Times New Roman" w:cs="Times New Roman" w:eastAsia="Times New Roman" w:hAnsi="Times New Roman"/>
          <w:sz w:val="14"/>
          <w:szCs w:val="14"/>
          <w:color w:val="auto"/>
        </w:rPr>
        <w:t xml:space="preserve">13.4 </w:t>
      </w:r>
      <w:r>
        <w:rPr>
          <w:rFonts w:ascii="Times New Roman" w:cs="Times New Roman" w:eastAsia="Times New Roman" w:hAnsi="Times New Roman"/>
          <w:sz w:val="14"/>
          <w:szCs w:val="14"/>
          <w:u w:val="single" w:color="auto"/>
          <w:color w:val="auto"/>
        </w:rPr>
        <w:t>Persons Having Rights under this Agreement</w:t>
      </w:r>
      <w:r>
        <w:rPr>
          <w:rFonts w:ascii="Times New Roman" w:cs="Times New Roman" w:eastAsia="Times New Roman" w:hAnsi="Times New Roman"/>
          <w:sz w:val="14"/>
          <w:szCs w:val="14"/>
          <w:color w:val="auto"/>
        </w:rPr>
        <w:t>. Nothing in this Agreement expressed and nothing that may be implied from any of the provisions hereof is intended, or shall be construed, to confer upon, or give to, any person or corporation other than the parties hereto and the registered holders of the Pre-Funded Warrants, any right, remedy, or claim under or by reason of this Agreement or of any covenant, condition, stipulation, promise, or agreement hereof. All covenants, conditions, stipulations, promises, and agreements contained in this Agreement shall be for the sole and exclusive benefit of the parties hereto and their successors and assigns and of the registered holders of the Pre-Funded Warrants.</w:t>
      </w:r>
    </w:p>
    <w:p>
      <w:pPr>
        <w:spacing w:after="0" w:line="71" w:lineRule="exact"/>
        <w:rPr>
          <w:sz w:val="20"/>
          <w:szCs w:val="20"/>
          <w:color w:val="auto"/>
        </w:rPr>
      </w:pPr>
    </w:p>
    <w:p>
      <w:pPr>
        <w:ind w:firstLine="432"/>
        <w:spacing w:after="0" w:line="295" w:lineRule="auto"/>
        <w:rPr>
          <w:sz w:val="20"/>
          <w:szCs w:val="20"/>
          <w:color w:val="auto"/>
        </w:rPr>
      </w:pPr>
      <w:r>
        <w:rPr>
          <w:rFonts w:ascii="Times New Roman" w:cs="Times New Roman" w:eastAsia="Times New Roman" w:hAnsi="Times New Roman"/>
          <w:sz w:val="14"/>
          <w:szCs w:val="14"/>
          <w:color w:val="auto"/>
        </w:rPr>
        <w:t xml:space="preserve">13.5 </w:t>
      </w:r>
      <w:r>
        <w:rPr>
          <w:rFonts w:ascii="Times New Roman" w:cs="Times New Roman" w:eastAsia="Times New Roman" w:hAnsi="Times New Roman"/>
          <w:sz w:val="14"/>
          <w:szCs w:val="14"/>
          <w:u w:val="single" w:color="auto"/>
          <w:color w:val="auto"/>
        </w:rPr>
        <w:t>Examination of the Warrant Agency Agreement</w:t>
      </w:r>
      <w:r>
        <w:rPr>
          <w:rFonts w:ascii="Times New Roman" w:cs="Times New Roman" w:eastAsia="Times New Roman" w:hAnsi="Times New Roman"/>
          <w:sz w:val="14"/>
          <w:szCs w:val="14"/>
          <w:color w:val="auto"/>
        </w:rPr>
        <w:t>. A copy of this Agreement shall be available at all reasonable times at the office of the Agent in the Borough of Manhattan, City and State of New York, for inspection by the registered holder of any Pre-Funded Warrant.</w:t>
      </w:r>
    </w:p>
    <w:p>
      <w:pPr>
        <w:spacing w:after="0" w:line="63" w:lineRule="exact"/>
        <w:rPr>
          <w:sz w:val="20"/>
          <w:szCs w:val="20"/>
          <w:color w:val="auto"/>
        </w:rPr>
      </w:pPr>
    </w:p>
    <w:p>
      <w:pPr>
        <w:ind w:right="440" w:firstLine="432"/>
        <w:spacing w:after="0" w:line="275" w:lineRule="auto"/>
        <w:rPr>
          <w:sz w:val="20"/>
          <w:szCs w:val="20"/>
          <w:color w:val="auto"/>
        </w:rPr>
      </w:pPr>
      <w:r>
        <w:rPr>
          <w:rFonts w:ascii="Times New Roman" w:cs="Times New Roman" w:eastAsia="Times New Roman" w:hAnsi="Times New Roman"/>
          <w:sz w:val="14"/>
          <w:szCs w:val="14"/>
          <w:color w:val="auto"/>
        </w:rPr>
        <w:t xml:space="preserve">13.6 </w:t>
      </w: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 This Agreement may be executed in any number of counterparts and each of such counterparts shall for all purposes be deemed to be an original, and all such counterparts shall together constitute but one and the same instrument. A signature to this Agreement transmitted electronically shall have the same authority, effect and enforceability as an original signature.</w:t>
      </w:r>
    </w:p>
    <w:p>
      <w:pPr>
        <w:spacing w:after="0" w:line="68"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4"/>
          <w:szCs w:val="14"/>
          <w:color w:val="auto"/>
        </w:rPr>
        <w:t>13.7</w:t>
      </w:r>
      <w:r>
        <w:rPr>
          <w:sz w:val="20"/>
          <w:szCs w:val="20"/>
          <w:color w:val="auto"/>
        </w:rPr>
        <w:tab/>
      </w:r>
      <w:r>
        <w:rPr>
          <w:rFonts w:ascii="Times New Roman" w:cs="Times New Roman" w:eastAsia="Times New Roman" w:hAnsi="Times New Roman"/>
          <w:sz w:val="14"/>
          <w:szCs w:val="14"/>
          <w:u w:val="single" w:color="auto"/>
          <w:color w:val="auto"/>
        </w:rPr>
        <w:t>Effect of Headings</w:t>
      </w:r>
      <w:r>
        <w:rPr>
          <w:rFonts w:ascii="Times New Roman" w:cs="Times New Roman" w:eastAsia="Times New Roman" w:hAnsi="Times New Roman"/>
          <w:sz w:val="14"/>
          <w:szCs w:val="14"/>
          <w:color w:val="auto"/>
        </w:rPr>
        <w:t>. The section headings herein are for convenience only and are not part of this Agreement and shall not affect the interpretation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1280"/>
          </w:cols>
          <w:pgMar w:left="300" w:top="994" w:right="319" w:bottom="1440" w:gutter="0" w:footer="0" w:header="0"/>
        </w:sectPr>
      </w:pPr>
    </w:p>
    <w:bookmarkStart w:id="78" w:name="page79"/>
    <w:bookmarkEnd w:id="78"/>
    <w:p>
      <w:pPr>
        <w:ind w:right="80" w:firstLine="432"/>
        <w:spacing w:after="0" w:line="263" w:lineRule="auto"/>
        <w:rPr>
          <w:sz w:val="20"/>
          <w:szCs w:val="20"/>
          <w:color w:val="auto"/>
        </w:rPr>
      </w:pPr>
      <w:r>
        <w:rPr>
          <w:rFonts w:ascii="Times New Roman" w:cs="Times New Roman" w:eastAsia="Times New Roman" w:hAnsi="Times New Roman"/>
          <w:sz w:val="14"/>
          <w:szCs w:val="14"/>
          <w:color w:val="auto"/>
        </w:rPr>
        <w:t xml:space="preserve">13.8 </w:t>
      </w:r>
      <w:r>
        <w:rPr>
          <w:rFonts w:ascii="Times New Roman" w:cs="Times New Roman" w:eastAsia="Times New Roman" w:hAnsi="Times New Roman"/>
          <w:sz w:val="14"/>
          <w:szCs w:val="14"/>
          <w:u w:val="single" w:color="auto"/>
          <w:color w:val="auto"/>
        </w:rPr>
        <w:t>Amendments</w:t>
      </w:r>
      <w:r>
        <w:rPr>
          <w:rFonts w:ascii="Times New Roman" w:cs="Times New Roman" w:eastAsia="Times New Roman" w:hAnsi="Times New Roman"/>
          <w:sz w:val="14"/>
          <w:szCs w:val="14"/>
          <w:color w:val="auto"/>
        </w:rPr>
        <w:t xml:space="preserve">. This Agreement may be amended by the parties hereto without the consent of any registered holder for the purpose of curing any ambiguity, or curing, correcting or supplementing any defective provision contained herein or adding or changing any other provisions with respect to matters or questions arising under this Agreement as the parties may deem necessary or desirable and that the parties deem shall not adversely affect the interest of the registered holders in any material respect. All other modifications or amendments shall require the written consent of the registered holders of a majority of the then outstanding Pre-Funded Warrants;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no modification of the terms upon which the Pre-Funded Warrants are exercisable may be made without the consent of each registered holder affected thereby. Notwithstanding the foregoing, the Company may lower the Warrant Price pursuant to Section 5.1. As a condition precedent to the Warrant Agent’s execution of any amendment, the Company shall deliver to the Warrant Agent a certificate from a duly authorized officer of the Company that states that the proposed amendment complies with the terms of this Section. No supplement or amendment to this Agreement shall be effective unless duly executed by the Warrant Agent.</w:t>
      </w:r>
    </w:p>
    <w:p>
      <w:pPr>
        <w:spacing w:after="0" w:line="79" w:lineRule="exact"/>
        <w:rPr>
          <w:sz w:val="20"/>
          <w:szCs w:val="20"/>
          <w:color w:val="auto"/>
        </w:rPr>
      </w:pPr>
    </w:p>
    <w:p>
      <w:pPr>
        <w:jc w:val="both"/>
        <w:ind w:right="100" w:firstLine="432"/>
        <w:spacing w:after="0" w:line="282" w:lineRule="auto"/>
        <w:rPr>
          <w:sz w:val="20"/>
          <w:szCs w:val="20"/>
          <w:color w:val="auto"/>
        </w:rPr>
      </w:pPr>
      <w:r>
        <w:rPr>
          <w:rFonts w:ascii="Times New Roman" w:cs="Times New Roman" w:eastAsia="Times New Roman" w:hAnsi="Times New Roman"/>
          <w:sz w:val="14"/>
          <w:szCs w:val="14"/>
          <w:color w:val="auto"/>
        </w:rPr>
        <w:t xml:space="preserve">13.9 </w:t>
      </w: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Whenever possible, each provision of this Agreement shall be interpreted in such manner as to be effective and valid under applicable law, but if any provision of this Agreement is held to be prohibited by or invalid under applicable law, such provision shall be ineffective only to the extent of such prohibition or invalidity, without invalidating the remainder of this Agreement.</w:t>
      </w:r>
    </w:p>
    <w:p>
      <w:pPr>
        <w:spacing w:after="0" w:line="63" w:lineRule="exact"/>
        <w:rPr>
          <w:sz w:val="20"/>
          <w:szCs w:val="20"/>
          <w:color w:val="auto"/>
        </w:rPr>
      </w:pPr>
    </w:p>
    <w:p>
      <w:pPr>
        <w:ind w:firstLine="432"/>
        <w:spacing w:after="0" w:line="268" w:lineRule="auto"/>
        <w:rPr>
          <w:sz w:val="20"/>
          <w:szCs w:val="20"/>
          <w:color w:val="auto"/>
        </w:rPr>
      </w:pPr>
      <w:r>
        <w:rPr>
          <w:rFonts w:ascii="Times New Roman" w:cs="Times New Roman" w:eastAsia="Times New Roman" w:hAnsi="Times New Roman"/>
          <w:sz w:val="14"/>
          <w:szCs w:val="14"/>
          <w:color w:val="auto"/>
        </w:rPr>
        <w:t xml:space="preserve">13.10 </w:t>
      </w:r>
      <w:r>
        <w:rPr>
          <w:rFonts w:ascii="Times New Roman" w:cs="Times New Roman" w:eastAsia="Times New Roman" w:hAnsi="Times New Roman"/>
          <w:sz w:val="14"/>
          <w:szCs w:val="14"/>
          <w:u w:val="single" w:color="auto"/>
          <w:color w:val="auto"/>
        </w:rPr>
        <w:t>Force Majeure</w:t>
      </w:r>
      <w:r>
        <w:rPr>
          <w:rFonts w:ascii="Times New Roman" w:cs="Times New Roman" w:eastAsia="Times New Roman" w:hAnsi="Times New Roman"/>
          <w:sz w:val="14"/>
          <w:szCs w:val="14"/>
          <w:color w:val="auto"/>
        </w:rPr>
        <w:t>. Notwithstanding anything to the contrary contained herein, the Warrant Agent shall not be liable for any delays or failures in performance resulting from acts beyond its reasonable control including, without limitation, acts of God, terrorist acts, shortage of supply, breakdowns or malfunctions, interruptions or malfunction of computer facilities, or loss of data due to power failures or mechanical difficulties with information storage or retrieval systems, labor difficulties, war, or civil unrest, it being understood that the Warrant Agent shall use reasonable best efforts which are consistent with accepted practices in the banking industry to resume performance as soon as practicable under the circumstances. Notwithstanding anything herein to the contrary, this Section shall not affect the Company’s obligations to the Holders of the Pre-Funded Warrants as provided herein.</w:t>
      </w:r>
    </w:p>
    <w:p>
      <w:pPr>
        <w:spacing w:after="0" w:line="73" w:lineRule="exact"/>
        <w:rPr>
          <w:sz w:val="20"/>
          <w:szCs w:val="20"/>
          <w:color w:val="auto"/>
        </w:rPr>
      </w:pPr>
    </w:p>
    <w:p>
      <w:pPr>
        <w:ind w:right="240" w:firstLine="432"/>
        <w:spacing w:after="0" w:line="295" w:lineRule="auto"/>
        <w:rPr>
          <w:sz w:val="20"/>
          <w:szCs w:val="20"/>
          <w:color w:val="auto"/>
        </w:rPr>
      </w:pPr>
      <w:r>
        <w:rPr>
          <w:rFonts w:ascii="Times New Roman" w:cs="Times New Roman" w:eastAsia="Times New Roman" w:hAnsi="Times New Roman"/>
          <w:sz w:val="14"/>
          <w:szCs w:val="14"/>
          <w:color w:val="auto"/>
        </w:rPr>
        <w:t xml:space="preserve">13.11 </w:t>
      </w:r>
      <w:r>
        <w:rPr>
          <w:rFonts w:ascii="Times New Roman" w:cs="Times New Roman" w:eastAsia="Times New Roman" w:hAnsi="Times New Roman"/>
          <w:sz w:val="14"/>
          <w:szCs w:val="14"/>
          <w:u w:val="single" w:color="auto"/>
          <w:color w:val="auto"/>
        </w:rPr>
        <w:t>Entire Agreement</w:t>
      </w:r>
      <w:r>
        <w:rPr>
          <w:rFonts w:ascii="Times New Roman" w:cs="Times New Roman" w:eastAsia="Times New Roman" w:hAnsi="Times New Roman"/>
          <w:sz w:val="14"/>
          <w:szCs w:val="14"/>
          <w:color w:val="auto"/>
        </w:rPr>
        <w:t>. The parties hereto acknowledge that there are no agreements or understandings, written or oral, between them with respect to matters contemplated hereunder other than as set forth herein, that this Agreement contains the entire agreement between them with respect to the subject matter hereof.</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1280"/>
          </w:cols>
          <w:pgMar w:left="300" w:top="994"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color w:val="auto"/>
        </w:rPr>
        <w:t>IN WITNESS WHEREOF, this Agreement has been duly executed by the parties hereto as of the day and year first above written.</w:t>
      </w:r>
    </w:p>
    <w:p>
      <w:pPr>
        <w:sectPr>
          <w:pgSz w:w="11900" w:h="16838" w:orient="portrait"/>
          <w:cols w:equalWidth="0" w:num="1">
            <w:col w:w="9739"/>
          </w:cols>
          <w:pgMar w:left="720" w:top="994" w:right="1440" w:bottom="1440" w:gutter="0" w:footer="0" w:header="0"/>
        </w:sectPr>
      </w:pPr>
    </w:p>
    <w:p>
      <w:pPr>
        <w:spacing w:after="0" w:line="15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b w:val="1"/>
          <w:bCs w:val="1"/>
          <w:color w:val="auto"/>
        </w:rPr>
        <w:t>QT IMAGING HOLDINGS, INC.</w:t>
      </w:r>
    </w:p>
    <w:p>
      <w:pPr>
        <w:spacing w:after="0" w:line="30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By: /s/ Raluca Dinu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1529080</wp:posOffset>
            </wp:positionH>
            <wp:positionV relativeFrom="paragraph">
              <wp:posOffset>-4445</wp:posOffset>
            </wp:positionV>
            <wp:extent cx="68326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260" cy="5715"/>
                    </a:xfrm>
                    <a:prstGeom prst="rect">
                      <a:avLst/>
                    </a:prstGeom>
                    <a:noFill/>
                  </pic:spPr>
                </pic:pic>
              </a:graphicData>
            </a:graphic>
          </wp:anchor>
        </w:drawing>
      </w:r>
    </w:p>
    <w:p>
      <w:pPr>
        <w:spacing w:after="0" w:line="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Name: Raluca Dinu</w:t>
      </w:r>
    </w:p>
    <w:p>
      <w:pPr>
        <w:spacing w:after="0" w:line="1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Title: Chief Executive Officer</w:t>
      </w:r>
    </w:p>
    <w:p>
      <w:pPr>
        <w:spacing w:after="0" w:line="200" w:lineRule="exact"/>
        <w:rPr>
          <w:sz w:val="20"/>
          <w:szCs w:val="20"/>
          <w:color w:val="auto"/>
        </w:rPr>
      </w:pPr>
    </w:p>
    <w:p>
      <w:pPr>
        <w:spacing w:after="0" w:line="22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b w:val="1"/>
          <w:bCs w:val="1"/>
          <w:color w:val="auto"/>
        </w:rPr>
        <w:t>CONTINENTAL STOCK TRANSFER &amp; TRUST COMPANY</w:t>
      </w:r>
    </w:p>
    <w:p>
      <w:pPr>
        <w:spacing w:after="0" w:line="30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By: /s/ Henry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1529080</wp:posOffset>
            </wp:positionH>
            <wp:positionV relativeFrom="paragraph">
              <wp:posOffset>-4445</wp:posOffset>
            </wp:positionV>
            <wp:extent cx="69596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5960" cy="5715"/>
                    </a:xfrm>
                    <a:prstGeom prst="rect">
                      <a:avLst/>
                    </a:prstGeom>
                    <a:noFill/>
                  </pic:spPr>
                </pic:pic>
              </a:graphicData>
            </a:graphic>
          </wp:anchor>
        </w:drawing>
      </w:r>
    </w:p>
    <w:p>
      <w:pPr>
        <w:spacing w:after="0" w:line="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Name: Henry Farrell</w:t>
      </w:r>
    </w:p>
    <w:p>
      <w:pPr>
        <w:spacing w:after="0" w:line="1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Title: Vice President</w:t>
      </w:r>
    </w:p>
    <w:p>
      <w:pPr>
        <w:sectPr>
          <w:pgSz w:w="11900" w:h="16838" w:orient="portrait"/>
          <w:cols w:equalWidth="0" w:num="1">
            <w:col w:w="9739"/>
          </w:cols>
          <w:pgMar w:left="720" w:top="994" w:right="1440" w:bottom="1440" w:gutter="0" w:footer="0" w:header="0"/>
          <w:type w:val="continuous"/>
        </w:sectPr>
      </w:pPr>
    </w:p>
    <w:bookmarkStart w:id="80" w:name="page81"/>
    <w:bookmarkEnd w:id="8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Exhibit A</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 of Pre-Funded Warrant</w:t>
      </w:r>
    </w:p>
    <w:p>
      <w:pPr>
        <w:sectPr>
          <w:pgSz w:w="11900" w:h="16838" w:orient="portrait"/>
          <w:cols w:equalWidth="0" w:num="1">
            <w:col w:w="9019"/>
          </w:cols>
          <w:pgMar w:left="1440" w:top="992" w:right="1440" w:bottom="1440" w:gutter="0" w:footer="0" w:header="0"/>
        </w:sectPr>
      </w:pPr>
    </w:p>
    <w:bookmarkStart w:id="81" w:name="page82"/>
    <w:bookmarkEnd w:id="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2"/>
          <w:szCs w:val="1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533400</wp:posOffset>
            </wp:positionV>
            <wp:extent cx="1205865" cy="2571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0586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E101A"/>
        </w:rPr>
        <w:t>QT Imaging Holdings Announces Pricing of $10 Million Underwritten Public Offering</w:t>
      </w:r>
    </w:p>
    <w:p>
      <w:pPr>
        <w:spacing w:after="0" w:line="29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2"/>
          <w:szCs w:val="12"/>
          <w:b w:val="1"/>
          <w:bCs w:val="1"/>
          <w:color w:val="0E101A"/>
        </w:rPr>
        <w:t xml:space="preserve">NOVATO, Calif. </w:t>
      </w:r>
      <w:r>
        <w:rPr>
          <w:rFonts w:ascii="Times New Roman" w:cs="Times New Roman" w:eastAsia="Times New Roman" w:hAnsi="Times New Roman"/>
          <w:sz w:val="12"/>
          <w:szCs w:val="12"/>
          <w:color w:val="0E101A"/>
        </w:rPr>
        <w:t>– May 15, 2026 – QT Imaging Holdings, Inc. (“QT Imaging” or the “Company”) (Nasdaq: QTI), a medical device company dedicated to transforming breast health management through innovative, radiation-free</w:t>
      </w:r>
      <w:r>
        <w:rPr>
          <w:rFonts w:ascii="Times New Roman" w:cs="Times New Roman" w:eastAsia="Times New Roman" w:hAnsi="Times New Roman"/>
          <w:sz w:val="12"/>
          <w:szCs w:val="12"/>
          <w:b w:val="1"/>
          <w:bCs w:val="1"/>
          <w:color w:val="0E101A"/>
        </w:rPr>
        <w:t xml:space="preserve"> </w:t>
      </w:r>
      <w:r>
        <w:rPr>
          <w:rFonts w:ascii="Times New Roman" w:cs="Times New Roman" w:eastAsia="Times New Roman" w:hAnsi="Times New Roman"/>
          <w:sz w:val="12"/>
          <w:szCs w:val="12"/>
          <w:color w:val="0E101A"/>
        </w:rPr>
        <w:t>imaging technology, announced today the pricing of an underwritten public offering of 2,000,000 shares of common stock (or pre-funded warrants in lieu thereof) for gross proceeds of $10 million.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E101A"/>
        </w:rPr>
        <w:t>Ladenburg Thalmann &amp; Co. Inc. is acting as sole book-running manager and Northland Capital Markets is acting as co-manager for the offering.</w:t>
      </w:r>
    </w:p>
    <w:p>
      <w:pPr>
        <w:spacing w:after="0" w:line="114" w:lineRule="exact"/>
        <w:rPr>
          <w:sz w:val="20"/>
          <w:szCs w:val="20"/>
          <w:color w:val="auto"/>
        </w:rPr>
      </w:pPr>
    </w:p>
    <w:p>
      <w:pPr>
        <w:ind w:right="220"/>
        <w:spacing w:after="0" w:line="327" w:lineRule="auto"/>
        <w:rPr>
          <w:sz w:val="20"/>
          <w:szCs w:val="20"/>
          <w:color w:val="auto"/>
        </w:rPr>
      </w:pPr>
      <w:r>
        <w:rPr>
          <w:rFonts w:ascii="Times New Roman" w:cs="Times New Roman" w:eastAsia="Times New Roman" w:hAnsi="Times New Roman"/>
          <w:sz w:val="11"/>
          <w:szCs w:val="11"/>
          <w:color w:val="0E101A"/>
        </w:rPr>
        <w:t>“This capital raise marks an important milestone for our company and reflects strong investor confidence in our strategy, execution, and long-term market opportunity,” said Dr. Raluca Dinu, Chief Executive Officer of QT Imaging. “This financing along with the extension of the maturity date of our senior secured term loan by two years provide the Company with additional flexibility to focus on our commercial, clinical, and strategic growth initiatives.”</w:t>
      </w:r>
    </w:p>
    <w:p>
      <w:pPr>
        <w:spacing w:after="0" w:line="51"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2"/>
          <w:szCs w:val="12"/>
          <w:color w:val="0E101A"/>
        </w:rPr>
        <w:t>Each share of common stock is being sold to the public at a public offering price of $5.00 per share and each pre-funded warrant is being sold to the public at the public offering price of each share of common stock less the $0.0001 per share nominal exercise price for each pre-funded warrant. Gross proceeds to the Company from this offering are expected to be approximately $10 million, before deducting underwriting discounts and commissions and other offering expenses. Each pre-funded warrant will be immediately exercisable, will entitle the holder to purchase one share of common stock, and may be exercised at any time until exercised in full.</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E101A"/>
        </w:rPr>
        <w:t>QT Imaging intends to use the net proceeds from the offering for working capital and for general corporate purposes.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E101A"/>
        </w:rPr>
        <w:t>This offering is expected to close on or about May 18, 2026, subject to the satisfaction of customary closing conditions.</w:t>
      </w:r>
    </w:p>
    <w:p>
      <w:pPr>
        <w:spacing w:after="0" w:line="114"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2"/>
          <w:szCs w:val="12"/>
          <w:color w:val="0E101A"/>
        </w:rPr>
        <w:t xml:space="preserve">The securities described in this press release are being offered pursuant to a shelf registration statement on Form S-3 (File No. 333-294705), which was declared effective by the United States Securities and Exchange Commission (“SEC”) on April 3, 2026, and the related registration statement filed under Rule 462(b) of the Securities Act of 1933, as amended, which became automatically effective upon filing. The offering will be made only by means of a written prospectus that forms part of the effective registration statement. A final prospectus supplement and accompanying prospectus describing the terms of the offering will be filed with the SEC and will be available on its website at </w:t>
      </w:r>
      <w:r>
        <w:rPr>
          <w:rFonts w:ascii="Times New Roman" w:cs="Times New Roman" w:eastAsia="Times New Roman" w:hAnsi="Times New Roman"/>
          <w:sz w:val="12"/>
          <w:szCs w:val="12"/>
          <w:color w:val="000000"/>
        </w:rPr>
        <w:t>www.sec.gov</w:t>
      </w:r>
      <w:r>
        <w:rPr>
          <w:rFonts w:ascii="Times New Roman" w:cs="Times New Roman" w:eastAsia="Times New Roman" w:hAnsi="Times New Roman"/>
          <w:sz w:val="12"/>
          <w:szCs w:val="12"/>
          <w:color w:val="0E101A"/>
        </w:rPr>
        <w:t>. Copies of the final prospectus supplement and the accompanying prospectus relating to the offering may also be obtained by contacting Ladenburg Thalmann &amp; Co. Inc., Prospectus Department, 640 Fifth Avenue, 4</w:t>
      </w:r>
      <w:r>
        <w:rPr>
          <w:rFonts w:ascii="Times New Roman" w:cs="Times New Roman" w:eastAsia="Times New Roman" w:hAnsi="Times New Roman"/>
          <w:sz w:val="15"/>
          <w:szCs w:val="15"/>
          <w:color w:val="0E101A"/>
          <w:vertAlign w:val="superscript"/>
        </w:rPr>
        <w:t>th</w:t>
      </w:r>
      <w:r>
        <w:rPr>
          <w:rFonts w:ascii="Times New Roman" w:cs="Times New Roman" w:eastAsia="Times New Roman" w:hAnsi="Times New Roman"/>
          <w:sz w:val="12"/>
          <w:szCs w:val="12"/>
          <w:color w:val="000000"/>
        </w:rPr>
        <w:t xml:space="preserve"> </w:t>
      </w:r>
      <w:r>
        <w:rPr>
          <w:rFonts w:ascii="Times New Roman" w:cs="Times New Roman" w:eastAsia="Times New Roman" w:hAnsi="Times New Roman"/>
          <w:sz w:val="12"/>
          <w:szCs w:val="12"/>
          <w:color w:val="0E101A"/>
        </w:rPr>
        <w:t xml:space="preserve">Floor, New York, New York 10019 or by email at </w:t>
      </w:r>
      <w:r>
        <w:rPr>
          <w:rFonts w:ascii="Times New Roman" w:cs="Times New Roman" w:eastAsia="Times New Roman" w:hAnsi="Times New Roman"/>
          <w:sz w:val="12"/>
          <w:szCs w:val="12"/>
          <w:color w:val="000000"/>
        </w:rPr>
        <w:t>prospectus@ladenburg.com</w:t>
      </w:r>
      <w:r>
        <w:rPr>
          <w:rFonts w:ascii="Times New Roman" w:cs="Times New Roman" w:eastAsia="Times New Roman" w:hAnsi="Times New Roman"/>
          <w:sz w:val="12"/>
          <w:szCs w:val="12"/>
          <w:color w:val="0E101A"/>
        </w:rPr>
        <w:t>.</w:t>
      </w:r>
    </w:p>
    <w:p>
      <w:pPr>
        <w:spacing w:after="0" w:line="98"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0E101A"/>
        </w:rPr>
        <w:t>This press release shall not constitute an offer to sell or the solicitation of an offer to buy any of the securities described therein, nor shall there be any sales of these securities in any jurisdiction in which such offer, solicitation or sale would be unlawful prior to registration or qualification under the securities laws of such jurisdiction.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0E101A"/>
        </w:rPr>
        <w:t>About QT Imaging Holdings, Inc.</w:t>
      </w:r>
    </w:p>
    <w:p>
      <w:pPr>
        <w:spacing w:after="0" w:line="118" w:lineRule="exact"/>
        <w:rPr>
          <w:sz w:val="20"/>
          <w:szCs w:val="20"/>
          <w:color w:val="auto"/>
        </w:rPr>
      </w:pPr>
    </w:p>
    <w:p>
      <w:pPr>
        <w:ind w:right="260"/>
        <w:spacing w:after="0" w:line="327" w:lineRule="auto"/>
        <w:rPr>
          <w:sz w:val="20"/>
          <w:szCs w:val="20"/>
          <w:color w:val="auto"/>
        </w:rPr>
      </w:pPr>
      <w:r>
        <w:rPr>
          <w:rFonts w:ascii="Times New Roman" w:cs="Times New Roman" w:eastAsia="Times New Roman" w:hAnsi="Times New Roman"/>
          <w:sz w:val="11"/>
          <w:szCs w:val="11"/>
          <w:color w:val="auto"/>
        </w:rPr>
        <w:t>QT Imaging Holdings, Inc. (Nasdaq: QTI) is a medical device company engaged in the research, development, and commercialization of innovative imaging systems using low frequency sound waves. QT Imaging Holdings, Inc. strives to improve global health outcomes. Its strategy is predicated upon the fact that medical imaging is critical to the detection, diagnosis, and treatment of disease and that it should be safe, affordable, accessible, and centered on</w:t>
      </w:r>
    </w:p>
    <w:p>
      <w:pPr>
        <w:sectPr>
          <w:pgSz w:w="11900" w:h="16838" w:orient="portrait"/>
          <w:cols w:equalWidth="0" w:num="1">
            <w:col w:w="11300"/>
          </w:cols>
          <w:pgMar w:left="300" w:top="125" w:right="2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2"/>
          <w:szCs w:val="12"/>
          <w:color w:val="auto"/>
        </w:rPr>
        <w:t>the patient’s experience. For more information on QT Imaging Holdings, Inc., please visit the Company’s website at www.qtimaging.com and follow us on LinkedIn.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Breast Acoustic CT™ is a trademark of an affiliate of QT Imaging Holdings, Inc.</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1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2"/>
          <w:szCs w:val="12"/>
          <w:color w:val="auto"/>
        </w:rPr>
        <w:t>This press release contains forward-looking statements within the meaning of Section 27A of the Securities Act of 1933, as amended, and Section 21E of the Exchange Act of 1934, as amended. Forward-looking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 These forward-looking statements include, but are not limited to, statements regarding the proposed public offering, the use of proceeds from such offering, plans for QT Imaging, new product development and introduction, product sales growth and projected revenues, QT Imaging’s industry, future events, and other statements that are not historical facts. Forward looking statements involve certain risks and uncertainties, and actual results may differ materially from those discussed in any such statement. These statements are based on various assumptions, whether or not identified herein, and on the current expectations of QT Imaging’s management and are not predictions of actual performance. These forward-looking statements are provided for illustrative purposes only and are not intended to serve as, and must not be relied on by you or any other investor as, a guarantee, an assurance, a prediction or a definitive statement of fact or probability. Actual events and circumstances are difficult or impossible to predict and will differ from assumptions. Many actual events and circumstances are beyond our control. These forward-looking statements are subject to a number of risks and uncertainties, including those relating to: the ability of the Company to sell and deploy the QT Imaging Breast Acoustic CT Scanner; the ability to extend product offerings into new areas or products; the ability to commercialize technology; unexpected occurrences that deter the full documentation and “bring to market” plan for products; trends and fluctuations in the industry; changes in demand and purchasing volume of customers; unpredictability of suppliers; the ability to attract and retain qualified personnel and the ability to move product sales to production levels; changes in domestic and foreign business, market, financial, political, and legal conditions; the uncertainty of projected financial information; delays caused by factors outside of our control; changes in our ability to successfully receive purchase orders and generate revenue under our existing contracts with partners and distributors; our ability to realize the benefits of the strategic partnerships; the identified material weakness in our internal controls over financial reporting (including the timeline to remediate the material weakness); the rollout of the business and the timing of expected business milestones; the effects of competition on our future business; our ability to obtain and access financing in the future; our ability to pay our debt obligations as they come due; and those factors discussed in the Company’s reports and other documents filed with the SEC, including under the heading “Risk Factors.” If any of these risks materialize or our assumptions prove incorrect, actual results could differ materially from the results implied by these forward-looking statements. There may be additional risks that QT Imaging presently does not know or that QT Imaging currently believes are immaterial which could also cause actual results to differ from those contained in the forward-looking statements. In addition, forward-looking statements reflect QT Imaging’s expectations, plans or forecasts of future events and views as of the date of this release. QT Imaging anticipates that subsequent events and developments will cause QT Imaging’s assessments to change. However, while QT Imaging may elect to update these forward-looking statements at some point in the future, QT Imaging specifically disclaims any obligation to do so. Accordingly, undue reliance should not be placed upon the forward-looking statements.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0E101A"/>
        </w:rPr>
        <w:t>Contacts: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0E101A"/>
        </w:rPr>
        <w:t>Investors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E101A"/>
        </w:rPr>
        <w:t>Alliance Advisors IR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E101A"/>
        </w:rPr>
        <w:t>Bruce Voss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bvoss@allianceadvisors.com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E101A"/>
        </w:rPr>
        <w:t>310-691-7104</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0E101A"/>
        </w:rPr>
        <w:t>Media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E101A"/>
        </w:rPr>
        <w:t>Alliance Advisors IR</w:t>
      </w:r>
    </w:p>
    <w:p>
      <w:pPr>
        <w:sectPr>
          <w:pgSz w:w="11900" w:h="16838" w:orient="portrait"/>
          <w:cols w:equalWidth="0" w:num="1">
            <w:col w:w="11280"/>
          </w:cols>
          <w:pgMar w:left="300" w:top="993" w:right="3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2"/>
          <w:szCs w:val="12"/>
          <w:color w:val="0E101A"/>
        </w:rPr>
        <w:t>Fatema Bhabrawala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fbhabrawala@allianceadvisors.com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E101A"/>
        </w:rPr>
        <w:t>647-620-5002</w:t>
      </w:r>
    </w:p>
    <w:p>
      <w:pPr>
        <w:spacing w:after="0" w:line="103"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2"/>
          <w:szCs w:val="12"/>
          <w:color w:val="auto"/>
        </w:rPr>
        <w:t># # #</w:t>
      </w:r>
    </w:p>
    <w:p>
      <w:pPr>
        <w:sectPr>
          <w:pgSz w:w="11900" w:h="16838" w:orient="portrait"/>
          <w:cols w:equalWidth="0" w:num="1">
            <w:col w:w="10159"/>
          </w:cols>
          <w:pgMar w:left="300" w:top="1137" w:right="1440"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2"/>
          <w:szCs w:val="12"/>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533400</wp:posOffset>
            </wp:positionV>
            <wp:extent cx="1205865" cy="2571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0586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E101A"/>
        </w:rPr>
        <w:t>QT Imaging Holdings Announces Closing of $10 Million Underwritten Public Offering</w:t>
      </w:r>
    </w:p>
    <w:p>
      <w:pPr>
        <w:spacing w:after="0" w:line="200" w:lineRule="exact"/>
        <w:rPr>
          <w:sz w:val="20"/>
          <w:szCs w:val="20"/>
          <w:color w:val="auto"/>
        </w:rPr>
      </w:pPr>
    </w:p>
    <w:p>
      <w:pPr>
        <w:spacing w:after="0" w:line="202" w:lineRule="exact"/>
        <w:rPr>
          <w:sz w:val="20"/>
          <w:szCs w:val="20"/>
          <w:color w:val="auto"/>
        </w:rPr>
      </w:pPr>
    </w:p>
    <w:p>
      <w:pPr>
        <w:ind w:right="60"/>
        <w:spacing w:after="0" w:line="334" w:lineRule="auto"/>
        <w:rPr>
          <w:sz w:val="20"/>
          <w:szCs w:val="20"/>
          <w:color w:val="auto"/>
        </w:rPr>
      </w:pPr>
      <w:r>
        <w:rPr>
          <w:rFonts w:ascii="Times New Roman" w:cs="Times New Roman" w:eastAsia="Times New Roman" w:hAnsi="Times New Roman"/>
          <w:sz w:val="11"/>
          <w:szCs w:val="11"/>
          <w:b w:val="1"/>
          <w:bCs w:val="1"/>
          <w:color w:val="0E101A"/>
        </w:rPr>
        <w:t xml:space="preserve">NOVATO, Calif. </w:t>
      </w:r>
      <w:r>
        <w:rPr>
          <w:rFonts w:ascii="Times New Roman" w:cs="Times New Roman" w:eastAsia="Times New Roman" w:hAnsi="Times New Roman"/>
          <w:sz w:val="11"/>
          <w:szCs w:val="11"/>
          <w:color w:val="0E101A"/>
        </w:rPr>
        <w:t>– May 18, 2026 – QT Imaging Holdings, Inc. (“QT Imaging” or the “Company”) (Nasdaq: QTI), a medical device company dedicated to transforming breast health management through innovative, radiation-free</w:t>
      </w:r>
      <w:r>
        <w:rPr>
          <w:rFonts w:ascii="Times New Roman" w:cs="Times New Roman" w:eastAsia="Times New Roman" w:hAnsi="Times New Roman"/>
          <w:sz w:val="11"/>
          <w:szCs w:val="11"/>
          <w:b w:val="1"/>
          <w:bCs w:val="1"/>
          <w:color w:val="0E101A"/>
        </w:rPr>
        <w:t xml:space="preserve"> </w:t>
      </w:r>
      <w:r>
        <w:rPr>
          <w:rFonts w:ascii="Times New Roman" w:cs="Times New Roman" w:eastAsia="Times New Roman" w:hAnsi="Times New Roman"/>
          <w:sz w:val="11"/>
          <w:szCs w:val="11"/>
          <w:color w:val="0E101A"/>
        </w:rPr>
        <w:t>imaging technology, announced today the closing of its previously announced underwritten public offering of 2,000,000 shares of common stock (or pre-funded warrants in lieu thereof) for gross proceeds of approximately $10 million.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E101A"/>
        </w:rPr>
        <w:t>Participants in this offering included current investors in QT Imaging as well as new investors. The Company intends to use the net proceeds from the offering for working capital and for general corporate purposes.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E101A"/>
        </w:rPr>
        <w:t>Ladenburg Thalmann &amp; Co. Inc. acted as sole book-running manager and Northland Capital Markets acted as co-manager for the offering.</w:t>
      </w:r>
    </w:p>
    <w:p>
      <w:pPr>
        <w:spacing w:after="0" w:line="11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0E101A"/>
        </w:rPr>
        <w:t>The securities described above were offered pursuant to a shelf registration statement on Form S-3 (File No. 333-294705), which was declared effective by the U.S. Securities and Exchange Commission (“SEC”) on April 3, 2026 and the related registration statement filed under Rule 462(b) of the Securities Act of 1933, as amended, which became automatically effective upon filing. A final prospectus supplement was filed with the SEC and is available on the SEC’s website at http://www.sec.gov. Electronic copies of the final prospectus may also be obtained by contacting Ladenburg Thalmann &amp; Co. Inc., Prospectus Department, 640 Fifth Avenue, 4th Floor, New York, New York 10019 or by email at prospectus@ladenburg.com.</w:t>
      </w:r>
    </w:p>
    <w:p>
      <w:pPr>
        <w:spacing w:after="0" w:line="86"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0E101A"/>
        </w:rPr>
        <w:t>This press release does not constitute an offer to sell or the solicitation of an offer to buy, nor will there be any sales of these securities in any jurisdiction in which such offer, solicitation or sale would be unlawful prior to registration or qualification under the securities laws of such jurisdiction.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0E101A"/>
        </w:rPr>
        <w:t>About QT Imaging Holdings, Inc.</w:t>
      </w:r>
    </w:p>
    <w:p>
      <w:pPr>
        <w:spacing w:after="0" w:line="118"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2"/>
          <w:szCs w:val="12"/>
          <w:color w:val="auto"/>
        </w:rPr>
        <w:t>QT Imaging Holdings, Inc. (Nasdaq: QTI) is a medical device company engaged in the research, development, and commercialization of innovative imaging systems using low frequency sound waves. QT Imaging Holdings, Inc. strives to improve global health outcomes. Its strategy is predicated upon the fact that medical imaging is critical to the detection, diagnosis, and treatment of disease and that it should be safe, affordable, accessible, and centered on the patient’s experience. For more information on QT Imaging Holdings, Inc., please visit the Company’s website at www.qtimaging.com and follow us on LinkedIn.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Breast Acoustic CT™ is a trademark of an affiliate of QT Imaging Holdings, Inc.</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18"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2"/>
          <w:szCs w:val="12"/>
          <w:color w:val="auto"/>
        </w:rPr>
        <w:t>This press release contains forward-looking statements within the meaning of Section 27A of the Securities Act of 1933, as amended, and Section 21E of the Exchange Act of 1934, as amended. Forward-looking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 These forward-looking statements include, but are not limited to, statements regarding the underwritten public offering, the use of proceeds from such offering, plans for QT Imaging, new product development and introduction, product sales growth and projected revenues, QT Imaging’s industry, future events, and other statements that are not historical facts. Forward looking statements involve certain risks and uncertainties, and actual results may differ</w:t>
      </w:r>
    </w:p>
    <w:p>
      <w:pPr>
        <w:sectPr>
          <w:pgSz w:w="11900" w:h="16838" w:orient="portrait"/>
          <w:cols w:equalWidth="0" w:num="1">
            <w:col w:w="11300"/>
          </w:cols>
          <w:pgMar w:left="300" w:top="125" w:right="299" w:bottom="1440" w:gutter="0" w:footer="0" w:header="0"/>
        </w:sectPr>
      </w:pPr>
    </w:p>
    <w:bookmarkStart w:id="119" w:name="page120"/>
    <w:bookmarkEnd w:id="119"/>
    <w:p>
      <w:pPr>
        <w:spacing w:after="0" w:line="252" w:lineRule="auto"/>
        <w:rPr>
          <w:sz w:val="20"/>
          <w:szCs w:val="20"/>
          <w:color w:val="auto"/>
        </w:rPr>
      </w:pPr>
      <w:r>
        <w:rPr>
          <w:rFonts w:ascii="Times New Roman" w:cs="Times New Roman" w:eastAsia="Times New Roman" w:hAnsi="Times New Roman"/>
          <w:sz w:val="12"/>
          <w:szCs w:val="12"/>
          <w:color w:val="auto"/>
        </w:rPr>
        <w:t>materially from those discussed in any such statement. These statements are based on various assumptions, whether or not identified herein, and on the current expectations of QT Imaging’s management and are not predictions of actual performance. These forward-looking statements are provided for illustrative purposes only and are not intended to serve as, and must not be relied on by you or any other investor as, a guarantee, an assurance, a prediction or a definitive statement of fact or probability. Actual events and circumstances are difficult or impossible to predict and will differ from assumptions. Many actual events and circumstances are beyond our control. These forward-looking statements are subject to a number of risks and uncertainties, including those relating to: the ability of the Company to sell and deploy the QT Imaging Breast Acoustic CT Scanner; the ability to extend product offerings into new areas or products; the ability to commercialize technology; unexpected occurrences that deter the full documentation and “bring to market” plan for products; trends and fluctuations in the industry; changes in demand and purchasing volume of customers; unpredictability of suppliers; the ability to attract and retain qualified personnel and the ability to move product sales to production levels; changes in domestic and foreign business, market, financial, political, and legal conditions; the uncertainty of projected financial information; delays caused by factors outside of our control; changes in our ability to successfully receive purchase orders and generate revenue under our existing contracts with partners and distributors; our ability to realize the benefits of the strategic partnerships; the identified material weakness in our internal controls over financial reporting (including the timeline to remediate the material weakness); the rollout of the business and the timing of expected business milestones; the effects of competition on our future business; our ability to obtain and access financing in the future; our ability to pay our debt obligations as they come due; and those factors discussed in the Company’s reports and other documents filed with the SEC, including under the heading “Risk Factors.” If any of these risks materialize or our assumptions prove incorrect, actual results could differ materially from the results implied by these forward-looking statements. There may be additional risks that QT Imaging presently does not know or that QT Imaging currently believes are immaterial which could also cause actual results to differ from those contained in the forward-looking statements. In addition, forward-looking statements reflect QT Imaging’s expectations, plans or forecasts of future events and views as of the date of this release. QT Imaging anticipates that subsequent events and developments will cause QT Imaging’s assessments to change. However, while QT Imaging may elect to update these forward-looking statements at some point in the future, QT Imaging specifically disclaims any obligation to do so. Accordingly, undue reliance should not be placed upon the forward-looking statements.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0E101A"/>
        </w:rPr>
        <w:t>Contacts: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0E101A"/>
        </w:rPr>
        <w:t>Investors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E101A"/>
        </w:rPr>
        <w:t>Alliance Advisors IR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E101A"/>
        </w:rPr>
        <w:t>Bruce Voss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bvoss@allianceadvisors.com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E101A"/>
        </w:rPr>
        <w:t>310-691-7104</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0E101A"/>
        </w:rPr>
        <w:t>Media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E101A"/>
        </w:rPr>
        <w:t>Alliance Advisors IR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E101A"/>
        </w:rPr>
        <w:t>Fatema Bhabrawala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fbhabrawala@allianceadvisors.com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E101A"/>
        </w:rPr>
        <w:t>647-620-5002</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0E101A"/>
        </w:rPr>
        <w:t># # #</w:t>
      </w:r>
    </w:p>
    <w:sectPr>
      <w:pgSz w:w="11900" w:h="16838" w:orient="portrait"/>
      <w:cols w:equalWidth="0" w:num="1">
        <w:col w:w="11280"/>
      </w:cols>
      <w:pgMar w:left="300" w:top="109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006C83E"/>
    <w:multiLevelType w:val="hybridMultilevel"/>
    <w:lvl w:ilvl="0">
      <w:lvlJc w:val="left"/>
      <w:lvlText w:val="o"/>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1)"/>
      <w:numFmt w:val="lowerLetter"/>
      <w:start w:val="2"/>
    </w:lvl>
  </w:abstractNum>
  <w:abstractNum w:abstractNumId="3">
    <w:nsid w:val="5577F8E1"/>
    <w:multiLevelType w:val="hybridMultilevel"/>
    <w:lvl w:ilvl="0">
      <w:lvlJc w:val="left"/>
      <w:lvlText w:val="(%1)"/>
      <w:numFmt w:val="lowerLetter"/>
      <w:start w:val="1"/>
    </w:lvl>
    <w:lvl w:ilvl="1">
      <w:lvlJc w:val="left"/>
      <w:lvlText w:val="(%2)"/>
      <w:numFmt w:val="lowerRoman"/>
      <w:start w:val="1"/>
    </w:lvl>
  </w:abstractNum>
  <w:abstractNum w:abstractNumId="4">
    <w:nsid w:val="440BADFC"/>
    <w:multiLevelType w:val="hybridMultilevel"/>
    <w:lvl w:ilvl="0">
      <w:lvlJc w:val="left"/>
      <w:lvlText w:val="(%1)"/>
      <w:numFmt w:val="lowerLetter"/>
      <w:start w:val="2"/>
    </w:lvl>
  </w:abstractNum>
  <w:abstractNum w:abstractNumId="5">
    <w:nsid w:val="5072367"/>
    <w:multiLevelType w:val="hybridMultilevel"/>
    <w:lvl w:ilvl="0">
      <w:lvlJc w:val="left"/>
      <w:lvlText w:val="(%1)"/>
      <w:numFmt w:val="lowerRoman"/>
      <w:start w:val="1"/>
    </w:lvl>
    <w:lvl w:ilvl="1">
      <w:lvlJc w:val="left"/>
      <w:lvlText w:val="(%2)"/>
      <w:numFmt w:val="lowerRoman"/>
      <w:start w:val="4"/>
    </w:lvl>
  </w:abstractNum>
  <w:abstractNum w:abstractNumId="6">
    <w:nsid w:val="3804823E"/>
    <w:multiLevelType w:val="hybridMultilevel"/>
    <w:lvl w:ilvl="0">
      <w:lvlJc w:val="left"/>
      <w:lvlText w:val="(%1)"/>
      <w:numFmt w:val="lowerRoman"/>
      <w:start w:val="5"/>
    </w:lvl>
  </w:abstractNum>
  <w:abstractNum w:abstractNumId="7">
    <w:nsid w:val="77465F01"/>
    <w:multiLevelType w:val="hybridMultilevel"/>
    <w:lvl w:ilvl="0">
      <w:lvlJc w:val="left"/>
      <w:lvlText w:val="(%1)"/>
      <w:numFmt w:val="lowerRoman"/>
      <w:start w:val="1"/>
    </w:lvl>
  </w:abstractNum>
  <w:abstractNum w:abstractNumId="8">
    <w:nsid w:val="7724C67E"/>
    <w:multiLevelType w:val="hybridMultilevel"/>
    <w:lvl w:ilvl="0">
      <w:lvlJc w:val="left"/>
      <w:lvlText w:val="(%1)"/>
      <w:numFmt w:val="lowerLetter"/>
      <w:start w:val="1"/>
    </w:lvl>
  </w:abstractNum>
  <w:abstractNum w:abstractNumId="9">
    <w:nsid w:val="5C482A97"/>
    <w:multiLevelType w:val="hybridMultilevel"/>
    <w:lvl w:ilvl="0">
      <w:lvlJc w:val="left"/>
      <w:lvlText w:val="%1"/>
      <w:numFmt w:val="lowerLetter"/>
      <w:start w:val="1"/>
    </w:lvl>
    <w:lvl w:ilvl="1">
      <w:lvlJc w:val="left"/>
      <w:lvlText w:val="(%2)"/>
      <w:numFmt w:val="lowerLetter"/>
      <w:start w:val="3"/>
    </w:lvl>
  </w:abstractNum>
  <w:abstractNum w:abstractNumId="10">
    <w:nsid w:val="2463B9EA"/>
    <w:multiLevelType w:val="hybridMultilevel"/>
    <w:lvl w:ilvl="0">
      <w:lvlJc w:val="left"/>
      <w:lvlText w:val="(%1)"/>
      <w:numFmt w:val="lowerLetter"/>
      <w:start w:val="61"/>
    </w:lvl>
    <w:lvl w:ilvl="1">
      <w:lvlJc w:val="left"/>
      <w:lvlText w:val="(%2)"/>
      <w:numFmt w:val="lowerLetter"/>
      <w:start w:val="4"/>
    </w:lvl>
  </w:abstractNum>
  <w:abstractNum w:abstractNumId="11">
    <w:nsid w:val="5E884ADC"/>
    <w:multiLevelType w:val="hybridMultilevel"/>
    <w:lvl w:ilvl="0">
      <w:lvlJc w:val="left"/>
      <w:lvlText w:val="(%1)"/>
      <w:numFmt w:val="lowerLetter"/>
      <w:start w:val="6"/>
    </w:lvl>
  </w:abstractNum>
  <w:abstractNum w:abstractNumId="12">
    <w:nsid w:val="51EAD36B"/>
    <w:multiLevelType w:val="hybridMultilevel"/>
    <w:lvl w:ilvl="0">
      <w:lvlJc w:val="left"/>
      <w:lvlText w:val="(%1)"/>
      <w:numFmt w:val="lowerLetter"/>
      <w:start w:val="8"/>
    </w:lvl>
  </w:abstractNum>
  <w:abstractNum w:abstractNumId="13">
    <w:nsid w:val="2D517796"/>
    <w:multiLevelType w:val="hybridMultilevel"/>
    <w:lvl w:ilvl="0">
      <w:lvlJc w:val="left"/>
      <w:lvlText w:val="%1"/>
      <w:numFmt w:val="lowerLetter"/>
      <w:start w:val="1"/>
    </w:lvl>
    <w:lvl w:ilvl="1">
      <w:lvlJc w:val="left"/>
      <w:lvlText w:val="(%2)"/>
      <w:numFmt w:val="lowerLetter"/>
      <w:start w:val="9"/>
    </w:lvl>
  </w:abstractNum>
  <w:abstractNum w:abstractNumId="14">
    <w:nsid w:val="580BD78F"/>
    <w:multiLevelType w:val="hybridMultilevel"/>
    <w:lvl w:ilvl="0">
      <w:lvlJc w:val="left"/>
      <w:lvlText w:val="(%1)"/>
      <w:numFmt w:val="lowerLetter"/>
      <w:start w:val="25"/>
    </w:lvl>
    <w:lvl w:ilvl="1">
      <w:lvlJc w:val="left"/>
      <w:lvlText w:val="%2"/>
      <w:numFmt w:val="lowerLetter"/>
      <w:start w:val="1"/>
    </w:lvl>
  </w:abstractNum>
  <w:abstractNum w:abstractNumId="15">
    <w:nsid w:val="153EA438"/>
    <w:multiLevelType w:val="hybridMultilevel"/>
    <w:lvl w:ilvl="0">
      <w:lvlJc w:val="left"/>
      <w:lvlText w:val="(%1)"/>
      <w:numFmt w:val="lowerLetter"/>
      <w:start w:val="10"/>
    </w:lvl>
  </w:abstractNum>
  <w:abstractNum w:abstractNumId="16">
    <w:nsid w:val="3855585C"/>
    <w:multiLevelType w:val="hybridMultilevel"/>
    <w:lvl w:ilvl="0">
      <w:lvlJc w:val="left"/>
      <w:lvlText w:val="(%1)"/>
      <w:numFmt w:val="lowerLetter"/>
      <w:start w:val="12"/>
    </w:lvl>
  </w:abstractNum>
  <w:abstractNum w:abstractNumId="17">
    <w:nsid w:val="70A64E2A"/>
    <w:multiLevelType w:val="hybridMultilevel"/>
    <w:lvl w:ilvl="0">
      <w:lvlJc w:val="left"/>
      <w:lvlText w:val="(%1)"/>
      <w:numFmt w:val="lowerLetter"/>
      <w:start w:val="15"/>
    </w:lvl>
  </w:abstractNum>
  <w:abstractNum w:abstractNumId="18">
    <w:nsid w:val="6A2342EC"/>
    <w:multiLevelType w:val="hybridMultilevel"/>
    <w:lvl w:ilvl="0">
      <w:lvlJc w:val="left"/>
      <w:lvlText w:val="(%1)"/>
      <w:numFmt w:val="lowerLetter"/>
      <w:start w:val="19"/>
    </w:lvl>
  </w:abstractNum>
  <w:abstractNum w:abstractNumId="19">
    <w:nsid w:val="2A487CB0"/>
    <w:multiLevelType w:val="hybridMultilevel"/>
    <w:lvl w:ilvl="0">
      <w:lvlJc w:val="left"/>
      <w:lvlText w:val="(%1)"/>
      <w:numFmt w:val="lowerLetter"/>
      <w:start w:val="21"/>
    </w:lvl>
  </w:abstractNum>
  <w:abstractNum w:abstractNumId="20">
    <w:nsid w:val="1D4ED43B"/>
    <w:multiLevelType w:val="hybridMultilevel"/>
    <w:lvl w:ilvl="0">
      <w:lvlJc w:val="left"/>
      <w:lvlText w:val="(%1)"/>
      <w:numFmt w:val="lowerLetter"/>
      <w:start w:val="24"/>
    </w:lvl>
  </w:abstractNum>
  <w:abstractNum w:abstractNumId="21">
    <w:nsid w:val="725A06FB"/>
    <w:multiLevelType w:val="hybridMultilevel"/>
    <w:lvl w:ilvl="0">
      <w:lvlJc w:val="left"/>
      <w:lvlText w:val="(%1)"/>
      <w:numFmt w:val="lowerLetter"/>
      <w:start w:val="26"/>
    </w:lvl>
  </w:abstractNum>
  <w:abstractNum w:abstractNumId="22">
    <w:nsid w:val="2CD89A32"/>
    <w:multiLevelType w:val="hybridMultilevel"/>
    <w:lvl w:ilvl="0">
      <w:lvlJc w:val="left"/>
      <w:lvlText w:val="(%1)"/>
      <w:numFmt w:val="lowerLetter"/>
      <w:start w:val="27"/>
    </w:lvl>
  </w:abstractNum>
  <w:abstractNum w:abstractNumId="23">
    <w:nsid w:val="57E4CCAF"/>
    <w:multiLevelType w:val="hybridMultilevel"/>
    <w:lvl w:ilvl="0">
      <w:lvlJc w:val="left"/>
      <w:lvlText w:val="(%1)"/>
      <w:numFmt w:val="lowerLetter"/>
      <w:start w:val="29"/>
    </w:lvl>
  </w:abstractNum>
  <w:abstractNum w:abstractNumId="24">
    <w:nsid w:val="7A6D8D3C"/>
    <w:multiLevelType w:val="hybridMultilevel"/>
    <w:lvl w:ilvl="0">
      <w:lvlJc w:val="left"/>
      <w:lvlText w:val="(%1)"/>
      <w:numFmt w:val="lowerLetter"/>
      <w:start w:val="32"/>
    </w:lvl>
  </w:abstractNum>
  <w:abstractNum w:abstractNumId="25">
    <w:nsid w:val="4B588F54"/>
    <w:multiLevelType w:val="hybridMultilevel"/>
    <w:lvl w:ilvl="0">
      <w:lvlJc w:val="left"/>
      <w:lvlText w:val="(%1)"/>
      <w:numFmt w:val="lowerLetter"/>
      <w:start w:val="36"/>
    </w:lvl>
  </w:abstractNum>
  <w:abstractNum w:abstractNumId="26">
    <w:nsid w:val="542289EC"/>
    <w:multiLevelType w:val="hybridMultilevel"/>
    <w:lvl w:ilvl="0">
      <w:lvlJc w:val="left"/>
      <w:lvlText w:val="(%1)"/>
      <w:numFmt w:val="lowerLetter"/>
      <w:start w:val="41"/>
    </w:lvl>
  </w:abstractNum>
  <w:abstractNum w:abstractNumId="27">
    <w:nsid w:val="6DE91B18"/>
    <w:multiLevelType w:val="hybridMultilevel"/>
    <w:lvl w:ilvl="0">
      <w:lvlJc w:val="left"/>
      <w:lvlText w:val="(%1)"/>
      <w:numFmt w:val="lowerLetter"/>
      <w:start w:val="43"/>
    </w:lvl>
  </w:abstractNum>
  <w:abstractNum w:abstractNumId="28">
    <w:nsid w:val="38437FDB"/>
    <w:multiLevelType w:val="hybridMultilevel"/>
    <w:lvl w:ilvl="0">
      <w:lvlJc w:val="left"/>
      <w:lvlText w:val="(%1)"/>
      <w:numFmt w:val="lowerLetter"/>
      <w:start w:val="1"/>
    </w:lvl>
  </w:abstractNum>
  <w:abstractNum w:abstractNumId="29">
    <w:nsid w:val="7644A45C"/>
    <w:multiLevelType w:val="hybridMultilevel"/>
    <w:lvl w:ilvl="0">
      <w:lvlJc w:val="left"/>
      <w:lvlText w:val="(%1)"/>
      <w:numFmt w:val="lowerLetter"/>
      <w:start w:val="1"/>
    </w:lvl>
  </w:abstractNum>
  <w:abstractNum w:abstractNumId="30">
    <w:nsid w:val="32FFF902"/>
    <w:multiLevelType w:val="hybridMultilevel"/>
    <w:lvl w:ilvl="0">
      <w:lvlJc w:val="left"/>
      <w:lvlText w:val="(%1)"/>
      <w:numFmt w:val="lowerLetter"/>
      <w:start w:val="2"/>
    </w:lvl>
  </w:abstractNum>
  <w:abstractNum w:abstractNumId="31">
    <w:nsid w:val="684A481A"/>
    <w:multiLevelType w:val="hybridMultilevel"/>
    <w:lvl w:ilvl="0">
      <w:lvlJc w:val="left"/>
      <w:lvlText w:val="(%1)"/>
      <w:numFmt w:val="lowerLetter"/>
      <w:start w:val="2"/>
    </w:lvl>
  </w:abstractNum>
  <w:abstractNum w:abstractNumId="32">
    <w:nsid w:val="579478FE"/>
    <w:multiLevelType w:val="hybridMultilevel"/>
    <w:lvl w:ilvl="0">
      <w:lvlJc w:val="left"/>
      <w:lvlText w:val="(%1)"/>
      <w:numFmt w:val="lowerLetter"/>
      <w:start w:val="1"/>
    </w:lvl>
  </w:abstractNum>
  <w:abstractNum w:abstractNumId="33">
    <w:nsid w:val="749ABB43"/>
    <w:multiLevelType w:val="hybridMultilevel"/>
    <w:lvl w:ilvl="0">
      <w:lvlJc w:val="left"/>
      <w:lvlText w:val="(%1)"/>
      <w:numFmt w:val="lowerLetter"/>
      <w:start w:val="2"/>
    </w:lvl>
  </w:abstractNum>
  <w:abstractNum w:abstractNumId="34">
    <w:nsid w:val="3DC240FB"/>
    <w:multiLevelType w:val="hybridMultilevel"/>
    <w:lvl w:ilvl="0">
      <w:lvlJc w:val="left"/>
      <w:lvlText w:val="(%1)"/>
      <w:numFmt w:val="lowerLetter"/>
      <w:start w:val="1"/>
    </w:lvl>
  </w:abstractNum>
  <w:abstractNum w:abstractNumId="35">
    <w:nsid w:val="1BA026FA"/>
    <w:multiLevelType w:val="hybridMultilevel"/>
    <w:lvl w:ilvl="0">
      <w:lvlJc w:val="left"/>
      <w:lvlText w:val="(%1)"/>
      <w:numFmt w:val="lowerLetter"/>
      <w:start w:val="2"/>
    </w:lvl>
  </w:abstractNum>
  <w:abstractNum w:abstractNumId="36">
    <w:nsid w:val="79A1DEAA"/>
    <w:multiLevelType w:val="hybridMultilevel"/>
    <w:lvl w:ilvl="0">
      <w:lvlJc w:val="left"/>
      <w:lvlText w:val="(%1)"/>
      <w:numFmt w:val="lowerLetter"/>
      <w:start w:val="1"/>
    </w:lvl>
  </w:abstractNum>
  <w:abstractNum w:abstractNumId="37">
    <w:nsid w:val="75C6C33A"/>
    <w:multiLevelType w:val="hybridMultilevel"/>
    <w:lvl w:ilvl="0">
      <w:lvlJc w:val="left"/>
      <w:lvlText w:val="(%1)"/>
      <w:numFmt w:val="lowerLetter"/>
      <w:start w:val="2"/>
    </w:lvl>
    <w:lvl w:ilvl="1">
      <w:lvlJc w:val="left"/>
      <w:lvlText w:val="(%2)"/>
      <w:numFmt w:val="upperLetter"/>
      <w:start w:val="1"/>
    </w:lvl>
  </w:abstractNum>
  <w:abstractNum w:abstractNumId="38">
    <w:nsid w:val="12E685FB"/>
    <w:multiLevelType w:val="hybridMultilevel"/>
    <w:lvl w:ilvl="0">
      <w:lvlJc w:val="left"/>
      <w:lvlText w:val="(%1)"/>
      <w:numFmt w:val="upperLetter"/>
      <w:start w:val="24"/>
    </w:lvl>
  </w:abstractNum>
  <w:abstractNum w:abstractNumId="39">
    <w:nsid w:val="70C6A529"/>
    <w:multiLevelType w:val="hybridMultilevel"/>
    <w:lvl w:ilvl="0">
      <w:lvlJc w:val="left"/>
      <w:lvlText w:val="(%1)"/>
      <w:numFmt w:val="lowerLetter"/>
      <w:start w:val="4"/>
    </w:lvl>
    <w:lvl w:ilvl="1">
      <w:lvlJc w:val="left"/>
      <w:lvlText w:val="(%2)"/>
      <w:numFmt w:val="lowerLetter"/>
      <w:start w:val="9"/>
    </w:lvl>
  </w:abstractNum>
  <w:abstractNum w:abstractNumId="40">
    <w:nsid w:val="520EEDD1"/>
    <w:multiLevelType w:val="hybridMultilevel"/>
    <w:lvl w:ilvl="0">
      <w:lvlJc w:val="left"/>
      <w:lvlText w:val="(%1)"/>
      <w:numFmt w:val="lowerRoman"/>
      <w:start w:val="2"/>
    </w:lvl>
  </w:abstractNum>
  <w:abstractNum w:abstractNumId="41">
    <w:nsid w:val="374A3FE6"/>
    <w:multiLevelType w:val="hybridMultilevel"/>
    <w:lvl w:ilvl="0">
      <w:lvlJc w:val="left"/>
      <w:lvlText w:val="%1"/>
      <w:numFmt w:val="lowerLetter"/>
      <w:start w:val="1"/>
    </w:lvl>
    <w:lvl w:ilvl="1">
      <w:lvlJc w:val="left"/>
      <w:lvlText w:val="(%2)"/>
      <w:numFmt w:val="lowerRoman"/>
      <w:start w:val="6"/>
    </w:lvl>
  </w:abstractNum>
  <w:abstractNum w:abstractNumId="42">
    <w:nsid w:val="4F4EF005"/>
    <w:multiLevelType w:val="hybridMultilevel"/>
    <w:lvl w:ilvl="0">
      <w:lvlJc w:val="left"/>
      <w:lvlText w:val="(%1)"/>
      <w:numFmt w:val="lowerLetter"/>
      <w:start w:val="5"/>
    </w:lvl>
    <w:lvl w:ilvl="1">
      <w:lvlJc w:val="left"/>
      <w:lvlText w:val="%2"/>
      <w:numFmt w:val="lowerRoman"/>
      <w:start w:val="1"/>
    </w:lvl>
  </w:abstractNum>
  <w:abstractNum w:abstractNumId="43">
    <w:nsid w:val="23F9C13C"/>
    <w:multiLevelType w:val="hybridMultilevel"/>
    <w:lvl w:ilvl="0">
      <w:lvlJc w:val="left"/>
      <w:lvlText w:val="(%1)"/>
      <w:numFmt w:val="lowerLetter"/>
      <w:start w:val="1"/>
    </w:lvl>
  </w:abstractNum>
  <w:abstractNum w:abstractNumId="44">
    <w:nsid w:val="649BB77C"/>
    <w:multiLevelType w:val="hybridMultilevel"/>
    <w:lvl w:ilvl="0">
      <w:lvlJc w:val="left"/>
      <w:lvlText w:val="(%1)"/>
      <w:numFmt w:val="lowerLetter"/>
      <w:start w:val="2"/>
    </w:lvl>
  </w:abstractNum>
  <w:abstractNum w:abstractNumId="45">
    <w:nsid w:val="275AC794"/>
    <w:multiLevelType w:val="hybridMultilevel"/>
    <w:lvl w:ilvl="0">
      <w:lvlJc w:val="left"/>
      <w:lvlText w:val="(%1)"/>
      <w:numFmt w:val="lowerRoman"/>
      <w:start w:val="4"/>
    </w:lvl>
  </w:abstractNum>
  <w:abstractNum w:abstractNumId="46">
    <w:nsid w:val="39386575"/>
    <w:multiLevelType w:val="hybridMultilevel"/>
    <w:lvl w:ilvl="0">
      <w:lvlJc w:val="left"/>
      <w:lvlText w:val="(%1)"/>
      <w:numFmt w:val="lowerLetter"/>
      <w:start w:val="5"/>
    </w:lvl>
    <w:lvl w:ilvl="1">
      <w:lvlJc w:val="left"/>
      <w:lvlText w:val="(%2)"/>
      <w:numFmt w:val="lowerRoman"/>
      <w:start w:val="1"/>
    </w:lvl>
  </w:abstractNum>
  <w:abstractNum w:abstractNumId="47">
    <w:nsid w:val="1CF10FD8"/>
    <w:multiLevelType w:val="hybridMultilevel"/>
    <w:lvl w:ilvl="0">
      <w:lvlJc w:val="left"/>
      <w:lvlText w:val="(%1)"/>
      <w:numFmt w:val="lowerLetter"/>
      <w:start w:val="1"/>
    </w:lvl>
  </w:abstractNum>
  <w:abstractNum w:abstractNumId="48">
    <w:nsid w:val="180115BE"/>
    <w:multiLevelType w:val="hybridMultilevel"/>
    <w:lvl w:ilvl="0">
      <w:lvlJc w:val="left"/>
      <w:lvlText w:val="(%1)"/>
      <w:numFmt w:val="lowerLetter"/>
      <w:start w:val="1"/>
    </w:lvl>
  </w:abstractNum>
  <w:abstractNum w:abstractNumId="49">
    <w:nsid w:val="235BA861"/>
    <w:multiLevelType w:val="hybridMultilevel"/>
    <w:lvl w:ilvl="0">
      <w:lvlJc w:val="left"/>
      <w:lvlText w:val="(%1)"/>
      <w:numFmt w:val="lowerRoman"/>
      <w:start w:val="3"/>
    </w:lvl>
  </w:abstractNum>
  <w:abstractNum w:abstractNumId="50">
    <w:nsid w:val="47398C89"/>
    <w:multiLevelType w:val="hybridMultilevel"/>
    <w:lvl w:ilvl="0">
      <w:lvlJc w:val="left"/>
      <w:lvlText w:val="(%1)"/>
      <w:numFmt w:val="lowerLetter"/>
      <w:start w:val="5"/>
    </w:lvl>
  </w:abstractNum>
  <w:abstractNum w:abstractNumId="51">
    <w:nsid w:val="354FE9F9"/>
    <w:multiLevelType w:val="hybridMultilevel"/>
    <w:lvl w:ilvl="0">
      <w:lvlJc w:val="left"/>
      <w:lvlText w:val="%1"/>
      <w:numFmt w:val="lowerLetter"/>
      <w:start w:val="1"/>
    </w:lvl>
    <w:lvl w:ilvl="1">
      <w:lvlJc w:val="left"/>
      <w:lvlText w:val="(%2)"/>
      <w:numFmt w:val="lowerLetter"/>
      <w:start w:val="8"/>
    </w:lvl>
  </w:abstractNum>
  <w:abstractNum w:abstractNumId="52">
    <w:nsid w:val="15B5AF5C"/>
    <w:multiLevelType w:val="hybridMultilevel"/>
    <w:lvl w:ilvl="0">
      <w:lvlJc w:val="left"/>
      <w:lvlText w:val="(%1)"/>
      <w:numFmt w:val="lowerLetter"/>
      <w:start w:val="35"/>
    </w:lvl>
    <w:lvl w:ilvl="1">
      <w:lvlJc w:val="left"/>
      <w:lvlText w:val="(%2)"/>
      <w:numFmt w:val="lowerLetter"/>
      <w:start w:val="9"/>
    </w:lvl>
  </w:abstractNum>
  <w:abstractNum w:abstractNumId="53">
    <w:nsid w:val="741226BB"/>
    <w:multiLevelType w:val="hybridMultilevel"/>
    <w:lvl w:ilvl="0">
      <w:lvlJc w:val="left"/>
      <w:lvlText w:val="(%1)"/>
      <w:numFmt w:val="lowerLetter"/>
      <w:start w:val="13"/>
    </w:lvl>
  </w:abstractNum>
  <w:abstractNum w:abstractNumId="54">
    <w:nsid w:val="D34B6A8"/>
    <w:multiLevelType w:val="hybridMultilevel"/>
    <w:lvl w:ilvl="0">
      <w:lvlJc w:val="left"/>
      <w:lvlText w:val="(%1)"/>
      <w:numFmt w:val="decimal"/>
      <w:start w:val="1"/>
    </w:lvl>
  </w:abstractNum>
  <w:abstractNum w:abstractNumId="55">
    <w:nsid w:val="10233C99"/>
    <w:multiLevelType w:val="hybridMultilevel"/>
    <w:lvl w:ilvl="0">
      <w:lvlJc w:val="left"/>
      <w:lvlText w:val="(%1)"/>
      <w:numFmt w:val="decimal"/>
      <w:start w:val="2"/>
    </w:lvl>
    <w:lvl w:ilvl="1">
      <w:lvlJc w:val="left"/>
      <w:lvlText w:val="["/>
      <w:numFmt w:val="bullet"/>
      <w:start w:val="1"/>
    </w:lvl>
  </w:abstractNum>
  <w:abstractNum w:abstractNumId="56">
    <w:nsid w:val="3F6AB60F"/>
    <w:multiLevelType w:val="hybridMultilevel"/>
    <w:lvl w:ilvl="0">
      <w:lvlJc w:val="left"/>
      <w:lvlText w:val="%1."/>
      <w:numFmt w:val="decimal"/>
      <w:start w:val="1"/>
    </w:lvl>
  </w:abstractNum>
  <w:abstractNum w:abstractNumId="57">
    <w:nsid w:val="61574095"/>
    <w:multiLevelType w:val="hybridMultilevel"/>
    <w:lvl w:ilvl="0">
      <w:lvlJc w:val="left"/>
      <w:lvlText w:val="%1."/>
      <w:numFmt w:val="decimal"/>
      <w:start w:val="3"/>
    </w:lvl>
  </w:abstractNum>
  <w:abstractNum w:abstractNumId="58">
    <w:nsid w:val="7E0C57B1"/>
    <w:multiLevelType w:val="hybridMultilevel"/>
    <w:lvl w:ilvl="0">
      <w:lvlJc w:val="left"/>
      <w:lvlText w:val="%1."/>
      <w:numFmt w:val="decimal"/>
      <w:start w:val="4"/>
    </w:lvl>
  </w:abstractNum>
  <w:abstractNum w:abstractNumId="59">
    <w:nsid w:val="77AE35EB"/>
    <w:multiLevelType w:val="hybridMultilevel"/>
    <w:lvl w:ilvl="0">
      <w:lvlJc w:val="left"/>
      <w:lvlText w:val="%1."/>
      <w:numFmt w:val="decimal"/>
      <w:start w:val="5"/>
    </w:lvl>
  </w:abstractNum>
  <w:abstractNum w:abstractNumId="60">
    <w:nsid w:val="579BE4F1"/>
    <w:multiLevelType w:val="hybridMultilevel"/>
    <w:lvl w:ilvl="0">
      <w:lvlJc w:val="left"/>
      <w:lvlText w:val="%1."/>
      <w:numFmt w:val="decimal"/>
      <w:start w:val="6"/>
    </w:lvl>
  </w:abstractNum>
  <w:abstractNum w:abstractNumId="61">
    <w:nsid w:val="310C50B3"/>
    <w:multiLevelType w:val="hybridMultilevel"/>
    <w:lvl w:ilvl="0">
      <w:lvlJc w:val="left"/>
      <w:lvlText w:val="%1."/>
      <w:numFmt w:val="decimal"/>
      <w:start w:val="7"/>
    </w:lvl>
  </w:abstractNum>
  <w:abstractNum w:abstractNumId="62">
    <w:nsid w:val="5FF87E05"/>
    <w:multiLevelType w:val="hybridMultilevel"/>
    <w:lvl w:ilvl="0">
      <w:lvlJc w:val="left"/>
      <w:lvlText w:val="%1."/>
      <w:numFmt w:val="decimal"/>
      <w:start w:val="8"/>
    </w:lvl>
  </w:abstractNum>
  <w:abstractNum w:abstractNumId="63">
    <w:nsid w:val="2F305DEF"/>
    <w:multiLevelType w:val="hybridMultilevel"/>
    <w:lvl w:ilvl="0">
      <w:lvlJc w:val="left"/>
      <w:lvlText w:val="%1."/>
      <w:numFmt w:val="decimal"/>
      <w:start w:val="11"/>
    </w:lvl>
  </w:abstractNum>
  <w:abstractNum w:abstractNumId="64">
    <w:nsid w:val="25A70BF7"/>
    <w:multiLevelType w:val="hybridMultilevel"/>
    <w:lvl w:ilvl="0">
      <w:lvlJc w:val="left"/>
      <w:lvlText w:val="%1."/>
      <w:numFmt w:val="decimal"/>
      <w:start w:val="12"/>
    </w:lvl>
  </w:abstractNum>
  <w:abstractNum w:abstractNumId="65">
    <w:nsid w:val="1DBABF00"/>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2026-05-21T15:14:27Z</dcterms:created>
  <dcterms:modified xsi:type="dcterms:W3CDTF">2026-05-21T15:14:27Z</dcterms:modified>
</cp:coreProperties>
</file>