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Hadron Energy,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98-1790710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 Twin Dolphin Drive, Ste 260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395-0050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HDRN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HDRNW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 one share of Common Stock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22, 2026, Hadron Energy, Inc. (f/k/a GigCapital7 Corp.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Combined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Hadron Energy</w:t>
      </w:r>
      <w:r>
        <w:rPr>
          <w:rFonts w:ascii="Times New Roman" w:cs="Times New Roman" w:eastAsia="Times New Roman" w:hAnsi="Times New Roman"/>
          <w:sz w:val="18"/>
          <w:szCs w:val="18"/>
          <w:color w:val="auto"/>
        </w:rPr>
        <w:t>”) consummated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its business combination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with Hadron Energy Operating Company Inc. (f/k/a Hadron Energy, Inc.) (“</w:t>
      </w:r>
      <w:r>
        <w:rPr>
          <w:rFonts w:ascii="Times New Roman" w:cs="Times New Roman" w:eastAsia="Times New Roman" w:hAnsi="Times New Roman"/>
          <w:sz w:val="18"/>
          <w:szCs w:val="18"/>
          <w:u w:val="single" w:color="auto"/>
          <w:color w:val="auto"/>
        </w:rPr>
        <w:t>Hadron Energy Operating Company</w:t>
      </w:r>
      <w:r>
        <w:rPr>
          <w:rFonts w:ascii="Times New Roman" w:cs="Times New Roman" w:eastAsia="Times New Roman" w:hAnsi="Times New Roman"/>
          <w:sz w:val="18"/>
          <w:szCs w:val="18"/>
          <w:color w:val="auto"/>
        </w:rPr>
        <w:t>”) pursuant to that certain Business Combination Agreement, dated as of September 27, 2025, as amended by that certain First Amendment to Business Combination Agreement, dated as of December 12, 2025, and by that certain Second Amendment to Business Combination Agreement, dated as of April 16, 2026, and all exhibits and schedules thereto, by and among the Company, MMR Merger Sub, Inc. and Hadron Energy Operating Company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In connection with the consummation of the Business Combination, the Company changed its name from GigCapital7 Corp. to Hadron Energy, Inc. Certain terms used in this Current Report on Form 8-K have the same meaning as set forth in the final proxy statement/prospectus (the “</w:t>
      </w:r>
      <w:r>
        <w:rPr>
          <w:rFonts w:ascii="Times New Roman" w:cs="Times New Roman" w:eastAsia="Times New Roman" w:hAnsi="Times New Roman"/>
          <w:sz w:val="18"/>
          <w:szCs w:val="18"/>
          <w:u w:val="single" w:color="auto"/>
          <w:color w:val="auto"/>
        </w:rPr>
        <w:t>Final Proxy Statement/Prospectus</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April 15, 2026 by the Company.</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Prior to the extraordinary general meeting of shareholders of the Company held on May 7, 2026 (the “</w:t>
      </w:r>
      <w:r>
        <w:rPr>
          <w:rFonts w:ascii="Times New Roman" w:cs="Times New Roman" w:eastAsia="Times New Roman" w:hAnsi="Times New Roman"/>
          <w:sz w:val="18"/>
          <w:szCs w:val="18"/>
          <w:u w:val="single" w:color="auto"/>
          <w:color w:val="auto"/>
        </w:rPr>
        <w:t>Extraordinary Meeting</w:t>
      </w:r>
      <w:r>
        <w:rPr>
          <w:rFonts w:ascii="Times New Roman" w:cs="Times New Roman" w:eastAsia="Times New Roman" w:hAnsi="Times New Roman"/>
          <w:sz w:val="18"/>
          <w:szCs w:val="18"/>
          <w:color w:val="auto"/>
        </w:rPr>
        <w:t>”), the holders of 16,834,491 shares of GigCapital7’s common stock out of 20,000,000 shares of common stock (or about 84% of the Public Shares) that were sold in its initial public offering (“</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exercised their right to redeem those shares for cash at a price of $10.71267171 per share, for an aggregate of $180,342,375.50, which redemption occurred concurrent with the Closing, and the balance of 3,165,509 shares (or about 16% of the Public Shares) reflected cash that remained in the trust account upon the Closing. Immediately after giving effect to the Business Combination (including as a result of the redemptions described above and the automatic separation of GigCapital7 units into shares of Hadron Energy common stock (“Combined Company Common Stock”) and warrants for the purchase of shares of Combined Company Common Stock), there were (i) 71,498,842 issued and outstanding shares of Combined Company Common Stock, (ii) public warrants for the purchase of 20,000,000 shares of Combined Company Common Stock with an exercise price of $11.50 per share, (iii) private warrants for the purchase of 3,719,000 shares of Combined Company Common Stock with an exercise price of $11.50 per share, and (iv) warrants for 5,000,000 shares of Combined Company Common Stock issued to former warrant holders of Hadron Energy Operating Company issued pursuant to the terms of the Business Combination Agreement with an exercise price of $12.00 per share. Upon the Closing, GigCapital7’s units ceased trading, and Hadron Energy’s common stock began trading on The Nasdaq Stock Market LLC (the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under the symbol “HDRN” and the public warrants began trading on Nasdaq under the symbol “HDRNW.” As of the date of Closing, the directors and executive officers and their affiliated entities beneficially owned approximately 75.9% of the outstanding shares of shares of Combined Company Common Stock, and the former shareholders of GigCapital7 beneficially owned approximately 23% of the outstanding shares of Combined Company Common Stock.</w:t>
      </w:r>
    </w:p>
    <w:p>
      <w:pPr>
        <w:spacing w:after="0" w:line="19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noted above, the per share redemption price of $10.71267171 for holders of Public Shares electing redemption was paid out of GigCapital7’s trust account, which after taking into account the redemptions, had a balance immediately prior to the Closing of approximately $33.9 million.</w:t>
      </w:r>
    </w:p>
    <w:p>
      <w:pPr>
        <w:sectPr>
          <w:pgSz w:w="11900" w:h="16838" w:orient="portrait"/>
          <w:cols w:equalWidth="0" w:num="1">
            <w:col w:w="10980"/>
          </w:cols>
          <w:pgMar w:left="440" w:top="293" w:right="47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closing of the Business Combination, the Company, GigAcquisitions7 Corp., a Cayman Islands exempted company (the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certain stockholders of the Company party to that certain Registration Rights Agreement dated as of August 28, 2024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RRA</w:t>
      </w:r>
      <w:r>
        <w:rPr>
          <w:rFonts w:ascii="Times New Roman" w:cs="Times New Roman" w:eastAsia="Times New Roman" w:hAnsi="Times New Roman"/>
          <w:sz w:val="18"/>
          <w:szCs w:val="18"/>
          <w:color w:val="auto"/>
        </w:rPr>
        <w:t>”), and certain stockholders of Hadron Energy Operating Company (the “</w:t>
      </w:r>
      <w:r>
        <w:rPr>
          <w:rFonts w:ascii="Times New Roman" w:cs="Times New Roman" w:eastAsia="Times New Roman" w:hAnsi="Times New Roman"/>
          <w:sz w:val="18"/>
          <w:szCs w:val="18"/>
          <w:u w:val="single" w:color="auto"/>
          <w:color w:val="auto"/>
        </w:rPr>
        <w:t>Restricted Company Security Holders</w:t>
      </w:r>
      <w:r>
        <w:rPr>
          <w:rFonts w:ascii="Times New Roman" w:cs="Times New Roman" w:eastAsia="Times New Roman" w:hAnsi="Times New Roman"/>
          <w:sz w:val="18"/>
          <w:szCs w:val="18"/>
          <w:color w:val="auto"/>
        </w:rPr>
        <w:t>” and, together with the Sponsor and the other parties to the Original RRA, the “</w:t>
      </w:r>
      <w:r>
        <w:rPr>
          <w:rFonts w:ascii="Times New Roman" w:cs="Times New Roman" w:eastAsia="Times New Roman" w:hAnsi="Times New Roman"/>
          <w:sz w:val="18"/>
          <w:szCs w:val="18"/>
          <w:u w:val="single" w:color="auto"/>
          <w:color w:val="auto"/>
        </w:rPr>
        <w:t>Registration Rights Holders</w:t>
      </w:r>
      <w:r>
        <w:rPr>
          <w:rFonts w:ascii="Times New Roman" w:cs="Times New Roman" w:eastAsia="Times New Roman" w:hAnsi="Times New Roman"/>
          <w:sz w:val="18"/>
          <w:szCs w:val="18"/>
          <w:color w:val="auto"/>
        </w:rPr>
        <w:t>”) entered into an Amended and Restated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which amended and restated the Original RRA in its entirety. Pursuant to the terms of the Registration Rights Agreement, the Combined Company will be obligated to file one or more registration statements to register the resales of the Combined Company Common Stock and Combined Company Common Stock issuable upon exercise of warrants that are held by such Registration Rights Holders after the Closing. Registration Rights Holders holding at least majority in interest of the registrable securities held by all Registration Rights Holders are entitled under the Registration Rights Agreement to make a written demand for registration under the Securities Act of all or part of their registrable securities, up to a total of three such demands. In addition, pursuant to the terms of the Registration Rights Agreement and subject to certain requirements and customary conditions, such Registration Rights Holders may demand at any time or from time to time, that the Combined Company file a registration statement on Form S-3 (or any similar short-form registration which may be available) to register the resale of the registrable securities of the Combined Company held by such Registration Rights Holders. The Registration Rights Agreement will also provide such Registration Rights Holders with “piggy-back” registration rights, subject to certain requirements and customary conditions.</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Under the Registration Rights Agreement, the Combined Company will indemnify such Registration Rights Holders and certain persons or entities related to such Registration Rights Holders such as their officers, directors, agents and each person who controls such Registration Rights Holders against any losses, claims damages, liabilities and expenses (including reasonable attorneys’ fees) resulting from any untrue or alleged untrue statement, or omission or alleged omission, of a material fact in any registration statement or prospectus pursuant to which the Registration Rights Holders sell their registrable securities, unless such liability arose from such Registration Rights Holder’s misstatement or alleged misstatement, or omission or alleged omission, and the Registration Rights Holders including registrable securities in any registration statement or prospectus will indemnify the Combined Company and certain persons or entities related to the Combined Company such as its officers, directors, agents and each person who controls the Combined Company against all losses, claims, damages, liabilities and expenses caused by their misstatements or omissions (or alleged misstatements or omissions) in those documents; provided, that each such Registration Rights Holder’s obligation to indemnify shall be several, not joint and several, and limited to the net proceeds received by such holder from the sale of registrable securities pursuant to the applicable registration statement.</w:t>
      </w:r>
    </w:p>
    <w:p>
      <w:pPr>
        <w:spacing w:after="0" w:line="192"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and the transactions contemplated thereby is not complete and is subject to, and qualified in its entirety by reference to the text of the Registration Rights Agreement, which is included as Exhibit 10.1 to this Current Report on Form 8-K.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and as a condition to the closing of the Business Combination, the Company, Hadron Energy Operating Company and certain stockholders of Hadron Energy Operating Company, (each, a “</w:t>
      </w:r>
      <w:r>
        <w:rPr>
          <w:rFonts w:ascii="Times New Roman" w:cs="Times New Roman" w:eastAsia="Times New Roman" w:hAnsi="Times New Roman"/>
          <w:sz w:val="18"/>
          <w:szCs w:val="18"/>
          <w:u w:val="single" w:color="auto"/>
          <w:color w:val="auto"/>
        </w:rPr>
        <w:t>Lock-Up 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Lock-Up Holders</w:t>
      </w:r>
      <w:r>
        <w:rPr>
          <w:rFonts w:ascii="Times New Roman" w:cs="Times New Roman" w:eastAsia="Times New Roman" w:hAnsi="Times New Roman"/>
          <w:sz w:val="18"/>
          <w:szCs w:val="18"/>
          <w:color w:val="auto"/>
        </w:rPr>
        <w:t>”) entered into a Lock-Up Agreement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The Lock-Up Agreement provides that, subject to certain exceptions, each of the Lock-Up Holders will not transfer any Lock-Up Securities (as defined therein, which excludes securities received pursuant to an incentive plan adopted on or after the Closing Date and securities acquired in open market transactions) beneficially owned or owned of record by the Lock-Up Holder until the earlier of (a) six months following the date of the Closing; (b) subsequent to the Closing, the date on which the reported closing price of one share of the Combined Company Common Stock quoted on Nasdaq (or other applicable national securities exchange) equals or exceeds $11.50 per share (as adjusted for stock splits, stock dividends, reorganizations, recapitalizations and the like occurring after the date of the Closing) for any twenty trading days within any thirty consecutive trading day period commencing at least ninety days after the date of the Closing; and (c) subsequent to the Closing, the date on which the Combined Company completes a liquidation, merger, stock exchange or other similar transaction that results in all of the Combined Company’s stockholders having the right to exchange their Combined Company securities for cash, securities or other property. The foregoing description of the Lock-Up Agreement and the transactions contemplated thereby is not complete and is subject to, and qualified in its entirety by reference to the text of the Lock-Up Agreement, which is included as Exhibit 10.2 to this Current Report on Form 8-K.</w:t>
      </w:r>
    </w:p>
    <w:p>
      <w:pPr>
        <w:sectPr>
          <w:pgSz w:w="11900" w:h="16838" w:orient="portrait"/>
          <w:cols w:equalWidth="0" w:num="1">
            <w:col w:w="11020"/>
          </w:cols>
          <w:pgMar w:left="440" w:top="293" w:right="439" w:bottom="1440" w:gutter="0" w:footer="0" w:header="0"/>
        </w:sectPr>
      </w:pPr>
    </w:p>
    <w:bookmarkStart w:id="3" w:name="page4"/>
    <w:bookmarkEnd w:id="3"/>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On May 22, 2026, GigCapital7 announced that its previously announced Business Combination with Hadron Energy Operating Company was consummated on May 22, 2026, that GigCapital7 had been renamed as Hadron Energy, Inc. and that its common stock and warrants would begin trading on Nasdaq under the new symbols “HDRN” and “HDRNW”, respectively, on May 26, 2026.</w:t>
      </w:r>
    </w:p>
    <w:p>
      <w:pPr>
        <w:spacing w:after="0" w:line="176"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On May 26, 2026, the Company also announced that its previously announced Business Combination with Hadron Energy Operating Company was consummated on May 22, 2026, as well as the approximate amount of cash that it retained from the GigCapital7 trust account following redemptions of Public Shares, plus the amount of cash that Hadron Energy Operating Company had at the Closing following the amounts that it had raised prior to the Closing.</w:t>
      </w:r>
    </w:p>
    <w:p>
      <w:pPr>
        <w:spacing w:after="0" w:line="180"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A copy of both the May 22, 2026 and the May 26, 2026 press release issued by the Company are furnished as Exhibits 99.1 and 99.2 to this Current Report on Form 8-K and are incorporated herein by reference.</w:t>
      </w:r>
    </w:p>
    <w:p>
      <w:pPr>
        <w:spacing w:after="0" w:line="162"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8.01, including Exhibits 99.1 and 99.2 attached hereto,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2"/>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80" w:type="dxa"/>
            <w:vAlign w:val="bottom"/>
            <w:gridSpan w:val="3"/>
          </w:tcPr>
          <w:p>
            <w:pPr>
              <w:spacing w:after="0"/>
              <w:rPr>
                <w:sz w:val="24"/>
                <w:szCs w:val="24"/>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10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May 22, 2026, by and among Hadron Energy, Inc. (f/k/a/ GigCapital7 Corp.), GigAcquisitions7 Corp.</w:t>
            </w: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and certain stockholders</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Lock-Up Agreement, dated May 22, 2026, by and among Hadron Energy, Inc. (f/k/a GigCapital7 Corp.), Hadron Energy Operating</w:t>
            </w: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Company Inc. (f/k/a Hadron Energy, Inc.) and the Lock-Up Parties listed therein</w:t>
            </w:r>
          </w:p>
        </w:tc>
        <w:tc>
          <w:tcPr>
            <w:tcW w:w="660" w:type="dxa"/>
            <w:vAlign w:val="bottom"/>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57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Press Release, dated May 22, 2026</w:t>
            </w:r>
          </w:p>
        </w:tc>
        <w:tc>
          <w:tcPr>
            <w:tcW w:w="4320" w:type="dxa"/>
            <w:vAlign w:val="bottom"/>
            <w:gridSpan w:val="2"/>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7600" w:type="dxa"/>
            <w:vAlign w:val="bottom"/>
            <w:gridSpan w:val="5"/>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Press Release, dated May 26, 2026</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7600" w:type="dxa"/>
            <w:vAlign w:val="bottom"/>
            <w:gridSpan w:val="5"/>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224" w:right="20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such omitted materials to the SEC upon request.</w:t>
      </w:r>
    </w:p>
    <w:p>
      <w:pPr>
        <w:sectPr>
          <w:pgSz w:w="11900" w:h="16838" w:orient="portrait"/>
          <w:cols w:equalWidth="0" w:num="1">
            <w:col w:w="11004"/>
          </w:cols>
          <w:pgMar w:left="436" w:top="293" w:right="45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2026</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320"/>
          </w:cols>
          <w:pgMar w:left="440" w:top="293" w:right="11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amends and restates in its entirety that certain Registration Rights Agreement dated August 28, 2024 by and among GigCapital7 Corp.,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GigAcquisitions7 Corp., a Cayman Islands exempted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the other parties thereto (the “</w:t>
      </w:r>
      <w:r>
        <w:rPr>
          <w:rFonts w:ascii="Times New Roman" w:cs="Times New Roman" w:eastAsia="Times New Roman" w:hAnsi="Times New Roman"/>
          <w:sz w:val="18"/>
          <w:szCs w:val="18"/>
          <w:b w:val="1"/>
          <w:bCs w:val="1"/>
          <w:color w:val="auto"/>
        </w:rPr>
        <w:t>Original RRA</w:t>
      </w:r>
      <w:r>
        <w:rPr>
          <w:rFonts w:ascii="Times New Roman" w:cs="Times New Roman" w:eastAsia="Times New Roman" w:hAnsi="Times New Roman"/>
          <w:sz w:val="18"/>
          <w:szCs w:val="18"/>
          <w:color w:val="auto"/>
        </w:rPr>
        <w:t xml:space="preserve">”), and is made and entered into as of May 22, 2026, by and among the Company, the Sponsor, the other parties to the Original RRA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each of the undersigned parties that are stockholders of Hadron (as defined below) listed under “Holder” on the signature page hereto (each such party to this Agreement,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Any capitalized term used but not defined herein will have the meaning ascribed to such term in the Business Combination Agreement (as defined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Sponsor and other parties to the Original RRA entered into the Original RRA on August 28, 2024;</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WHEREAS, the Original RRA provides that it may be amended upon the written consent of the Company and the holders of at least a majority in interest of the Registrable Securities as such term is defined in the Original RRA at the time in question (which majority interest must include Spartan if such amendment or modification affects in any way the rights of Spartan hereunder); provided, however, that notwithstanding the foregoing, any amendment thereto that adversely affects one holder, solely in his, her or its capacity as a holder of the shares of the Company, in a manner that is materially different from the other holders (in such capacity) shall require the consent of the holder so affected;</w:t>
      </w:r>
    </w:p>
    <w:p>
      <w:pPr>
        <w:spacing w:after="0" w:line="183" w:lineRule="exact"/>
        <w:rPr>
          <w:sz w:val="20"/>
          <w:szCs w:val="20"/>
          <w:color w:val="auto"/>
        </w:rPr>
      </w:pPr>
    </w:p>
    <w:p>
      <w:pPr>
        <w:jc w:val="both"/>
        <w:ind w:right="180" w:firstLine="440"/>
        <w:spacing w:after="0" w:line="289" w:lineRule="auto"/>
        <w:rPr>
          <w:sz w:val="20"/>
          <w:szCs w:val="20"/>
          <w:color w:val="auto"/>
        </w:rPr>
      </w:pPr>
      <w:r>
        <w:rPr>
          <w:rFonts w:ascii="Times New Roman" w:cs="Times New Roman" w:eastAsia="Times New Roman" w:hAnsi="Times New Roman"/>
          <w:sz w:val="17"/>
          <w:szCs w:val="17"/>
          <w:color w:val="auto"/>
        </w:rPr>
        <w:t>WHEREAS, the Sponsor is the holder of the majority in interest of the Registrable Securities as such term is defined in the Original RRA, and it and the Company desires to amend and restate in its entirety the Original RRA and to do so in a manner that does not amend or modify in any way the rights of Spartan under the Original RRA or otherwise adversely affect any one holder in a manner that is materially different from the other holders;</w:t>
      </w:r>
    </w:p>
    <w:p>
      <w:pPr>
        <w:spacing w:after="0" w:line="154"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WHEREAS, on August 28, 2024, the Company and the Sponsor entered into a warrant purchase agreement (the “</w:t>
      </w:r>
      <w:r>
        <w:rPr>
          <w:rFonts w:ascii="Times New Roman" w:cs="Times New Roman" w:eastAsia="Times New Roman" w:hAnsi="Times New Roman"/>
          <w:sz w:val="18"/>
          <w:szCs w:val="18"/>
          <w:b w:val="1"/>
          <w:bCs w:val="1"/>
          <w:color w:val="auto"/>
        </w:rPr>
        <w:t>Warrant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Sponsor purchased an aggregate of 3,719,000 warrants in a private placement that closed simultaneously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underwritten public offering (“</w:t>
      </w:r>
      <w:r>
        <w:rPr>
          <w:rFonts w:ascii="Times New Roman" w:cs="Times New Roman" w:eastAsia="Times New Roman" w:hAnsi="Times New Roman"/>
          <w:sz w:val="18"/>
          <w:szCs w:val="18"/>
          <w:b w:val="1"/>
          <w:bCs w:val="1"/>
          <w:color w:val="auto"/>
        </w:rPr>
        <w:t>Private Placement Warrant</w:t>
      </w:r>
      <w:r>
        <w:rPr>
          <w:rFonts w:ascii="Times New Roman" w:cs="Times New Roman" w:eastAsia="Times New Roman" w:hAnsi="Times New Roman"/>
          <w:sz w:val="18"/>
          <w:szCs w:val="18"/>
          <w:color w:val="auto"/>
        </w:rPr>
        <w:t>”), with each such Private Placement Warrant entitling the holder thereof to purchase one Class A ordinary share of the Company, par value $0.0001 per share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for an exercise price of $11.50 per share, subject to adjustment as provided therein;</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Sponsor and certain institutional investors that are parties to the Original RRA acquired from the Company prior to entry into the Original RRA, Class B ordinary shares of the Company, par value $0.0001 per share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WHEREAS, the Company, MMR Merger Sub, Inc., a Delaware corporation and a wholly-owned direct subsidiary of the Company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and Hadron Energy, Inc., a Delaware corporation (“</w:t>
      </w:r>
      <w:r>
        <w:rPr>
          <w:rFonts w:ascii="Times New Roman" w:cs="Times New Roman" w:eastAsia="Times New Roman" w:hAnsi="Times New Roman"/>
          <w:sz w:val="18"/>
          <w:szCs w:val="18"/>
          <w:b w:val="1"/>
          <w:bCs w:val="1"/>
          <w:color w:val="auto"/>
        </w:rPr>
        <w:t>Hadron</w:t>
      </w:r>
      <w:r>
        <w:rPr>
          <w:rFonts w:ascii="Times New Roman" w:cs="Times New Roman" w:eastAsia="Times New Roman" w:hAnsi="Times New Roman"/>
          <w:sz w:val="18"/>
          <w:szCs w:val="18"/>
          <w:color w:val="auto"/>
        </w:rPr>
        <w:t>”), entered into that certain Business Combination Agreement,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27, 2025, as amended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and the transactions contemplated thereby,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pursuant to which Merger Sub will merge with and into Hadron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Hadron surviving the Merger as a wholly-owned subsidiary of the Company;</w:t>
      </w:r>
    </w:p>
    <w:p>
      <w:pPr>
        <w:sectPr>
          <w:pgSz w:w="11900" w:h="16838" w:orient="portrait"/>
          <w:cols w:equalWidth="0" w:num="1">
            <w:col w:w="11020"/>
          </w:cols>
          <w:pgMar w:left="440" w:top="117" w:right="439" w:bottom="1440" w:gutter="0" w:footer="0" w:header="0"/>
        </w:sectPr>
      </w:pPr>
    </w:p>
    <w:bookmarkStart w:id="6" w:name="page7"/>
    <w:bookmarkEnd w:id="6"/>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prior to the date hereof and subject to the conditions of the Business Combination Agreement, the Company transferred by way of continuation from the Cayman Islands to Delaware and domesticated as a Delaware corporation in accordance with Section 388 of the Delaware General Corporation Law, as amended, and Part XII of the Companies Act (as revised) of the Cayman Islands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and as part of the Domestication, (i) each then issued and outstanding Class B Share automatically converted, on a one-for-one basis, into one share of Class B common stock, par value $0.0001 per share (the “</w:t>
      </w:r>
      <w:r>
        <w:rPr>
          <w:rFonts w:ascii="Times New Roman" w:cs="Times New Roman" w:eastAsia="Times New Roman" w:hAnsi="Times New Roman"/>
          <w:sz w:val="18"/>
          <w:szCs w:val="18"/>
          <w:b w:val="1"/>
          <w:bCs w:val="1"/>
          <w:color w:val="auto"/>
        </w:rPr>
        <w:t>Class B Stock</w:t>
      </w:r>
      <w:r>
        <w:rPr>
          <w:rFonts w:ascii="Times New Roman" w:cs="Times New Roman" w:eastAsia="Times New Roman" w:hAnsi="Times New Roman"/>
          <w:sz w:val="18"/>
          <w:szCs w:val="18"/>
          <w:color w:val="auto"/>
        </w:rPr>
        <w:t>”), (ii) each Class A Share (other than any Class A Share included in the Cayman Purchaser Units) converted automatically, on a one-for-one basis, into one share of common stock, par value $0.0001 per share, of the Company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 (iii) each then issued and outstanding warrant of the Company (other than any Cayman Purchaser Public Warrants included in the Cayman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Units) (each a “</w:t>
      </w:r>
      <w:r>
        <w:rPr>
          <w:rFonts w:ascii="Times New Roman" w:cs="Times New Roman" w:eastAsia="Times New Roman" w:hAnsi="Times New Roman"/>
          <w:sz w:val="18"/>
          <w:szCs w:val="18"/>
          <w:b w:val="1"/>
          <w:bCs w:val="1"/>
          <w:color w:val="auto"/>
        </w:rPr>
        <w:t>Cayman Purchaser Warrant</w:t>
      </w:r>
      <w:r>
        <w:rPr>
          <w:rFonts w:ascii="Times New Roman" w:cs="Times New Roman" w:eastAsia="Times New Roman" w:hAnsi="Times New Roman"/>
          <w:sz w:val="18"/>
          <w:szCs w:val="18"/>
          <w:color w:val="auto"/>
        </w:rPr>
        <w:t>”) converted automatically into a warrant to acquire one share of Common Stock (each a “</w:t>
      </w:r>
      <w:r>
        <w:rPr>
          <w:rFonts w:ascii="Times New Roman" w:cs="Times New Roman" w:eastAsia="Times New Roman" w:hAnsi="Times New Roman"/>
          <w:sz w:val="18"/>
          <w:szCs w:val="18"/>
          <w:b w:val="1"/>
          <w:bCs w:val="1"/>
          <w:color w:val="auto"/>
        </w:rPr>
        <w:t>Domesticated Purchaser Warrant</w:t>
      </w:r>
      <w:r>
        <w:rPr>
          <w:rFonts w:ascii="Times New Roman" w:cs="Times New Roman" w:eastAsia="Times New Roman" w:hAnsi="Times New Roman"/>
          <w:sz w:val="18"/>
          <w:szCs w:val="18"/>
          <w:color w:val="auto"/>
        </w:rPr>
        <w:t>”), pursuant to the Warrant Agreement, and (iv) each then issued and outstanding Cayman Purchaser Unit was cancelled and entitled the holder thereof to one share of Common Stock and one Domesticated Purchaser Warrant, in each case without any action on the part of the Company, Merger Sub, Hadron or any holder of securities of any of the foregoing;</w:t>
      </w:r>
    </w:p>
    <w:p>
      <w:pPr>
        <w:spacing w:after="0" w:line="192"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WHEREAS, at the Effective Time, by virtue of the Merger and the applicable provisions of the Domesticated Purchaser Charter, and without any action on the part of any party or any other person, each share of Class B Stock then issued and outstanding shall be automatically cancelled and extinguished and converted into one share of Common Stock;</w:t>
      </w:r>
    </w:p>
    <w:p>
      <w:pPr>
        <w:spacing w:after="0" w:line="176"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the Business Combination Agreement, the Company is issuing shares of the Common Stock to the Holders designated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w:t>
      </w:r>
    </w:p>
    <w:p>
      <w:pPr>
        <w:spacing w:after="0" w:line="162"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set forth certain matters regarding the ownership of the Registrable Securities (as defined below) by the Holders.</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1.1 Definitions. </w:t>
      </w:r>
      <w:r>
        <w:rPr>
          <w:rFonts w:ascii="Times New Roman" w:cs="Times New Roman" w:eastAsia="Times New Roman" w:hAnsi="Times New Roman"/>
          <w:sz w:val="18"/>
          <w:szCs w:val="18"/>
          <w:color w:val="auto"/>
        </w:rPr>
        <w:t>For purposes of this Agreement, the following terms and variations thereof have the meanings set forth below:</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Adverse Disclosure</w:t>
      </w:r>
      <w:r>
        <w:rPr>
          <w:rFonts w:ascii="Times New Roman" w:cs="Times New Roman" w:eastAsia="Times New Roman" w:hAnsi="Times New Roman"/>
          <w:sz w:val="17"/>
          <w:szCs w:val="17"/>
          <w:color w:val="auto"/>
        </w:rPr>
        <w:t>” means any public disclosure of material non-public information, which disclosure, in the good faith judgment of the Chief Executive Officer or Chief Financial Officer of the Company or the Board, in each case, after consultation with outside legal counsel to the Company,</w:t>
      </w:r>
    </w:p>
    <w:p>
      <w:pPr>
        <w:spacing w:after="0" w:line="1" w:lineRule="exact"/>
        <w:rPr>
          <w:sz w:val="20"/>
          <w:szCs w:val="20"/>
          <w:color w:val="auto"/>
        </w:rPr>
      </w:pPr>
    </w:p>
    <w:p>
      <w:pPr>
        <w:ind w:left="4" w:right="60" w:hanging="4"/>
        <w:spacing w:after="0" w:line="265" w:lineRule="auto"/>
        <w:tabs>
          <w:tab w:leader="none" w:pos="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w:t>
      </w: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be required to be made at such time if the Registration Statement were not being filed, declared effective or used, as the case may be, and</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bona fide business purpose for not making such information public.</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law to close.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Purchaser Warrant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Stock</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 or any other federal agency then administering the Securities Act or the Exchange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given in the Preamble hereto and includes the Company’s successors by recapitalization, merger, consolidation, spin-off, reorganization or similar transaction.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Domesticated Purchaser Warrant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has the meaning given in the Recitals.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440" w:top="266" w:right="599" w:bottom="1440" w:gutter="0" w:footer="0" w:header="0"/>
        </w:sectPr>
      </w:pPr>
    </w:p>
    <w:bookmarkStart w:id="8" w:name="page9"/>
    <w:bookmarkEnd w:id="8"/>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RRA</w:t>
      </w:r>
      <w:r>
        <w:rPr>
          <w:rFonts w:ascii="Times New Roman" w:cs="Times New Roman" w:eastAsia="Times New Roman" w:hAnsi="Times New Roman"/>
          <w:sz w:val="18"/>
          <w:szCs w:val="18"/>
          <w:color w:val="auto"/>
        </w:rPr>
        <w:t>” has the meaning given in the Preamble.</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trust, unincorporated organization or any other entity, including a governmental authority.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Warrant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any equity securities (including the shares of Common Stock issued or issuable upon the exercise or conversion of any such equity security) of the Company held by a Holder immediately following consummation of the Merger and (ii) and all of the Domesticated Purchaser Warrants into which the Private Placement Warrants converted upon the Domestication, and underlying shares of Common Stock issuable upon the exercise thereof. Registrable Securities include any warrants, shares of capital stock or other securities of the Company issued as a dividend or other distribution with respect to or in exchange for or in replacement of any of the securities described in the foregoing clauses (i) - (ii). As to any particular Registrable Security, such security shall cease to be a Registrable Security when: (a) a Registration Statement with respect to the sale of such security shall have become effective under the Securities Act and such security shall have been sold, transferred, disposed of or exchanged in accordance with such Registration Statement; (b) such security shall have been otherwise transferred, a new certificate for such security not bearing a legend restricting further transfer shall have been delivered by the Company and subsequent public distribution of such security shall not require registration under the Securities Act; (c) such security shall have ceased to be outstanding; (d) such security may be sold without registration pursuant to Rule 144 (but with no volume or other restrictions or limitations); or (e) such security has been sold to, or through, a broker, dealer or underwriter in a public distribution or other public securities transaction.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the out-of-pocket expenses of a Registration, including, without limitation, the following:</w:t>
      </w:r>
    </w:p>
    <w:p>
      <w:pPr>
        <w:spacing w:after="0" w:line="135" w:lineRule="exact"/>
        <w:rPr>
          <w:sz w:val="20"/>
          <w:szCs w:val="20"/>
          <w:color w:val="auto"/>
        </w:rPr>
      </w:pPr>
    </w:p>
    <w:p>
      <w:pPr>
        <w:ind w:left="1420" w:right="420" w:hanging="439"/>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and any securities exchange on which the Common Stock is then listed);</w:t>
      </w:r>
    </w:p>
    <w:p>
      <w:pPr>
        <w:spacing w:after="0" w:line="67" w:lineRule="exact"/>
        <w:rPr>
          <w:rFonts w:ascii="Times New Roman" w:cs="Times New Roman" w:eastAsia="Times New Roman" w:hAnsi="Times New Roman"/>
          <w:sz w:val="18"/>
          <w:szCs w:val="18"/>
          <w:color w:val="auto"/>
        </w:rPr>
      </w:pPr>
    </w:p>
    <w:p>
      <w:pPr>
        <w:ind w:left="1420" w:right="460" w:hanging="439"/>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outside legal counsel for the Underwriters in connection with blue sky qualifications of Registrable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9" w:name="page10"/>
    <w:bookmarkEnd w:id="9"/>
    <w:p>
      <w:pPr>
        <w:ind w:left="1420" w:hanging="439"/>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printing, messenger, telephone and delivery expenses;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outside legal counsel for the Company;</w:t>
      </w:r>
    </w:p>
    <w:p>
      <w:pPr>
        <w:spacing w:after="0" w:line="130" w:lineRule="exact"/>
        <w:rPr>
          <w:rFonts w:ascii="Times New Roman" w:cs="Times New Roman" w:eastAsia="Times New Roman" w:hAnsi="Times New Roman"/>
          <w:sz w:val="18"/>
          <w:szCs w:val="18"/>
          <w:color w:val="auto"/>
        </w:rPr>
      </w:pPr>
    </w:p>
    <w:p>
      <w:pPr>
        <w:ind w:left="1420" w:right="680" w:hanging="439"/>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67" w:lineRule="exact"/>
        <w:rPr>
          <w:rFonts w:ascii="Times New Roman" w:cs="Times New Roman" w:eastAsia="Times New Roman" w:hAnsi="Times New Roman"/>
          <w:sz w:val="18"/>
          <w:szCs w:val="18"/>
          <w:color w:val="auto"/>
        </w:rPr>
      </w:pPr>
    </w:p>
    <w:p>
      <w:pPr>
        <w:ind w:left="1420" w:right="640" w:hanging="439"/>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outside legal counsel selected by the majority-in-interest of the Demanding Holders initiating a Demand Registration to be registered for offer and sale in the applicable Registration.</w:t>
      </w:r>
    </w:p>
    <w:p>
      <w:pPr>
        <w:spacing w:after="0" w:line="158"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securities (other than a registration statement on Form S-4 or Form S-8, or their successors, or any registration statement covering only securities proposed to be issued in exchange for securities or assets of another entity).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 as amended from time to time, or any similar successor rule thereto that may be promulgated by the Commission.</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has the meaning given in the Preamble.</w:t>
      </w:r>
    </w:p>
    <w:p>
      <w:pPr>
        <w:spacing w:after="0" w:line="225" w:lineRule="exact"/>
        <w:rPr>
          <w:sz w:val="20"/>
          <w:szCs w:val="20"/>
          <w:color w:val="auto"/>
        </w:rPr>
      </w:pPr>
    </w:p>
    <w:p>
      <w:pPr>
        <w:ind w:right="5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in a firm commitment underwriting for distribution to the public.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Purchase Agreement</w:t>
      </w:r>
      <w:r>
        <w:rPr>
          <w:rFonts w:ascii="Times New Roman" w:cs="Times New Roman" w:eastAsia="Times New Roman" w:hAnsi="Times New Roman"/>
          <w:sz w:val="18"/>
          <w:szCs w:val="18"/>
          <w:color w:val="auto"/>
        </w:rPr>
        <w:t>” has the meaning given in the Recitals.</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0" w:name="page11"/>
    <w:bookmarkEnd w:id="1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2.1 Demand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at any time and from time to time on or after the Closing Date, the Holders holding at least a majority in interest of the then-outstanding number of Registrable Securities held by all the Holders (such Holders, the “</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the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shall so notify the Company, in writing, within five</w:t>
      </w:r>
    </w:p>
    <w:p>
      <w:pPr>
        <w:spacing w:after="0" w:line="1" w:lineRule="exact"/>
        <w:rPr>
          <w:sz w:val="20"/>
          <w:szCs w:val="20"/>
          <w:color w:val="auto"/>
        </w:rPr>
      </w:pPr>
    </w:p>
    <w:p>
      <w:pPr>
        <w:ind w:left="4" w:right="60" w:hanging="4"/>
        <w:spacing w:after="0" w:line="251"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initiated by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Underwritten Offering pursuant to a Demand Registration shall not be counted for such purposes unless a Registration Statement that may be available at such time has become effective and all of the Registrable Securities requested by the Demanding Holders to be registered on behalf of the Demanding Holders in such Registration Statement have been sold,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193"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filed with the Commission with respect to such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of such election, which notice shall be received by the Company not later than five (5) days after the removal of any such stop order or injunction;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to file a second Registration Statement until a Registration Statement that has been previously filed pursuant to a Demand Registration becomes effective or is terminated.</w:t>
      </w:r>
    </w:p>
    <w:p>
      <w:pPr>
        <w:spacing w:after="0" w:line="192" w:lineRule="exact"/>
        <w:rPr>
          <w:sz w:val="20"/>
          <w:szCs w:val="20"/>
          <w:color w:val="auto"/>
        </w:rPr>
      </w:pPr>
    </w:p>
    <w:p>
      <w:pPr>
        <w:ind w:left="4" w:right="1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if a majority-in-interest of the Demanding Holders so advise the Company as part of their Demand Registration that the offering of Registrable Securities pursuant thereto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a majority-in-interest of the Demanding Holders initiating the Demand Registration.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11" w:name="page12"/>
    <w:bookmarkEnd w:id="11"/>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 </w:t>
      </w:r>
      <w:r>
        <w:rPr>
          <w:rFonts w:ascii="Times New Roman" w:cs="Times New Roman" w:eastAsia="Times New Roman" w:hAnsi="Times New Roman"/>
          <w:sz w:val="17"/>
          <w:szCs w:val="17"/>
          <w:u w:val="single" w:color="auto"/>
          <w:color w:val="auto"/>
        </w:rPr>
        <w:t>Reduction of Underwritten Offering</w:t>
      </w:r>
      <w:r>
        <w:rPr>
          <w:rFonts w:ascii="Times New Roman" w:cs="Times New Roman" w:eastAsia="Times New Roman" w:hAnsi="Times New Roman"/>
          <w:sz w:val="17"/>
          <w:szCs w:val="17"/>
          <w:color w:val="auto"/>
        </w:rPr>
        <w:t>. If the managing Underwriter(s) for a Demand Registration that is to be an Underwritten Offering, in good faith, advises the Company, the Demanding Holders and the Requesting Holders in writing that the dollar amount or number of Registrable Securities which the Demanding Holders and the Requesting Holders (if any) desire to sell, taken together with all other shares of Common Stock or other equity securities which the Company desires to sell and the shares of Common Stock, if any, as to which a Registration has been requested pursuant to separate written contractual piggyback registration rights held by other stockholders of the Company who desire to sell, exceeds the maximum dollar amount or maximum number of equity securities that can be sold in the Underwritten Offering without adversely affecting the proposed offering price, the timing, the distribution method, or the probability of success of such Underwritten Offering (such maximum dollar amount or maximum number of securities, as applicable, the “</w:t>
      </w:r>
      <w:r>
        <w:rPr>
          <w:rFonts w:ascii="Times New Roman" w:cs="Times New Roman" w:eastAsia="Times New Roman" w:hAnsi="Times New Roman"/>
          <w:sz w:val="17"/>
          <w:szCs w:val="17"/>
          <w:b w:val="1"/>
          <w:bCs w:val="1"/>
          <w:color w:val="auto"/>
        </w:rPr>
        <w:t>Maximum Number of Securities</w:t>
      </w:r>
      <w:r>
        <w:rPr>
          <w:rFonts w:ascii="Times New Roman" w:cs="Times New Roman" w:eastAsia="Times New Roman" w:hAnsi="Times New Roman"/>
          <w:sz w:val="17"/>
          <w:szCs w:val="17"/>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cs="Times New Roman" w:eastAsia="Times New Roman" w:hAnsi="Times New Roman"/>
          <w:sz w:val="17"/>
          <w:szCs w:val="17"/>
          <w:b w:val="1"/>
          <w:bCs w:val="1"/>
          <w:color w:val="auto"/>
        </w:rPr>
        <w:t>Pro Rata</w:t>
      </w:r>
      <w:r>
        <w:rPr>
          <w:rFonts w:ascii="Times New Roman" w:cs="Times New Roman" w:eastAsia="Times New Roman" w:hAnsi="Times New Roman"/>
          <w:sz w:val="17"/>
          <w:szCs w:val="17"/>
          <w:color w:val="auto"/>
        </w:rPr>
        <w:t>”) that can be sold without exceeding the Maximum Number of Securities;</w:t>
      </w:r>
    </w:p>
    <w:p>
      <w:pPr>
        <w:spacing w:after="0" w:line="1" w:lineRule="exact"/>
        <w:rPr>
          <w:sz w:val="20"/>
          <w:szCs w:val="20"/>
          <w:color w:val="auto"/>
        </w:rPr>
      </w:pPr>
    </w:p>
    <w:p>
      <w:pPr>
        <w:ind w:left="4" w:right="40" w:hanging="4"/>
        <w:spacing w:after="0" w:line="251"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hereof), that can be sold without exceeding the Maximum Number of Securities; (iii) third, to the extent that the Maximum Number of Securities has not been reached under the foregoing clauses (i) 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94" w:lineRule="exact"/>
        <w:rPr>
          <w:sz w:val="20"/>
          <w:szCs w:val="20"/>
          <w:color w:val="auto"/>
        </w:rPr>
      </w:pPr>
    </w:p>
    <w:p>
      <w:pPr>
        <w:ind w:left="4" w:right="2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Any Demanding Holder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if with respect to a Demand Registration, a majority-in-interest of the Demanding Holders initiating a Demand Registration so withdraw from a Registration pursuant to such Demand Registration, such Registration shall not count as a Demand Registration provided for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2.2 Piggyback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on or after the Closing Date,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stockholders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or (v) pursuant to a Registration Statement on Form S-4 (or similar form that relates to a transaction subject to Rule 145 under the Securities Act or any successor rule thereto), then the Company shall (x) give written notice of such proposed filing to all of the Holders of Registrable Securities as soon as practicable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but in no event less than ten (10) days before the anticipated filing date of such Registration Statement, which notice shall describe the amount and type of securities to be included in such offering, the intended method(s) of distribution, and the name of the proposed managing Underwriter or Underwriters, if any, of the offering, and (y) offer to all of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color w:val="auto"/>
        </w:rPr>
        <w:t>Piggyback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Subject to Section 2.2.2, the Company shall, in good faith, cause such Registrable Securities to be included in such Piggyback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and shall use commercially reasonable efforts to cause the managing Underwriter(s) of a proposed Underwritten Offering to permit the Registrable Securities requested to be included in such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Registrable Securities through a Piggyback Registration that involves an Underwriter(s) shall enter into an underwriting agreement in customary form with the Underwriter(s) selected for such Piggyback Registration.</w:t>
      </w:r>
    </w:p>
    <w:p>
      <w:pPr>
        <w:spacing w:after="0" w:line="19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Underwriter(s) for a Piggyback Registration that is to be an Underwritten Offering, in good faith, advises the Company and the Holders of Registrable Securities participating in the Piggyback Registration in writing that the dollar amount or number of securities which the Company desires to sell, taken together with (i) the Common Stock or other equity securities, if any, as to which Registration has been demanded pursuant to separate written contractual arrangements with persons or entities other than the Holders of Registrable Securities hereunder, (ii) the Registrable Securities as to which Registration has been requested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(iii) the Common Stock or other equity securities, if any, as to which Registration has been requested pursuant to separate written contractual piggyback registration rights of other stockholders of the Company, exceeds the Maximum Number of Securities, then:</w:t>
      </w:r>
    </w:p>
    <w:p>
      <w:pPr>
        <w:spacing w:after="0" w:line="94" w:lineRule="exact"/>
        <w:rPr>
          <w:sz w:val="20"/>
          <w:szCs w:val="20"/>
          <w:color w:val="auto"/>
        </w:rPr>
      </w:pPr>
    </w:p>
    <w:p>
      <w:pPr>
        <w:ind w:left="1960" w:right="40" w:hanging="533"/>
        <w:spacing w:after="0" w:line="253"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Common Stock, if any, as to which Registration has been requested pursuant to written contractual piggyback registration rights of other stockholders of the Company that pre-dates this Agreement, which can be sold without exceeding the Maximum Number of Securities; (C) third, to the extent that the Maximum Number of Securities has not been reached under the foregoing clauses (A) and (B),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hereof, Pro Rata, which can be sold without exceeding the Maximum Number of Securities; and (D) fourth, to the extent that the Maximum Number of Securities has not been reached under the foregoing clauses (A), (B) and (C), the Common Stock, if any, as to which Registration has been requested pursuant to written contractual piggyback registration rights of other stockholders of the Company not otherwise covered above, which can be sold without exceeding the Maximum Number of Securities; and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3" w:name="page14"/>
    <w:bookmarkEnd w:id="13"/>
    <w:p>
      <w:pPr>
        <w:ind w:left="1964" w:right="60" w:hanging="533"/>
        <w:spacing w:after="0" w:line="252" w:lineRule="auto"/>
        <w:tabs>
          <w:tab w:leader="none" w:pos="1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Pro Rata based on the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w:t>
      </w:r>
    </w:p>
    <w:p>
      <w:pPr>
        <w:spacing w:after="0" w:line="6" w:lineRule="exact"/>
        <w:rPr>
          <w:rFonts w:ascii="Times New Roman" w:cs="Times New Roman" w:eastAsia="Times New Roman" w:hAnsi="Times New Roman"/>
          <w:sz w:val="18"/>
          <w:szCs w:val="18"/>
          <w:color w:val="auto"/>
        </w:rPr>
      </w:pPr>
    </w:p>
    <w:p>
      <w:pPr>
        <w:ind w:left="196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87" w:lineRule="exact"/>
        <w:rPr>
          <w:sz w:val="20"/>
          <w:szCs w:val="20"/>
          <w:color w:val="auto"/>
        </w:rPr>
      </w:pPr>
    </w:p>
    <w:p>
      <w:pPr>
        <w:ind w:left="4" w:right="40" w:firstLine="991"/>
        <w:spacing w:after="0" w:line="268" w:lineRule="auto"/>
        <w:rPr>
          <w:sz w:val="20"/>
          <w:szCs w:val="20"/>
          <w:color w:val="auto"/>
        </w:rPr>
      </w:pPr>
      <w:r>
        <w:rPr>
          <w:rFonts w:ascii="Times New Roman" w:cs="Times New Roman" w:eastAsia="Times New Roman" w:hAnsi="Times New Roman"/>
          <w:sz w:val="17"/>
          <w:szCs w:val="17"/>
          <w:color w:val="auto"/>
        </w:rPr>
        <w:t xml:space="preserve">2.2.3 </w:t>
      </w:r>
      <w:r>
        <w:rPr>
          <w:rFonts w:ascii="Times New Roman" w:cs="Times New Roman" w:eastAsia="Times New Roman" w:hAnsi="Times New Roman"/>
          <w:sz w:val="17"/>
          <w:szCs w:val="17"/>
          <w:u w:val="single" w:color="auto"/>
          <w:color w:val="auto"/>
        </w:rPr>
        <w:t>Piggyback Registration Withdrawal</w:t>
      </w:r>
      <w:r>
        <w:rPr>
          <w:rFonts w:ascii="Times New Roman" w:cs="Times New Roman" w:eastAsia="Times New Roman" w:hAnsi="Times New Roman"/>
          <w:sz w:val="17"/>
          <w:szCs w:val="17"/>
          <w:color w:val="auto"/>
        </w:rPr>
        <w:t>. Any Holder of Registrable Securities shall have the right to withdraw from a Piggyback Registration for any or no reason whatsoever upon written notification to the Company and the Underwriter(s) of his, her or its intention to withdraw from such Piggyback Registration prior to the effectiveness of the Registration Statement filed with the Commission with respect to such Piggyback Registration (or in the case of an Underwritten Registration pursuant to Rule 415 under the Securities Act, at least two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w:t>
      </w:r>
    </w:p>
    <w:p>
      <w:pPr>
        <w:ind w:left="4"/>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2.3 Registration on Form S-3. </w:t>
      </w:r>
      <w:r>
        <w:rPr>
          <w:rFonts w:ascii="Times New Roman" w:cs="Times New Roman" w:eastAsia="Times New Roman" w:hAnsi="Times New Roman"/>
          <w:sz w:val="17"/>
          <w:szCs w:val="17"/>
          <w:color w:val="auto"/>
        </w:rPr>
        <w:t>The Holders of Registrable Securities may at any time, and from time to time, request in writing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pursuant to Rule 415 under the Securities Act (or any successor rule promulgated thereafter by the Commission), register the resale of any or all of their Registrable Securities on Form S-3 or any similar short-form registration statement that may be available at such time (“</w:t>
      </w:r>
      <w:r>
        <w:rPr>
          <w:rFonts w:ascii="Times New Roman" w:cs="Times New Roman" w:eastAsia="Times New Roman" w:hAnsi="Times New Roman"/>
          <w:sz w:val="17"/>
          <w:szCs w:val="17"/>
          <w:b w:val="1"/>
          <w:bCs w:val="1"/>
          <w:color w:val="auto"/>
        </w:rPr>
        <w:t>Form S-3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w:t>
      </w:r>
    </w:p>
    <w:p>
      <w:pPr>
        <w:spacing w:after="0" w:line="4" w:lineRule="exact"/>
        <w:rPr>
          <w:sz w:val="20"/>
          <w:szCs w:val="20"/>
          <w:color w:val="auto"/>
        </w:rPr>
      </w:pPr>
    </w:p>
    <w:p>
      <w:pPr>
        <w:ind w:left="344" w:hanging="344"/>
        <w:spacing w:after="0"/>
        <w:tabs>
          <w:tab w:leader="none" w:pos="3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Company’s initial receipt of such written request for a Registration on Form S-3, the Company shall register all or such portion of</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14" w:name="page15"/>
    <w:bookmarkEnd w:id="1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effect any such Registration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$5,000,000. Registrations effected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2.4 Restrictions on Registration Rights. </w:t>
      </w:r>
      <w:r>
        <w:rPr>
          <w:rFonts w:ascii="Times New Roman" w:cs="Times New Roman" w:eastAsia="Times New Roman" w:hAnsi="Times New Roman"/>
          <w:sz w:val="18"/>
          <w:szCs w:val="18"/>
          <w:color w:val="auto"/>
        </w:rPr>
        <w:t>If (A) during the period starting with the date sixty (60) days prior to the Company’s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not defer its obligation in this manner more than once in any 12-month period.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PROCEDURES</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3.1 General Procedures</w:t>
      </w:r>
      <w:r>
        <w:rPr>
          <w:rFonts w:ascii="Times New Roman" w:cs="Times New Roman" w:eastAsia="Times New Roman" w:hAnsi="Times New Roman"/>
          <w:sz w:val="18"/>
          <w:szCs w:val="18"/>
          <w:color w:val="auto"/>
        </w:rPr>
        <w:t>. If at any time on or after the Closing Date the Company is required to effect the registration of any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pursuant to Section 2</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Company shall use its commercially reasonable efforts to effect the Registration to permit the sale of such Registrable Securities in accordance with the intended plan of distribution thereof, and pursuant thereto the Company shall, as expeditiously as practicable and in connection with any such request:</w:t>
      </w:r>
    </w:p>
    <w:p>
      <w:pPr>
        <w:spacing w:after="0" w:line="7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5" w:name="page16"/>
    <w:bookmarkEnd w:id="15"/>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3.1.3 prior to filing a Registration Statement or Prospectus, or any amendment or supplement thereto, furnish without charge to the Underwriters, if any, and the Holders of Registrable Securities included in such Registration, and such Holders’ outside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outside legal counsel for any such Holders may request in order to facilitate the disposition of the Registrable Securities owned by such Holders;</w:t>
      </w:r>
    </w:p>
    <w:p>
      <w:pPr>
        <w:spacing w:after="0" w:line="187"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reasonably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4"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3.1.5 use commercially reasonable efforts to cause all such Registrable Securities to be listed on each national securities exchange or automated quotation system on which similar securities issued by the Company are then listed;</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0"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3.1.9 at least five (5) days prior to the filing of any Registration Statement or Prospectus or any amendment or supplement to such Registration Statement or Prospectus as may be (a) necessary in order to comply with the Securities Act, the Exchange Act and the rules and regulations promulgated under the Securities Act or Exchange Act, as applicable or (b) advisable in order to reduce the number of days that sales are suspended pursuant to Section 3.4, furnish a copy thereof to each seller of such Registrable Securities and by means of one outside legal counsel on behalf of all such sellers (excluding any exhibits thereto and any filing made under the Exchange Act that is to be incorporated by reference therein);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6" w:name="page17"/>
    <w:bookmarkEnd w:id="16"/>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3.1.10 notify the selling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3.4 hereof;</w:t>
      </w:r>
    </w:p>
    <w:p>
      <w:pPr>
        <w:spacing w:after="0" w:line="176" w:lineRule="exact"/>
        <w:rPr>
          <w:sz w:val="20"/>
          <w:szCs w:val="20"/>
          <w:color w:val="auto"/>
        </w:rPr>
      </w:pPr>
    </w:p>
    <w:p>
      <w:pPr>
        <w:ind w:left="4"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3.1.11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representatives or Underwriters enter into a confidentiality agreement, in form and substance reasonably satisfactory to the Company, prior to the release or disclosure of any such information;</w:t>
      </w:r>
    </w:p>
    <w:p>
      <w:pPr>
        <w:spacing w:after="0" w:line="187"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3.1.12 use commercially reasonable efforts to obtain a “comfort” letter from the Company’s independent registered public accountants in the event of an Underwritten Registration, in customary form and covering such matters of the type customarily covered by “comfort” letters as the managing Underwriter may reasonably request, and reasonably satisfactory to a majority in interest of the participating Holders;</w:t>
      </w:r>
    </w:p>
    <w:p>
      <w:pPr>
        <w:spacing w:after="0" w:line="176"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3.1.13 use commercially reasonable efforts to obtain, on the date the Registrable Securities are delivered for sale pursuant to such Registration, an opinion and negative assurance letter, dated such date, of outside legal counsel representing the Company for the purposes of such Registration, addressed to the participating Holders, the broker, the placement agent or sales agent,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such participating Holders provide such information to such outside legal counsel as is customarily required for, or is reasonably requested by such outside legal counsel for purposes of, such opinion or negative assurance letter;</w:t>
      </w:r>
    </w:p>
    <w:p>
      <w:pPr>
        <w:spacing w:after="0" w:line="189"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3.1.14 in the event of any Underwritten Offering, enter into and perform its obligations under an underwriting agreement, in usual and customary form, with the managing Underwriters of such offering;</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3.1.15 make available to its security holders, as soon as reasonably practicable, an earnings statement covering the period of at least twelve</w:t>
      </w:r>
    </w:p>
    <w:p>
      <w:pPr>
        <w:spacing w:after="0" w:line="27" w:lineRule="exact"/>
        <w:rPr>
          <w:sz w:val="20"/>
          <w:szCs w:val="20"/>
          <w:color w:val="auto"/>
        </w:rPr>
      </w:pPr>
    </w:p>
    <w:p>
      <w:pPr>
        <w:ind w:left="4" w:right="20" w:hanging="4"/>
        <w:spacing w:after="0" w:line="290" w:lineRule="auto"/>
        <w:tabs>
          <w:tab w:leader="none" w:pos="34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57" w:lineRule="exact"/>
        <w:rPr>
          <w:sz w:val="20"/>
          <w:szCs w:val="20"/>
          <w:color w:val="auto"/>
        </w:rPr>
      </w:pPr>
    </w:p>
    <w:p>
      <w:pPr>
        <w:jc w:val="both"/>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3.1.16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76"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3.1.17 otherwise, in good faith, cooperate reasonably with, and take such customary actions as may reasonably be requested by the Holders participating in such Registration, consistent with the terms of this Agreement, in connection with such Registration.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7" w:name="page18"/>
    <w:bookmarkEnd w:id="17"/>
    <w:p>
      <w:pPr>
        <w:ind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Registration Expenses. </w:t>
      </w:r>
      <w:r>
        <w:rPr>
          <w:rFonts w:ascii="Times New Roman" w:cs="Times New Roman" w:eastAsia="Times New Roman" w:hAnsi="Times New Roman"/>
          <w:sz w:val="18"/>
          <w:szCs w:val="18"/>
          <w:color w:val="auto"/>
        </w:rPr>
        <w:t>Except as otherwise provided herein, the Registration Expenses of all Registrations shall be borne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outside legal counsel representing the Holders.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3.3 Requirements for Participation in Underwritten Offerings. </w:t>
      </w:r>
      <w:r>
        <w:rPr>
          <w:rFonts w:ascii="Times New Roman" w:cs="Times New Roman" w:eastAsia="Times New Roman" w:hAnsi="Times New Roman"/>
          <w:sz w:val="18"/>
          <w:szCs w:val="18"/>
          <w:color w:val="auto"/>
        </w:rPr>
        <w:t>The Holders of Registrable Securities shall provide such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in connection with the Company’s obligation to comply with federal and applicable state securities Laws. Notwithstanding anything in this Agreement to the contrary, if any Holder does not timely provide the Company with its requested Holder Information, the Company may exclude such Holder’s Registrable Securities from the applicable Registration Statement or Prospectus if the Company determines, based on the advice of outside legal counsel, that such information is necessary to effect the registration and such Holder continues thereafter to withhold such information. No person or entity may participate in any Underwritten Offering for equity securities of the Company pursuant to a Registration initiated by the Company hereunder unless such person or entity (i) agrees to sell such person’s or entity’s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3.4 Suspension of Sales; Adverse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3.4.1 The Company shall be entitled to postpone and suspend the effectiveness or use of the Registration Statement for a reasonable period of time, not to exceed 90 calendar days in any 360-day period (i) during any customary blackout or similar period or as permitted hereunder and (ii) as may be necessary in connection with the preparation and filing of a post-effective amendment to the Registration Statement following the filing of the Issuer’s Annual Report on Form 10-K for its first completed fiscal year.</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3.4.2 Upon receipt of written notice from the Company that a Registration Statement or Prospectus contains a Misstatement, each of the Holders shall forthwith discontinue disposition of Registrable Securities until such Holder has received copies of a supplemented or amended Prospectus correcting the Misstatement (it being understood that the Company hereby covenants to prepare and file such supplemented or amended Prospectus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(i) require the Company to make an Adverse Disclosure, (ii) require the inclusion in such Registration Statement of financial statements that are unavailable to the Company for reasons beyond the Company’s control or (iii) in the good faith judgment of the majority of the Board,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this Section 3.4.2, the Holders agree to suspend, immediately upon their receipt of the notice referred to above,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18" w:name="page19"/>
    <w:bookmarkEnd w:id="18"/>
    <w:p>
      <w:pPr>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 and the Company shall; immediately provide such written notice to the Holders of the expiration of any period during which the Company exercised its rights under this Section 3.4.</w:t>
      </w:r>
    </w:p>
    <w:p>
      <w:pPr>
        <w:spacing w:after="0" w:line="176"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3.5 Reporting Obligations</w:t>
      </w:r>
      <w:r>
        <w:rPr>
          <w:rFonts w:ascii="Times New Roman" w:cs="Times New Roman" w:eastAsia="Times New Roman" w:hAnsi="Times New Roman"/>
          <w:sz w:val="18"/>
          <w:szCs w:val="18"/>
          <w:color w:val="auto"/>
        </w:rPr>
        <w:t>. As long as any Holder shall own Registrable Securities, the Company, at all times while it shall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company under the Exchange Act, covenants to use commercially reasonable efforts to file timely (or obtain extensions in respect thereof and file within the applicable grace period) all reports required to be filed by the Company after the date hereof pursuant to Sections 13(a) or 15(d) of the Exchange Act and to promptly furnish the Holders with true and correct copies of all such filings. Upon the request of any Holder, the Company shall deliver to such Holder a written certification of a duly authorized officer as to whether it has complied with such requirements.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4.1 Indemnification by the Company</w:t>
      </w:r>
      <w:r>
        <w:rPr>
          <w:rFonts w:ascii="Times New Roman" w:cs="Times New Roman" w:eastAsia="Times New Roman" w:hAnsi="Times New Roman"/>
          <w:sz w:val="18"/>
          <w:szCs w:val="18"/>
          <w:color w:val="auto"/>
        </w:rPr>
        <w:t>. The Company agrees to indemnify, to the extent permitted by law, and hold harmless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Registrable Securities, its officers, directors and agents and each Person who controls such Holder (within the meaning of the Securities Act) from and against any losses, claims, damages, liabilities and reasonable and documented out-of-pocket expenses (including reasonable outside attorneys’ fees) resulting from any untrue or alleged untrue statement of material fact contained in or incorporated by reference in any Registration Statement, Prospectus or preliminary Prospectus or any amendment thereof or supplement to any of them, or any omission or alleged omission of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except insofar as the same are caused by or contained in any information or affidavit so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4.2 Indemnification by Holders of Registrable Securities</w:t>
      </w:r>
      <w:r>
        <w:rPr>
          <w:rFonts w:ascii="Times New Roman" w:cs="Times New Roman" w:eastAsia="Times New Roman" w:hAnsi="Times New Roman"/>
          <w:sz w:val="18"/>
          <w:szCs w:val="18"/>
          <w:color w:val="auto"/>
        </w:rPr>
        <w:t>. In connection with any Registration Statement filed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“Holder Information”) and, to the extent permitted by law, shall indemnify the Company, its directors, officers and agents and each Person who controls the Company (within the meaning of the Securities Act) against all losses, claims, damages, liabilities and reasonable and documented out-of-pocket expenses (including,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information or affidavit so furnished in writing by such Holder expressly for use therein; provided, however,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4.3 Conduct of Indemnification Proceedings</w:t>
      </w:r>
      <w:r>
        <w:rPr>
          <w:rFonts w:ascii="Times New Roman" w:cs="Times New Roman" w:eastAsia="Times New Roman" w:hAnsi="Times New Roman"/>
          <w:sz w:val="18"/>
          <w:szCs w:val="18"/>
          <w:color w:val="auto"/>
        </w:rPr>
        <w:t>. Any Person entitled to indemnification herein shall (i) give prompt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outside legal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outside legal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8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4.4 Survival</w:t>
      </w:r>
      <w:r>
        <w:rPr>
          <w:rFonts w:ascii="Times New Roman" w:cs="Times New Roman" w:eastAsia="Times New Roman" w:hAnsi="Times New Roman"/>
          <w:sz w:val="18"/>
          <w:szCs w:val="18"/>
          <w:color w:val="auto"/>
        </w:rPr>
        <w:t>. The indemnification provided for under this Agreement shall remain in full force and effect regardless of any investigation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79"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Section 4.5 Contribution</w:t>
      </w:r>
      <w:r>
        <w:rPr>
          <w:rFonts w:ascii="Times New Roman" w:cs="Times New Roman" w:eastAsia="Times New Roman" w:hAnsi="Times New Roman"/>
          <w:sz w:val="17"/>
          <w:szCs w:val="17"/>
          <w:color w:val="auto"/>
        </w:rPr>
        <w:t>. If the indemnification provided under Section 4.1 hereof from the indemnifying party is unavailable or insufficient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liability of any Holder under this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7"/>
          <w:szCs w:val="17"/>
          <w:u w:val="single" w:color="auto"/>
          <w:color w:val="auto"/>
        </w:rPr>
        <w:t>Sections 4.1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4.3</w:t>
      </w:r>
      <w:r>
        <w:rPr>
          <w:rFonts w:ascii="Times New Roman" w:cs="Times New Roman" w:eastAsia="Times New Roman" w:hAnsi="Times New Roman"/>
          <w:sz w:val="17"/>
          <w:szCs w:val="17"/>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w:t>
      </w:r>
    </w:p>
    <w:p>
      <w:pPr>
        <w:spacing w:after="0" w:line="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144 and 145</w:t>
      </w:r>
    </w:p>
    <w:p>
      <w:pPr>
        <w:spacing w:after="0" w:line="22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5.1 Rule 144 and 145</w:t>
      </w:r>
      <w:r>
        <w:rPr>
          <w:rFonts w:ascii="Times New Roman" w:cs="Times New Roman" w:eastAsia="Times New Roman" w:hAnsi="Times New Roman"/>
          <w:sz w:val="18"/>
          <w:szCs w:val="18"/>
          <w:color w:val="auto"/>
        </w:rPr>
        <w:t>. The Company covenants that it shall file any reports required to be filed by it under the Securities Act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shall take such further action as any Holders holding Registrable Securities may reasonably request, all to the extent required from time to time to enable such Holders to sell Registrable Securities without registration under the Securities Act within the limitation of the exemptions provided by Rule 144 and 145 under the Securities Act, as such Rule 144 and 145 may be amended from time to time, or any similar rule or regulation hereafter adopted by the SEC.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6.1 Entire Agreement</w:t>
      </w:r>
      <w:r>
        <w:rPr>
          <w:rFonts w:ascii="Times New Roman" w:cs="Times New Roman" w:eastAsia="Times New Roman" w:hAnsi="Times New Roman"/>
          <w:sz w:val="18"/>
          <w:szCs w:val="18"/>
          <w:color w:val="auto"/>
        </w:rPr>
        <w:t>. This Agreement (including Schedule A and Schedule B hereto) constitutes the entire understanding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parties as to the matters covered herein and supersedes and replaces any prior understanding, agreement or statement of intent, in each case, written or oral, of any and every nature with respect thereto. There are no restrictions, promises, representations, warranties, covenants or undertakings as to the matters covered herein, other than those expressly set forth or referred to herein or the documents or instruments referred to herein.</w:t>
      </w:r>
    </w:p>
    <w:p>
      <w:pPr>
        <w:spacing w:after="0" w:line="179"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6.2 Notices</w:t>
      </w:r>
      <w:r>
        <w:rPr>
          <w:rFonts w:ascii="Times New Roman" w:cs="Times New Roman" w:eastAsia="Times New Roman" w:hAnsi="Times New Roman"/>
          <w:sz w:val="18"/>
          <w:szCs w:val="18"/>
          <w:color w:val="auto"/>
        </w:rPr>
        <w:t>. Any notice or other communication required or permitted to be delivered to any party under this Agreement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properly delivered, given and received (a) upon receipt when delivered by hand, (b) upon transmission, if sent by facsimile or electronic transmission (in each case with receipt verified by electronic confirmation), or (c) one (1) Business Day after being sent by courier or express delivery service, specifying next day delivery, with proof of receipt. The addresses, email addresses and facsimile numbers for such notices and communications are those set forth on the signature pages hereof, or such other address, email address or facsimile numbers as may be designated in writing hereafter, in the same manner, by any such person.</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6.3 Assignment; No Third-Party Beneficiaries</w:t>
      </w:r>
      <w:r>
        <w:rPr>
          <w:rFonts w:ascii="Times New Roman" w:cs="Times New Roman" w:eastAsia="Times New Roman" w:hAnsi="Times New Roman"/>
          <w:sz w:val="18"/>
          <w:szCs w:val="18"/>
          <w:color w:val="auto"/>
        </w:rPr>
        <w:t>. This Agreement and the rights, duties and obligations of the Company hereunder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be assigned or delegated by the Company in whole or in part. This Agreement and the rights, duties and obligations of the Holders hereunder may be freely assigned or delegated by such Holder in conjunction with and to the extent of any transfer of Common Stock by any such Holder. This Agreement and the provisions hereof shall be binding upon and shall inure to the benefit of each of the parties and its successors and the permitted assigns of the applicable Holder or of any assignee of the applicable Holder. This Agreement is not intended to confer any rights or benefits on any persons that are not party hereto other than as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No assignment by any party hereto of such party’s rights, duties and obligations hereunder shall be binding upon or obligate the Company unless and until the Company shall have received (i) written notice of such assignment and (ii) the written agreement of the assignee, in a form reasonably satisfactory to the Company, to be bound by the terms and provisions of this Agreement (which may be accomplished by an addendum or certificate of joinder to this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1" w:name="page22"/>
    <w:bookmarkEnd w:id="21"/>
    <w:p>
      <w:pPr>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6.4 Counterparts</w:t>
      </w:r>
      <w:r>
        <w:rPr>
          <w:rFonts w:ascii="Times New Roman" w:cs="Times New Roman" w:eastAsia="Times New Roman" w:hAnsi="Times New Roman"/>
          <w:sz w:val="18"/>
          <w:szCs w:val="18"/>
          <w:color w:val="auto"/>
        </w:rPr>
        <w:t>. This Agreement may be executed in one or more counterparts, all of which shall be considered one and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shall become effective when one or more counterparts have been signed by each of the parties and delivered to the other parties, it being understood that all parties need not sign the same counterpart and such counterparts may be delivered by the parties hereto via facsimile or electronic transmission.</w:t>
      </w:r>
    </w:p>
    <w:p>
      <w:pPr>
        <w:spacing w:after="0" w:line="17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6.5 Amendment; Waiver</w:t>
      </w:r>
      <w:r>
        <w:rPr>
          <w:rFonts w:ascii="Times New Roman" w:cs="Times New Roman" w:eastAsia="Times New Roman" w:hAnsi="Times New Roman"/>
          <w:sz w:val="18"/>
          <w:szCs w:val="18"/>
          <w:color w:val="auto"/>
        </w:rPr>
        <w:t>. This Agreement may be amended or modified, and any provision hereof may be waived, in whole or in part,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pursuant to an agreement in writing executed by the Company and Holders holding a majority of the Registrable Securities at such time (which majority interest must include Spartan if such amendment or modification affects in any way the rights of Spartan hereunder);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Any failure by any party at any time to enforce any of the provisions of this Agreement shall not be construed a waiver of such provision or any other provisions hereof.</w:t>
      </w:r>
    </w:p>
    <w:p>
      <w:pPr>
        <w:spacing w:after="0" w:line="183"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6.6 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w:t>
      </w:r>
    </w:p>
    <w:p>
      <w:pPr>
        <w:spacing w:after="0" w:line="171" w:lineRule="exact"/>
        <w:rPr>
          <w:sz w:val="20"/>
          <w:szCs w:val="20"/>
          <w:color w:val="auto"/>
        </w:rPr>
      </w:pPr>
    </w:p>
    <w:p>
      <w:pPr>
        <w:ind w:left="4" w:right="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Section 6.7 Governing Law; Venue</w:t>
      </w:r>
      <w:r>
        <w:rPr>
          <w:rFonts w:ascii="Times New Roman" w:cs="Times New Roman" w:eastAsia="Times New Roman" w:hAnsi="Times New Roman"/>
          <w:sz w:val="18"/>
          <w:szCs w:val="18"/>
          <w:color w:val="auto"/>
        </w:rPr>
        <w:t>. This Agreement shall be governed by, interpreted under, and construed in accordance with the internal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New York applicable to agreements made and to be performed within the State of New York, without giving effect to</w:t>
      </w:r>
    </w:p>
    <w:p>
      <w:pPr>
        <w:spacing w:after="0" w:line="1" w:lineRule="exact"/>
        <w:rPr>
          <w:sz w:val="20"/>
          <w:szCs w:val="20"/>
          <w:color w:val="auto"/>
        </w:rPr>
      </w:pPr>
    </w:p>
    <w:p>
      <w:pPr>
        <w:ind w:left="4" w:right="20"/>
        <w:spacing w:after="0" w:line="265" w:lineRule="auto"/>
        <w:rPr>
          <w:sz w:val="20"/>
          <w:szCs w:val="20"/>
          <w:color w:val="auto"/>
        </w:rPr>
      </w:pPr>
      <w:r>
        <w:rPr>
          <w:rFonts w:ascii="Times New Roman" w:cs="Times New Roman" w:eastAsia="Times New Roman" w:hAnsi="Times New Roman"/>
          <w:sz w:val="17"/>
          <w:szCs w:val="17"/>
          <w:color w:val="auto"/>
        </w:rPr>
        <w:t>any choice-of-law provisions thereof that would compel the application of the substantive laws of any other jurisdiction. All legal actions and proceedings arising out of or relating to this Agreement or the transactions contemplated hereby (each, an “</w:t>
      </w:r>
      <w:r>
        <w:rPr>
          <w:rFonts w:ascii="Times New Roman" w:cs="Times New Roman" w:eastAsia="Times New Roman" w:hAnsi="Times New Roman"/>
          <w:sz w:val="17"/>
          <w:szCs w:val="17"/>
          <w:b w:val="1"/>
          <w:bCs w:val="1"/>
          <w:color w:val="auto"/>
        </w:rPr>
        <w:t>Action</w:t>
      </w:r>
      <w:r>
        <w:rPr>
          <w:rFonts w:ascii="Times New Roman" w:cs="Times New Roman" w:eastAsia="Times New Roman" w:hAnsi="Times New Roman"/>
          <w:sz w:val="17"/>
          <w:szCs w:val="17"/>
          <w:color w:val="auto"/>
        </w:rPr>
        <w:t xml:space="preserve">”) shall be heard and determined exclusively in any state court located in New York, New York;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jurisdiction is not then available in a state court, then any such legal Action may be brought in any federal court for the Southern District of New York.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New York, other than with respect to any appellate court thereof and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he, she or it is not personally subject to the jurisdiction of the courts in Delaware as described herein for any reason, (ii) that he, she or it or his, her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w:t>
      </w:r>
    </w:p>
    <w:p>
      <w:pPr>
        <w:spacing w:after="0" w:line="2" w:lineRule="exact"/>
        <w:rPr>
          <w:sz w:val="20"/>
          <w:szCs w:val="20"/>
          <w:color w:val="auto"/>
        </w:rPr>
      </w:pPr>
    </w:p>
    <w:p>
      <w:pPr>
        <w:ind w:left="5424" w:right="4460" w:hanging="5424"/>
        <w:spacing w:after="0" w:line="433" w:lineRule="auto"/>
        <w:tabs>
          <w:tab w:leader="none" w:pos="2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the subject matter hereof, may not be enforced in or by such courts. 17</w:t>
      </w:r>
    </w:p>
    <w:p>
      <w:pPr>
        <w:sectPr>
          <w:pgSz w:w="11900" w:h="16838" w:orient="portrait"/>
          <w:cols w:equalWidth="0" w:num="1">
            <w:col w:w="10984"/>
          </w:cols>
          <w:pgMar w:left="436" w:top="266" w:right="479" w:bottom="1440" w:gutter="0" w:footer="0" w:header="0"/>
        </w:sectPr>
      </w:pPr>
    </w:p>
    <w:bookmarkStart w:id="22" w:name="page23"/>
    <w:bookmarkEnd w:id="22"/>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6.8 Waiver of Jury Trial</w:t>
      </w:r>
      <w:r>
        <w:rPr>
          <w:rFonts w:ascii="Times New Roman" w:cs="Times New Roman" w:eastAsia="Times New Roman" w:hAnsi="Times New Roman"/>
          <w:sz w:val="18"/>
          <w:szCs w:val="18"/>
          <w:color w:val="auto"/>
        </w:rPr>
        <w:t>. Each of the parties hereto hereby waives to the fullest extent permitted by applicable law any right he, she or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have to a trial by jury with respect to any litigation directly or indirectly arising out of, under or in connection with this Agreement or the transactions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he, she, it and the others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6.9 Specific Performance</w:t>
      </w:r>
      <w:r>
        <w:rPr>
          <w:rFonts w:ascii="Times New Roman" w:cs="Times New Roman" w:eastAsia="Times New Roman" w:hAnsi="Times New Roman"/>
          <w:sz w:val="18"/>
          <w:szCs w:val="18"/>
          <w:color w:val="auto"/>
        </w:rPr>
        <w:t>. Each party acknowledges and agrees that the other parties hereto would be irreparably harmed and would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any adequate remedy at law in the event that any of the provisions of this Agreement were not performed by such first party in accordance with their specific terms or were otherwise breached by such first party. Accordingly, each party agrees that the other parties hereto shall be entitled to an injunction or injunctions to prevent breaches of this Agreement and to enforce specifically the terms and provisions of this Agreement, this being in addition to any other remedy to which such parties are entitled at law or in equity.</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66"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9"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9579"/>
          </w:cols>
          <w:pgMar w:left="880" w:top="270"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GIGACQUISITIONS7 CORP.</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3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9579"/>
          </w:cols>
          <w:pgMar w:left="880" w:top="270"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Samuel Gibson</w:t>
      </w:r>
    </w:p>
    <w:p>
      <w:pPr>
        <w:spacing w:after="0" w:line="13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9579"/>
          </w:cols>
          <w:pgMar w:left="880" w:top="270"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SG 2026 IRREVOCABLE EXEMPT TRUST</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Samuel Gibson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Signatory</w:t>
      </w:r>
    </w:p>
    <w:p>
      <w:pPr>
        <w:spacing w:after="0" w:line="13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9579"/>
          </w:cols>
          <w:pgMar w:left="880" w:top="27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GIBSON FAMILY HOLDINGS, LLC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Samuel Gibson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Sole Manager</w:t>
      </w:r>
    </w:p>
    <w:p>
      <w:pPr>
        <w:spacing w:after="0" w:line="13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9579"/>
          </w:cols>
          <w:pgMar w:left="880" w:top="270"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Ward</w:t>
      </w:r>
    </w:p>
    <w:p>
      <w:pPr>
        <w:spacing w:after="0" w:line="13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9579"/>
          </w:cols>
          <w:pgMar w:left="880" w:top="27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executed this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Ross Ridenoure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Ross Ridenoure</w:t>
      </w:r>
    </w:p>
    <w:p>
      <w:pPr>
        <w:spacing w:after="0" w:line="13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9579"/>
          </w:cols>
          <w:pgMar w:left="880" w:top="270" w:right="1440" w:bottom="1440" w:gutter="0" w:footer="0" w:header="0"/>
        </w:sectPr>
      </w:pPr>
    </w:p>
    <w:bookmarkStart w:id="30" w:name="page31"/>
    <w:bookmarkEnd w:id="30"/>
    <w:p>
      <w:pPr>
        <w:jc w:val="center"/>
        <w:ind w:right="-98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11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7"/>
          <w:szCs w:val="17"/>
          <w:b w:val="1"/>
          <w:bCs w:val="1"/>
          <w:color w:val="auto"/>
        </w:rPr>
        <w:t>Holders Receiving Shares Pursuant to the Business Combination</w:t>
      </w:r>
    </w:p>
    <w:p>
      <w:pPr>
        <w:spacing w:after="0" w:line="146"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Gibson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 2026 Irrevocable Exempt Transfers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Gibson Family Holdings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Ward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Ross Ridenoure</w:t>
      </w:r>
    </w:p>
    <w:p>
      <w:pPr>
        <w:sectPr>
          <w:pgSz w:w="11900" w:h="16838" w:orient="portrait"/>
          <w:cols w:equalWidth="0" w:num="1">
            <w:col w:w="10023"/>
          </w:cols>
          <w:pgMar w:left="436" w:top="266" w:right="1440" w:bottom="1440" w:gutter="0" w:footer="0" w:header="0"/>
        </w:sectPr>
      </w:pPr>
    </w:p>
    <w:bookmarkStart w:id="31" w:name="page32"/>
    <w:bookmarkEnd w:id="31"/>
    <w:p>
      <w:pPr>
        <w:jc w:val="center"/>
        <w:ind w:right="-18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117"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t>Other Holders Party to the Original RRA</w:t>
      </w:r>
    </w:p>
    <w:p>
      <w:pPr>
        <w:spacing w:after="0" w:line="135"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GIGACQUISITIONS7 CORP.</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YAKIRA CAPITAL MANAGEMENT, INC., on behalf of MAP 136 Segregated Portfolio, Yakira Partners LP, Yakira Enhanced Offshore Fund Ltd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L1 CAPITAL GLOBAL OPPORTUNITIES MASTER FUND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METEORA STRATEGIC CAPITAL,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METEORA SELECT TRADING OPPORTUNITIES MASTER, L.P.</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HARRADEN CIRCLE INVESTMENTS, LLC, Investment Manager to: Harraden Circle Investors, L.P.; Harraden Circle Special Opportunities, L.P.; Altana Calerwood Specialist Alpha Fund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VIOLET HILL GENERATION FUND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K2 PRINCIPAL FUND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STICHTING JURISDISCH EIGENDOM MINT TOWER ARBITRAGE FUND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NAUTILUS MASTER FUND, L.P.</w:t>
      </w:r>
    </w:p>
    <w:p>
      <w:pPr>
        <w:spacing w:after="0" w:line="130"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PICTON MAHONEY ASSET MANAGEMENT, on behalf of Picton Mahoney Arbitrage Fund, Picton Mahoney Arbitrage Plus Fund, Picton Mahoney Arbitrage Alternative Fund, and Picton Mahoney Fortified Arbitrage Plus Alternative Fund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KEPOS ALPHA MASTER FUND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KEPOS SPECIAL OPPORTUNITIES MASTER FUND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APEX MS MASTER ACCOUNT,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ABSOLUTE RETURN MASTER ACCOUNT,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CORPORATE ARBITRAGE MASTER ACCOUNT,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FUNDS, on behalf of its series AQR DIVERSIFIED ARBITRAGE FUND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GLOBAL ALTERNATIVE INVESTMENT OFFSHORE FUND,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SPAC OPPORTUNITIES OFFSHORE FUND,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II PN, LTD.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CENTIVA MASTER FUND, LP</w:t>
      </w:r>
    </w:p>
    <w:p>
      <w:pPr>
        <w:sectPr>
          <w:pgSz w:w="11900" w:h="16838" w:orient="portrait"/>
          <w:cols w:equalWidth="0" w:num="1">
            <w:col w:w="10824"/>
          </w:cols>
          <w:pgMar w:left="436" w:top="266" w:right="6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May 22, 2026, by and among GigCapital7 Corp., a Cayman Islands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exempted company (which shall transfer by way of continuation and domesticate as a Delaware corporation prior to Closing)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 Hadron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those equityholders of the Company listed on the signature pages hereto (each,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Lock-Up Parties</w:t>
      </w:r>
      <w:r>
        <w:rPr>
          <w:rFonts w:ascii="Times New Roman" w:cs="Times New Roman" w:eastAsia="Times New Roman" w:hAnsi="Times New Roman"/>
          <w:sz w:val="18"/>
          <w:szCs w:val="18"/>
          <w:color w:val="auto"/>
        </w:rPr>
        <w:t>”). Capitalized terms used but not otherwise defined herein shall have the respective meanings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ascribed to such terms in the Business Combination Agreement (as defined below).</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WHEREAS, on September 27, 2025, GigCapital7, MMR Merger Sub, Inc., a Delaware corporation and a wholly-owned direct subsidiary of GigCapital7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entered into a Business Combination Agreement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among other things,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wholly-owned subsidiary of GigCapital7 upon the terms and subject to the conditions set forth in the Business Combination Agreement;</w:t>
      </w:r>
    </w:p>
    <w:p>
      <w:pPr>
        <w:spacing w:after="0" w:line="180" w:lineRule="exact"/>
        <w:rPr>
          <w:sz w:val="20"/>
          <w:szCs w:val="20"/>
          <w:color w:val="auto"/>
        </w:rPr>
      </w:pPr>
    </w:p>
    <w:p>
      <w:pPr>
        <w:ind w:left="4" w:right="1140" w:firstLine="440"/>
        <w:spacing w:after="0" w:line="282" w:lineRule="auto"/>
        <w:rPr>
          <w:sz w:val="20"/>
          <w:szCs w:val="20"/>
          <w:color w:val="auto"/>
        </w:rPr>
      </w:pPr>
      <w:r>
        <w:rPr>
          <w:rFonts w:ascii="Times New Roman" w:cs="Times New Roman" w:eastAsia="Times New Roman" w:hAnsi="Times New Roman"/>
          <w:sz w:val="18"/>
          <w:szCs w:val="18"/>
          <w:color w:val="auto"/>
        </w:rPr>
        <w:t>WHEREAS, each Lock-Up Party agrees to enter into this Agreement with respect to all Lock-Up Securities (as defined below) that such Lock-Up Party now or hereafter Beneficially Owns or owns of record;</w:t>
      </w:r>
    </w:p>
    <w:p>
      <w:pPr>
        <w:spacing w:after="0" w:line="162" w:lineRule="exact"/>
        <w:rPr>
          <w:sz w:val="20"/>
          <w:szCs w:val="20"/>
          <w:color w:val="auto"/>
        </w:rPr>
      </w:pPr>
    </w:p>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t>WHEREAS, each of GigCapital7, the Company and each Lock-Up Party has determined that it is in their best interests to enter into this Agreement; and</w:t>
      </w:r>
    </w:p>
    <w:p>
      <w:pPr>
        <w:spacing w:after="0" w:line="16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WHEREAS, each Lock-Up Party understands and acknowledges that GigCapital7 and the Company are entering into the Business Combination Agreement in reliance upon such Lock-Up Party’s execution and delivery of this Agreement.</w:t>
      </w:r>
    </w:p>
    <w:p>
      <w:pPr>
        <w:spacing w:after="0" w:line="162"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68" w:lineRule="exact"/>
        <w:rPr>
          <w:sz w:val="20"/>
          <w:szCs w:val="20"/>
          <w:color w:val="auto"/>
        </w:rPr>
      </w:pPr>
    </w:p>
    <w:p>
      <w:pPr>
        <w:ind w:left="4" w:right="180" w:hanging="4"/>
        <w:spacing w:after="0" w:line="282" w:lineRule="auto"/>
        <w:tabs>
          <w:tab w:leader="none" w:pos="1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When used in this Agreement, the following terms in all of their tenses, cases and correlative forms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elsewhere in this Agreement.</w:t>
      </w:r>
    </w:p>
    <w:p>
      <w:pPr>
        <w:spacing w:after="0" w:line="54" w:lineRule="exact"/>
        <w:rPr>
          <w:sz w:val="20"/>
          <w:szCs w:val="20"/>
          <w:color w:val="auto"/>
        </w:rPr>
      </w:pPr>
    </w:p>
    <w:p>
      <w:pPr>
        <w:ind w:left="444"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means a Person who, directly or indirectly through one or more intermediaries, controls, is controlled by, or is under common control with, such specified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Lock-Up Party is a venture capital, private equity or angel fund, no portfolio company of such Lock-Up Party will be deemed an Affiliate of such Lock-Up Party).</w:t>
      </w:r>
    </w:p>
    <w:p>
      <w:pPr>
        <w:spacing w:after="0" w:line="6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means, with regard to any securities, having “beneficial ownership” of such securities for purposes of</w:t>
      </w:r>
    </w:p>
    <w:p>
      <w:pPr>
        <w:spacing w:after="0" w:line="27" w:lineRule="exact"/>
        <w:rPr>
          <w:sz w:val="20"/>
          <w:szCs w:val="20"/>
          <w:color w:val="auto"/>
        </w:rPr>
      </w:pPr>
    </w:p>
    <w:p>
      <w:pPr>
        <w:ind w:left="444" w:right="420"/>
        <w:spacing w:after="0" w:line="260" w:lineRule="auto"/>
        <w:rPr>
          <w:sz w:val="20"/>
          <w:szCs w:val="20"/>
          <w:color w:val="auto"/>
        </w:rPr>
      </w:pPr>
      <w:r>
        <w:rPr>
          <w:rFonts w:ascii="Times New Roman" w:cs="Times New Roman" w:eastAsia="Times New Roman" w:hAnsi="Times New Roman"/>
          <w:sz w:val="18"/>
          <w:szCs w:val="18"/>
          <w:color w:val="auto"/>
        </w:rPr>
        <w:t>Rule 13d-3 or 13d-5 under the Exchange Act. Similar terms such as “Beneficial Ownership” and “Beneficial Owner” have the corresponding meanings.</w:t>
      </w:r>
    </w:p>
    <w:p>
      <w:pPr>
        <w:spacing w:after="0" w:line="73" w:lineRule="exact"/>
        <w:rPr>
          <w:sz w:val="20"/>
          <w:szCs w:val="20"/>
          <w:color w:val="auto"/>
        </w:rPr>
      </w:pPr>
    </w:p>
    <w:p>
      <w:pPr>
        <w:jc w:val="both"/>
        <w:ind w:left="444" w:right="2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shall mean the earliest to occur of (a) the Closing Date, (b) such date as the Business Combination Agreement shall be validly terminated in accordance with Article VIII thereof, and (c) the effective date of a written agreement of the parties hereto terminating this Agreement.</w:t>
      </w:r>
    </w:p>
    <w:p>
      <w:pPr>
        <w:spacing w:after="0" w:line="68" w:lineRule="exact"/>
        <w:rPr>
          <w:sz w:val="20"/>
          <w:szCs w:val="20"/>
          <w:color w:val="auto"/>
        </w:rPr>
      </w:pPr>
    </w:p>
    <w:p>
      <w:pPr>
        <w:ind w:left="444" w:right="5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a spouse, lineal descendant (whether natural or adopted) or spouse of a lineal descendant of such individual or any trust created for the benefit of such individual or of which any of the foregoing is a beneficiary.</w:t>
      </w:r>
    </w:p>
    <w:p>
      <w:pPr>
        <w:spacing w:after="0" w:line="54"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GigCapital7 Common Stock</w:t>
      </w:r>
      <w:r>
        <w:rPr>
          <w:rFonts w:ascii="Times New Roman" w:cs="Times New Roman" w:eastAsia="Times New Roman" w:hAnsi="Times New Roman"/>
          <w:sz w:val="18"/>
          <w:szCs w:val="18"/>
          <w:color w:val="auto"/>
        </w:rPr>
        <w:t>” means GigCapital7’s common stock, par value $0.0001 per share.</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GigCapital7 Preferred Stock</w:t>
      </w:r>
      <w:r>
        <w:rPr>
          <w:rFonts w:ascii="Times New Roman" w:cs="Times New Roman" w:eastAsia="Times New Roman" w:hAnsi="Times New Roman"/>
          <w:sz w:val="18"/>
          <w:szCs w:val="18"/>
          <w:color w:val="auto"/>
        </w:rPr>
        <w:t>” means GigCapital7’s preferred stock, par value $0.0001 per share.</w:t>
      </w:r>
    </w:p>
    <w:p>
      <w:pPr>
        <w:sectPr>
          <w:pgSz w:w="11900" w:h="16838" w:orient="portrait"/>
          <w:cols w:equalWidth="0" w:num="1">
            <w:col w:w="11024"/>
          </w:cols>
          <w:pgMar w:left="436" w:top="117" w:right="439" w:bottom="1440" w:gutter="0" w:footer="0" w:header="0"/>
        </w:sectPr>
      </w:pPr>
    </w:p>
    <w:bookmarkStart w:id="33" w:name="page34"/>
    <w:bookmarkEnd w:id="33"/>
    <w:p>
      <w:pPr>
        <w:ind w:left="444" w:right="2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GigCapital7 Securities</w:t>
      </w:r>
      <w:r>
        <w:rPr>
          <w:rFonts w:ascii="Times New Roman" w:cs="Times New Roman" w:eastAsia="Times New Roman" w:hAnsi="Times New Roman"/>
          <w:sz w:val="18"/>
          <w:szCs w:val="18"/>
          <w:color w:val="auto"/>
        </w:rPr>
        <w:t>” means (a) any shares of GigCapital7 Preferred Stock, (b) any shares of GigCapital7 Common Stock, (c) any shares of GigCapital7 Common Stock issued or issuable upon the exercise of any warrant or other right to acquire shares of such GigCapital7 Common Stock and (d) any equity securities of GigCapital7 that may be issued or distributed or be issuable with respect to the securities referred to in clauses (b) or (c) by way of conversion, dividend, stock split or other distribution, merger, consolidation, exchange, recapitalization or reclassification or similar transaction.</w:t>
      </w:r>
    </w:p>
    <w:p>
      <w:pPr>
        <w:spacing w:after="0" w:line="75" w:lineRule="exact"/>
        <w:rPr>
          <w:sz w:val="20"/>
          <w:szCs w:val="20"/>
          <w:color w:val="auto"/>
        </w:rPr>
      </w:pPr>
    </w:p>
    <w:p>
      <w:pPr>
        <w:ind w:left="444" w:right="320" w:firstLine="42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United States federal, state, county, municipal or other local or non-United States government, governmental, regulatory or administrative authority, agency, instrumentality or commission or any court, tribunal, or judicial or arbitral body.</w:t>
      </w:r>
    </w:p>
    <w:p>
      <w:pPr>
        <w:spacing w:after="0" w:line="32" w:lineRule="exact"/>
        <w:rPr>
          <w:sz w:val="20"/>
          <w:szCs w:val="20"/>
          <w:color w:val="auto"/>
        </w:rPr>
      </w:pPr>
    </w:p>
    <w:p>
      <w:pPr>
        <w:ind w:left="444" w:right="3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federal, national, state, county, municipal, provincial, local, foreign or multinational statute, constitution, common law, ordinance, code, decree, order, judgment, rule, binding regulation, ruling or requirement issued, enacted, adopted, promulgated, implemented or otherwise put into effect by or under the authority of any Governmental Authority.</w:t>
      </w:r>
    </w:p>
    <w:p>
      <w:pPr>
        <w:spacing w:after="0" w:line="68" w:lineRule="exact"/>
        <w:rPr>
          <w:sz w:val="20"/>
          <w:szCs w:val="20"/>
          <w:color w:val="auto"/>
        </w:rPr>
      </w:pPr>
    </w:p>
    <w:p>
      <w:pPr>
        <w:ind w:left="444"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means any GigCapital7 Securities Beneficially Owned by a Lock-Up Party as of immediately following the Closing Date, other than (i) any security received pursuant to an incentive plan adopted by GigCapital7 on or after the Closing Date, or (ii) any GigCapital7 Securities acquired in open market transactions.</w:t>
      </w:r>
    </w:p>
    <w:p>
      <w:pPr>
        <w:spacing w:after="0" w:line="68" w:lineRule="exact"/>
        <w:rPr>
          <w:sz w:val="20"/>
          <w:szCs w:val="20"/>
          <w:color w:val="auto"/>
        </w:rPr>
      </w:pPr>
    </w:p>
    <w:p>
      <w:pPr>
        <w:ind w:left="444"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Person, (a) in the case of an individual: (i) any Family Member of such Person by bona fide gift, (ii) any Affiliate of any Family Member of such Person or to a trust, the beneficiary of which is a Family Member or an Affiliate of such Person, or to a charitable organization, (iii) a Person by virtue of the laws of descent and distribution upon death of such Person, (iv) a Person pursuant to a qualified domestic relations order, and (b) in the case of an entity, (i) any Affiliate of such Person or to any investment fund or other entity controlled or managed by such Person, (ii) if the undersigned is a corporation, partnership, limited liability company or other business entity, its stockholders, partners, members or other equityholders, and (c) the Company or GigCapital7 in connection with the repurchase of shares of GigCapital7 Common Stock issued pursuant to equity awards granted under a stock incentive plan or other equity award plan.</w:t>
      </w:r>
    </w:p>
    <w:p>
      <w:pPr>
        <w:spacing w:after="0" w:line="81" w:lineRule="exact"/>
        <w:rPr>
          <w:sz w:val="20"/>
          <w:szCs w:val="20"/>
          <w:color w:val="auto"/>
        </w:rPr>
      </w:pPr>
    </w:p>
    <w:p>
      <w:pPr>
        <w:ind w:left="444" w:right="5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pacing w:after="0" w:line="68" w:lineRule="exact"/>
        <w:rPr>
          <w:sz w:val="20"/>
          <w:szCs w:val="20"/>
          <w:color w:val="auto"/>
        </w:rPr>
      </w:pPr>
    </w:p>
    <w:p>
      <w:pPr>
        <w:ind w:left="444" w:right="4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excluding entry into this Agreement and the Business Combination Agreement and the consummation of the transactions contemplated hereby and thereby, any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the public announcement of any intention to effect any transaction specified in clause (a) or (b).</w:t>
      </w:r>
    </w:p>
    <w:p>
      <w:pPr>
        <w:spacing w:after="0" w:line="189" w:lineRule="exact"/>
        <w:rPr>
          <w:sz w:val="20"/>
          <w:szCs w:val="20"/>
          <w:color w:val="auto"/>
        </w:rPr>
      </w:pPr>
    </w:p>
    <w:p>
      <w:pPr>
        <w:ind w:left="184" w:hanging="184"/>
        <w:spacing w:after="0"/>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Each Lock-Up Party severally, and not jointly, agrees with GigCapital7 not to effect any Transfer, or make a public announcement of any intention to effect such Transfer, of any Lock-Up Securities Beneficially Owned or otherwise held by such Lock-Up Party during the Lock-Up Period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prohibition shall not apply to Transfers permitted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shall be the period commencing on the Closing Date and ending on the date that is the earlier to occur of: (a) six (6) months following the Closing Date;</w:t>
      </w:r>
    </w:p>
    <w:p>
      <w:pPr>
        <w:spacing w:after="0" w:line="3" w:lineRule="exact"/>
        <w:rPr>
          <w:sz w:val="20"/>
          <w:szCs w:val="20"/>
          <w:color w:val="auto"/>
        </w:rPr>
      </w:pPr>
    </w:p>
    <w:p>
      <w:pPr>
        <w:ind w:left="4" w:right="60" w:hanging="4"/>
        <w:spacing w:after="0" w:line="252"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Closing, the date on which the reported closing price of one share of GigCapital7 Common Stock quoted on The Nasdaq Stock Market LLC, the New York Stock Exchange or the NYSE American (or the exchange on which the shares of GigCapital7 Common Stock are then listed) equals or exceeds eleven dollars and fifty cents ($11.50) per share (as adjusted for stock splits, stock dividends, reorganizations, recapitalizations and the like occurring after the Closing Date) for any twenty (20) Trading Days (as defined below) within any thirty (30) consecutive Trading Day period commencing at least ninety (90) days after the Closing Date; and (c) subsequent to the Closing, the date on which GigCapital7 completes a liquidation, merger, stock exchange or other similar transaction that results in all of GigCapital7’s stockholders having the right to exchange their GigCapital7 Securities for cash, securities or other property.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shares of GigCapital7 Common</w:t>
      </w:r>
    </w:p>
    <w:p>
      <w:pPr>
        <w:sectPr>
          <w:pgSz w:w="11900" w:h="16838" w:orient="portrait"/>
          <w:cols w:equalWidth="0" w:num="1">
            <w:col w:w="10984"/>
          </w:cols>
          <w:pgMar w:left="436" w:top="270" w:right="47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are actually traded on the principal securities exchange or securities market on which shares of GigCapital7 Common Stock are then</w:t>
      </w:r>
    </w:p>
    <w:p>
      <w:pPr>
        <w:spacing w:after="0" w:line="27"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GigCapital7 Common Stock is not so listed or admitted for trading, Trading Day means a Business Day. For the avoidance of any doubt, each Lock-Up Party shall retain all of his, her or its rights as a stockholder of GigCapital7 during the Lock-Up Period, including the right to vote, and to receive any dividends and distributions in respect of, any Lock-Up Securities.</w:t>
      </w:r>
    </w:p>
    <w:p>
      <w:pPr>
        <w:spacing w:after="0" w:line="186"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Permitted Transfers</w:t>
      </w:r>
      <w:r>
        <w:rPr>
          <w:rFonts w:ascii="Times New Roman" w:cs="Times New Roman" w:eastAsia="Times New Roman" w:hAnsi="Times New Roman"/>
          <w:sz w:val="17"/>
          <w:szCs w:val="17"/>
          <w:color w:val="auto"/>
        </w:rPr>
        <w:t xml:space="preserve">. Notwithstanding anything to the contrary contained in this Agreement, during the Lock-Up Period, each Lock-Up Party may Transfer, without the consent of GigCapital7, any of such Lock-Up Party’s Lock-Up Securities (a) to any of such Lock-Up Party’s Permitted Transferees, upon written notice to GigCapital7 or (b) pursuant to any liquidation, merger, stock exchange or other similar transaction which results in all of GigCapital7’s stockholders having the right to exchange their GigCapital7 Securities for cash, securities or other property subsequent to the Merger;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connection with any Transfer of such Lock-Up Securities, the restrictions and obligations contained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will continue to apply to such Lock-Up Securities after any Transfer of such Lock-Up Securities and such transferee shall execute</w:t>
      </w:r>
    </w:p>
    <w:p>
      <w:pPr>
        <w:spacing w:after="0" w:line="5"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 xml:space="preserve">a lock-up agreement substantially in the form of this Agreement for the balance of the Lock-Up Period. Notwithstanding the foregoing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 Lock-Up Party may (i) not make a Transfer to a Permitted Transferee if such Transfer has as a purpose the avoidance of or is otherwise undertaken in contemplation of avoiding the restrictions on Transfers in this Agreement (it being understood that the purpose of this provision includes prohibiting the Transfer to a Permitted Transferee (A) that has been formed to facilitate a material change with respect to who or which entities Beneficially Own the Lock-Up Securities, or (B) followed by a change in the relationship between the Lock-Up Party and the Permitted Transferee (or a change of control of such Lock-Up Party or Permitted Transferee) after the Transfer with the result and effect that the Lock-Up Party has indirectly made a Transfer of Lock-Up Securities by using a Permitted Transferee, which Transfer would not have been directly permitted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had such change in such relationship occurred prior to such Transfer), or (ii) enter into a written plan meeting the requirements of Rule 10b5-1 under the Exchange Act after the date of this Agreement relating to the sale of the undersigned’s Lock-Up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securities subject to such plan may not be sold until after the expiration of the Lock-Up Period and (B) the Company shall not be required to effect, and the undersigned shall not effect or cause to be effected, any public filing, report or other public announcement regarding the establishment of the trading plan.</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Until the Expiration Time, each Lock-Up Party will and will direct his, her or its Affiliates to keep confidential and not disclose</w:t>
      </w:r>
    </w:p>
    <w:p>
      <w:pPr>
        <w:spacing w:after="0" w:line="27" w:lineRule="exact"/>
        <w:rPr>
          <w:sz w:val="20"/>
          <w:szCs w:val="20"/>
          <w:color w:val="auto"/>
        </w:rPr>
      </w:pPr>
    </w:p>
    <w:p>
      <w:pPr>
        <w:ind w:left="4" w:right="40"/>
        <w:spacing w:after="0" w:line="265" w:lineRule="auto"/>
        <w:rPr>
          <w:sz w:val="20"/>
          <w:szCs w:val="20"/>
          <w:color w:val="auto"/>
        </w:rPr>
      </w:pPr>
      <w:r>
        <w:rPr>
          <w:rFonts w:ascii="Times New Roman" w:cs="Times New Roman" w:eastAsia="Times New Roman" w:hAnsi="Times New Roman"/>
          <w:sz w:val="17"/>
          <w:szCs w:val="17"/>
          <w:color w:val="auto"/>
        </w:rPr>
        <w:t>any non-public information relating to GigCapital7 or the Company and their respective subsidiaries, including the existence or terms of, or transactions contemplated by, this Agreement, the Business Combination Agreement or the other Transaction Documents, except to the extent that such information</w:t>
      </w:r>
    </w:p>
    <w:p>
      <w:pPr>
        <w:ind w:left="4" w:right="40" w:hanging="4"/>
        <w:spacing w:after="0" w:line="251" w:lineRule="auto"/>
        <w:tabs>
          <w:tab w:leader="none" w:pos="2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is or becomes generally available to the public after the date hereof other than as a result of a disclosure by such Lock-Up Party in breach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(ii) is, was or becomes available to such Lock-Up Party on a non-confidential basis from a source other than GigCapital7 or the Company, or (iii) is or was independently developed by such Lock-Up Party after the date hereof. Notwithstanding the foregoing, such information may be disclosed to the extent required to be disclosed in a judicial or administrative proceeding, or otherwise required to be disclosed by applicable Law (including complying with any oral or written questions, interrogatories, requests for information or documents, subpoena, civil investigative demand or similar process to which such disclosing party is subject),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Lock-Up Party gives GigCapital7 or the Company, as applicable, prompt notice of such request(s) or requirement(s), to the extent practicable (and not prohibited by Law), so that GigCapital7 or the Company may seek, at its expense, an appropriate protective order or similar relief (and such Lock-Up Party shall reasonably cooperate with such efforts it being understood that such obligation to reasonably cooperate does not require a Lock-Up Party to himself, herself or itself commence litigation regarding such protective order or similar relief).</w:t>
      </w:r>
    </w:p>
    <w:p>
      <w:pPr>
        <w:spacing w:after="0" w:line="193" w:lineRule="exact"/>
        <w:rPr>
          <w:sz w:val="20"/>
          <w:szCs w:val="20"/>
          <w:color w:val="auto"/>
        </w:rPr>
      </w:pPr>
    </w:p>
    <w:p>
      <w:pPr>
        <w:ind w:left="4" w:right="700" w:hanging="4"/>
        <w:spacing w:after="0" w:line="282"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Lock-Up Parties</w:t>
      </w:r>
      <w:r>
        <w:rPr>
          <w:rFonts w:ascii="Times New Roman" w:cs="Times New Roman" w:eastAsia="Times New Roman" w:hAnsi="Times New Roman"/>
          <w:sz w:val="18"/>
          <w:szCs w:val="18"/>
          <w:color w:val="auto"/>
        </w:rPr>
        <w:t>. Each Lock-Up Party hereby represents and warrants, severally and not jointly, to the Company and GigCapital7 as follows:</w:t>
      </w:r>
    </w:p>
    <w:p>
      <w:pPr>
        <w:spacing w:after="0" w:line="54" w:lineRule="exact"/>
        <w:rPr>
          <w:sz w:val="20"/>
          <w:szCs w:val="20"/>
          <w:color w:val="auto"/>
        </w:rPr>
      </w:pPr>
    </w:p>
    <w:p>
      <w:pPr>
        <w:ind w:left="4" w:right="1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Due Authority</w:t>
      </w:r>
      <w:r>
        <w:rPr>
          <w:rFonts w:ascii="Times New Roman" w:cs="Times New Roman" w:eastAsia="Times New Roman" w:hAnsi="Times New Roman"/>
          <w:sz w:val="17"/>
          <w:szCs w:val="17"/>
          <w:color w:val="auto"/>
        </w:rPr>
        <w:t>. Such Lock-Up Party has the full power and authority to execute and deliver this Agreement and perform his, her or its obligations hereunder. If such Lock-Up Party is an individual, the signature to this agreement is genuine and such Lock-Up Party has legal competence and capacity to execute the same. This Agreement has been duly and validly executed and delivered by such Lock-Up Party and, assuming due execution and delivery by the other parties hereto, constitutes a legal, valid and binding obligation of such Lock-Up Party, enforceable against</w:t>
      </w:r>
    </w:p>
    <w:p>
      <w:pPr>
        <w:spacing w:after="0" w:line="3" w:lineRule="exact"/>
        <w:rPr>
          <w:sz w:val="20"/>
          <w:szCs w:val="20"/>
          <w:color w:val="auto"/>
        </w:rPr>
      </w:pPr>
    </w:p>
    <w:p>
      <w:pPr>
        <w:ind w:left="4" w:right="120"/>
        <w:spacing w:after="0" w:line="260" w:lineRule="auto"/>
        <w:rPr>
          <w:sz w:val="20"/>
          <w:szCs w:val="20"/>
          <w:color w:val="auto"/>
        </w:rPr>
      </w:pPr>
      <w:r>
        <w:rPr>
          <w:rFonts w:ascii="Times New Roman" w:cs="Times New Roman" w:eastAsia="Times New Roman" w:hAnsi="Times New Roman"/>
          <w:sz w:val="18"/>
          <w:szCs w:val="18"/>
          <w:color w:val="auto"/>
        </w:rPr>
        <w:t>such Lock-Up Party in accordance with its terms, except as limited by applicable bankruptcy, insolvency, reorganization, moratorium and other laws of general application affecting enforcement of creditors’ rights generally, and by general equitable principles.</w:t>
      </w:r>
    </w:p>
    <w:p>
      <w:pPr>
        <w:sectPr>
          <w:pgSz w:w="11900" w:h="16838" w:orient="portrait"/>
          <w:cols w:equalWidth="0" w:num="1">
            <w:col w:w="11004"/>
          </w:cols>
          <w:pgMar w:left="436" w:top="270" w:right="459" w:bottom="1440" w:gutter="0" w:footer="0" w:header="0"/>
        </w:sectPr>
      </w:pPr>
    </w:p>
    <w:bookmarkStart w:id="35" w:name="page36"/>
    <w:bookmarkEnd w:id="3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20" w:firstLine="419"/>
        <w:spacing w:after="0" w:line="253" w:lineRule="auto"/>
        <w:tabs>
          <w:tab w:leader="none" w:pos="11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Lock-Up Party does not, and the performance by such Lock-Up Party of the obligations under this Agreement and the compliance by such Lock-Up Party with any provisions hereof do not and will not: (i) conflict with or violate any Law applicable to such Lock-Up Party, (ii) if such Lock-Up Party is an entity, conflict with or violate the certificate of incorporation or bylaws or any equivalent Organizational Documents of such Lock-Up Party, or (iii) result in any breach of, or constitute a default (or an event, which with notice or lapse of time or both, would become a default) under, or give to others any rights of termination, amendment, acceleration or cancellation of, or result in the creation of a lien on any of the securities of the Company owned by such Lock-Up Party pursuant to any note, bond, mortgage, indenture, contract, agreement, lease, license, permit, franchise or other instrument or obligation to which such Lock-Up Party is a party or by which such Lock-Up Party is otherwise bound, except, in the case of clauses (i) and (iii), as would not reasonably be expected, individually or in the aggregate, to materially impair the ability of such Lock-Up Party to perform his, her or its obligations hereunder or to consummate the transactions contemplated hereby.</w:t>
      </w:r>
    </w:p>
    <w:p>
      <w:pPr>
        <w:spacing w:after="0" w:line="86"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Lock-Up Party does not, and the performance of this Agreement by</w:t>
      </w:r>
    </w:p>
    <w:p>
      <w:pPr>
        <w:spacing w:after="0" w:line="27" w:lineRule="exact"/>
        <w:rPr>
          <w:sz w:val="20"/>
          <w:szCs w:val="20"/>
          <w:color w:val="auto"/>
        </w:rPr>
      </w:pPr>
    </w:p>
    <w:p>
      <w:pPr>
        <w:ind w:left="444" w:right="340"/>
        <w:spacing w:after="0" w:line="260" w:lineRule="auto"/>
        <w:rPr>
          <w:sz w:val="20"/>
          <w:szCs w:val="20"/>
          <w:color w:val="auto"/>
        </w:rPr>
      </w:pPr>
      <w:r>
        <w:rPr>
          <w:rFonts w:ascii="Times New Roman" w:cs="Times New Roman" w:eastAsia="Times New Roman" w:hAnsi="Times New Roman"/>
          <w:sz w:val="18"/>
          <w:szCs w:val="18"/>
          <w:color w:val="auto"/>
        </w:rPr>
        <w:t>such Lock-Up Party will not, require any consent, approval, authorization or permit of, or filing or notification to, or expiration of any waiting period by any Governmental Authority, other than those set forth as conditions to closing in the Business Combination Agreement.</w:t>
      </w:r>
    </w:p>
    <w:p>
      <w:pPr>
        <w:spacing w:after="0" w:line="181"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litigation, suit, claim, charge, grievance, action, proceeding, audit or investigation by or before any Governmental Authority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against, or, to the knowledge of such Lock-Up Party, threatened against</w:t>
      </w:r>
    </w:p>
    <w:p>
      <w:pPr>
        <w:ind w:left="4" w:right="480"/>
        <w:spacing w:after="0" w:line="260" w:lineRule="auto"/>
        <w:rPr>
          <w:sz w:val="20"/>
          <w:szCs w:val="20"/>
          <w:color w:val="auto"/>
        </w:rPr>
      </w:pPr>
      <w:r>
        <w:rPr>
          <w:rFonts w:ascii="Times New Roman" w:cs="Times New Roman" w:eastAsia="Times New Roman" w:hAnsi="Times New Roman"/>
          <w:sz w:val="18"/>
          <w:szCs w:val="18"/>
          <w:color w:val="auto"/>
        </w:rPr>
        <w:t>such Lock-Up Party that would reasonably be expected to materially impair the ability of such Lock-Up Party to perform his, her or its obligations hereunder or to consummate the transactions contemplated hereby.</w:t>
      </w:r>
    </w:p>
    <w:p>
      <w:pPr>
        <w:spacing w:after="0" w:line="18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Absence of Conflicting Agreements</w:t>
      </w:r>
      <w:r>
        <w:rPr>
          <w:rFonts w:ascii="Times New Roman" w:cs="Times New Roman" w:eastAsia="Times New Roman" w:hAnsi="Times New Roman"/>
          <w:sz w:val="18"/>
          <w:szCs w:val="18"/>
          <w:color w:val="auto"/>
        </w:rPr>
        <w:t>. Such Lock-Up Party has not entered into any agreement, arrangement or understanding that is otherwise materially inconsistent with, or would materially interfere with, or prohibit or prevent him, her or it from satisfying, his, her or its obligations pursuant to this Agreement.</w:t>
      </w:r>
    </w:p>
    <w:p>
      <w:pPr>
        <w:spacing w:after="0" w:line="176" w:lineRule="exact"/>
        <w:rPr>
          <w:sz w:val="20"/>
          <w:szCs w:val="20"/>
          <w:color w:val="auto"/>
        </w:rPr>
      </w:pPr>
    </w:p>
    <w:p>
      <w:pPr>
        <w:jc w:val="both"/>
        <w:ind w:left="4" w:right="100" w:hanging="4"/>
        <w:spacing w:after="0" w:line="261"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The covenants and agreements set forth herein shall not prevent any designee of any Lock-Up Party from serving on the Board of Directors or as an officer of the Company or from taking any action, subject to the provisions of the Business Combination Agreement, while acting in such designee’s capacity as a director or officer of the Company. Each Lock-Up Party is entering into this Agreement solely in his, her or its capacity as the anticipated owner of GigCapital7 Securities following the consummation of the Merger.</w:t>
      </w:r>
    </w:p>
    <w:p>
      <w:pPr>
        <w:spacing w:after="0" w:line="179" w:lineRule="exact"/>
        <w:rPr>
          <w:rFonts w:ascii="Times New Roman" w:cs="Times New Roman" w:eastAsia="Times New Roman" w:hAnsi="Times New Roman"/>
          <w:sz w:val="18"/>
          <w:szCs w:val="18"/>
          <w:color w:val="auto"/>
        </w:rPr>
      </w:pPr>
    </w:p>
    <w:p>
      <w:pPr>
        <w:ind w:left="4" w:hanging="4"/>
        <w:spacing w:after="0" w:line="261"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upon the earlier of: (i) termination of the Business Combination Agreement in accordance with its terms; or (ii) completion of the Lock-Up as specified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this Agreement. Upon termination of this Agreement, none of the parties hereto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relieve any party hereto of liability for any willful material breach of this Agreement prior to its termination.</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term, provision, covenant or restriction of this Agreement, or the application thereof, is held to be illegal, invalid or unenforceable under any present or future Law: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therefrom; and (d) 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18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None of the representations or warranties in this Agreement or in any schedule, instrument or other document delivered pursuant to this Agreement shall survive the Expiration Time.</w:t>
      </w:r>
    </w:p>
    <w:p>
      <w:pPr>
        <w:sectPr>
          <w:pgSz w:w="11900" w:h="16838" w:orient="portrait"/>
          <w:cols w:equalWidth="0" w:num="1">
            <w:col w:w="11024"/>
          </w:cols>
          <w:pgMar w:left="436" w:top="270" w:right="439" w:bottom="1440" w:gutter="0" w:footer="0" w:header="0"/>
        </w:sectPr>
      </w:pPr>
    </w:p>
    <w:bookmarkStart w:id="36" w:name="page37"/>
    <w:bookmarkEnd w:id="36"/>
    <w:p>
      <w:pPr>
        <w:ind w:right="16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Neither party hereto may assign, directly or indirectly, including, through any merger, acquisition, sale of all or substantially all shares/assets or by operation of Law, either this Agreement or any of his, her or its rights, interests or obligations hereunder without the prior written approval of the other parties hereto, except with respect to a Transfer completed in accordance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Subject to the first sentence of</w:t>
      </w:r>
    </w:p>
    <w:p>
      <w:pPr>
        <w:spacing w:after="0" w:line="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this Agreement shall be binding upon and shall inure to the benefit of the parties hereto and their respective successors and permitted assigns. Any assignment in violation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void ab initio.</w:t>
      </w:r>
    </w:p>
    <w:p>
      <w:pPr>
        <w:spacing w:after="0" w:line="18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This Agreement may be amended by the parties hereto at any time by execution of an instrument in writing signed by (a) GigCapital7, (b) the Company and (c) (i) by Lock-Up Parties holding at least fifty percent (50%) of the Lock-Up Securities (assuming the hypothetical exercise of all then-outstanding warrants and options that are Lock-Up Securities) that are then subject to this Agreement, and any such amendment shall be binding on all the Lock-Up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shall the obligation of any Lock-Up Party hereunder be materially increased without the prior written consent of such Lock-Up Party, unless such amendment applies to all Lock-Up Parties in the same fashion;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if this Agreement, or any other lock-up agreement signed by a stockholder of the Company in connection with the transactions contemplated hereby or under the Business Combination Agreement, is amended, modified or waived in a manner favorable to any Lock-Up Party or such shareholder, and such amendment, modification or waiver would be favorable to any other Lock-Up Party, this Agreement shall be automatically amended in the same manner with respect to such other Lock-Up Party (and GigCapital7 shall provide prompt notice thereof to all Lock-Up Parties), and (B) if any Lock-Up Party or such shareholder is released from any or all of the lock-up restrictions under this Lock-Up Agreement or such other lock-up agreement, each other Lock-Up Party shall automatically be contemporaneously and proportionately released from the lock-up restrictions hereunder (which, for the avoidance of doubt, will include a release of the same percentage of such Lock-Up Party’s Lock-Up Securities) and GigCapital7 shall provide prompt notice thereof to each Lock-Up Party.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Governing Law; WAIVER OF JURY TRIAL; Specific Performance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82" w:lineRule="auto"/>
        <w:tabs>
          <w:tab w:leader="none" w:pos="11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Actions based upon, arising out of or relating to this Agreement or the transactions contemplated hereby shall be governed by, and construed in accordance with, the Laws of the State of Delaware.</w:t>
      </w:r>
    </w:p>
    <w:p>
      <w:pPr>
        <w:spacing w:after="0" w:line="53" w:lineRule="exact"/>
        <w:rPr>
          <w:rFonts w:ascii="Times New Roman" w:cs="Times New Roman" w:eastAsia="Times New Roman" w:hAnsi="Times New Roman"/>
          <w:sz w:val="18"/>
          <w:szCs w:val="18"/>
          <w:color w:val="auto"/>
        </w:rPr>
      </w:pPr>
    </w:p>
    <w:p>
      <w:pPr>
        <w:ind w:left="440" w:firstLine="419"/>
        <w:spacing w:after="0" w:line="252"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legal actions and proceedings arising out of or relating to this Agreement shall be heard and determined exclusively in any Delaware Chancery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jurisdiction is not then available in the Delaware Chancery Court, then any such legal Action may be brought in any federal court located in the State of Delaware or any other Delaware state court.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Delaware, other than with respect to any appellate court thereof and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he, she or it is not personally subject to the jurisdiction of the courts in Delaware as described herein for any reason, (ii) that he, she or it or his, her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w:t>
      </w:r>
    </w:p>
    <w:p>
      <w:pPr>
        <w:spacing w:after="0" w:line="86"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WAIVES TO THE FULLEST EXTENT PERMITTED BY APPLICABLE LAW ANY RIGHT HE, SHE OR IT MAY HAVE TO A TRIAL BY JURY WITH RESPECT TO ANY LITIGATION DIRECTLY OR INDIRECTLY ARISING OUT OF, UNDER OR IN CONNECTION WITH THIS AGREEMENT OR THE TRANSACTIONS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HE, SHE, IT AND THE OTHERS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37" w:name="page38"/>
    <w:bookmarkEnd w:id="37"/>
    <w:p>
      <w:pPr>
        <w:ind w:left="440" w:firstLine="419"/>
        <w:spacing w:after="0" w:line="255"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agree that irreparable damage would occur if any provision of this Agreement were not performed in accordance with the terms hereof, and, accordingly, that the parties shall be entitled to an injunction or injunctions to prevent breaches of this Agreement or to enforce specifically the performance of the terms and provisions hereof in the Court of Chancery of the State of Delaware, County of Newcastle, or, if that court does not have jurisdiction, any court of the United States located in the State of Delaware without proof of actual damages or otherwise, in addition to any other remedy to which they are entitled at Law or in equity as expressly permitted in this Agreement. Each of the parties hereby further waives (i) any defense in any action for specific performance that a remedy at Law would be adequate and (ii) any requirement under any Law to post security or a bond as a prerequisite to obtaining equitable relief.</w:t>
      </w:r>
    </w:p>
    <w:p>
      <w:pPr>
        <w:spacing w:after="0" w:line="18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if to GigCapital7 prior to the Effective Time,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2200" w:right="2960" w:hanging="770"/>
        <w:spacing w:after="0" w:line="260" w:lineRule="auto"/>
        <w:rPr>
          <w:sz w:val="20"/>
          <w:szCs w:val="20"/>
          <w:color w:val="auto"/>
        </w:rPr>
      </w:pPr>
      <w:r>
        <w:rPr>
          <w:rFonts w:ascii="Times New Roman" w:cs="Times New Roman" w:eastAsia="Times New Roman" w:hAnsi="Times New Roman"/>
          <w:sz w:val="18"/>
          <w:szCs w:val="18"/>
          <w:color w:val="auto"/>
        </w:rPr>
        <w:t>Attention:  Dr. Avi S. Katz, Executive Chairman of the Board and Chief Executive Officer    Dr. Raluca Dinu, Director</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Jeff Selman; John Maselli</w:t>
      </w:r>
    </w:p>
    <w:p>
      <w:pPr>
        <w:spacing w:after="0" w:line="9" w:lineRule="exact"/>
        <w:rPr>
          <w:sz w:val="20"/>
          <w:szCs w:val="20"/>
          <w:color w:val="auto"/>
        </w:rPr>
      </w:pPr>
    </w:p>
    <w:p>
      <w:pPr>
        <w:ind w:left="1420"/>
        <w:spacing w:after="0"/>
        <w:tabs>
          <w:tab w:leader="none" w:pos="2340" w:val="left"/>
        </w:tabs>
        <w:rPr>
          <w:sz w:val="20"/>
          <w:szCs w:val="20"/>
          <w:color w:val="auto"/>
        </w:rPr>
      </w:pPr>
      <w:r>
        <w:rPr>
          <w:rFonts w:ascii="Times New Roman" w:cs="Times New Roman" w:eastAsia="Times New Roman" w:hAnsi="Times New Roman"/>
          <w:sz w:val="18"/>
          <w:szCs w:val="18"/>
          <w:color w:val="auto"/>
        </w:rPr>
        <w:t xml:space="preserve">Email:     </w:t>
      </w:r>
      <w:r>
        <w:rPr>
          <w:sz w:val="20"/>
          <w:szCs w:val="20"/>
          <w:color w:val="auto"/>
        </w:rPr>
        <w:tab/>
      </w:r>
      <w:r>
        <w:rPr>
          <w:rFonts w:ascii="Times New Roman" w:cs="Times New Roman" w:eastAsia="Times New Roman" w:hAnsi="Times New Roman"/>
          <w:sz w:val="17"/>
          <w:szCs w:val="17"/>
          <w:color w:val="auto"/>
        </w:rPr>
        <w:t>jeffrey.selman@us.dlapiper.com; john.maselli@us.dlapiper.com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 if to the Company prior to the Effective Time,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 Twin Dolphin Drive, STE 260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Samuel Gibson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Sgibson@hadronenergy.com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1901 New York Avenue N.W., Suite 700 East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Andy Tucker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ATucker@duanemorris.com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(iii) if to the Company or GigCapital7 following the Effective Time,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Dr. Raluca Dinu, Director</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   Dr. Avi S. Katz, Executive Chairman of the Board</w:t>
      </w:r>
    </w:p>
    <w:p>
      <w:pPr>
        <w:sectPr>
          <w:pgSz w:w="11900" w:h="16838" w:orient="portrait"/>
          <w:cols w:equalWidth="0" w:num="1">
            <w:col w:w="10980"/>
          </w:cols>
          <w:pgMar w:left="440" w:top="270" w:right="479" w:bottom="1440" w:gutter="0" w:footer="0" w:header="0"/>
        </w:sectPr>
      </w:pPr>
    </w:p>
    <w:bookmarkStart w:id="38" w:name="page39"/>
    <w:bookmarkEnd w:id="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Jeff Selman; John Maselli</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jeffrey.selman@us.dlapiper.com; john.maselli@us.dlapiper.com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1901 New York Avenue N.W., Suite 700 East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420"/>
        <w:spacing w:after="0"/>
        <w:tabs>
          <w:tab w:leader="none" w:pos="2000" w:val="left"/>
        </w:tabs>
        <w:rPr>
          <w:sz w:val="20"/>
          <w:szCs w:val="20"/>
          <w:color w:val="auto"/>
        </w:rPr>
      </w:pPr>
      <w:r>
        <w:rPr>
          <w:rFonts w:ascii="Times New Roman" w:cs="Times New Roman" w:eastAsia="Times New Roman" w:hAnsi="Times New Roman"/>
          <w:sz w:val="18"/>
          <w:szCs w:val="18"/>
          <w:color w:val="auto"/>
        </w:rPr>
        <w:t>Attn: </w:t>
        <w:tab/>
        <w:t>Andy Tucker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ATucker@duanemorris.com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(iv) if to a Lock-Up Party, to the address for notice set forth on such Lock-Up Party’s signature page to this Agreement.</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Entire Agreement; Third-Party Beneficiaries</w:t>
      </w:r>
      <w:r>
        <w:rPr>
          <w:rFonts w:ascii="Times New Roman" w:cs="Times New Roman" w:eastAsia="Times New Roman" w:hAnsi="Times New Roman"/>
          <w:sz w:val="18"/>
          <w:szCs w:val="18"/>
          <w:color w:val="auto"/>
        </w:rPr>
        <w:t>. This Agreement, together with the Business Combination Agreement and Transaction Documents, constitutes the entire agreement among the parties hereto with respect to the subject matter hereof and supersedes all prior agreements and undertakings, both written and oral, among the parties hereto, or any of them, with respect to the subject matter hereof. This right Agreement shall be binding upon and inure solely to the benefit of each party, and nothing in this Agreement, express or implied, is intended to or shall confer upon any other person any benefit or remedy of any nature whatsoever under or by reason of this Agreement.</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facsimile or portable document format (pdf) transmission) in one or more counterparts, and by the different parties in separate counterparts, each of which when executed shall be deemed to be an original but all of which taken together shall constitute one and the same agreement.</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descriptive headings contained in this Agreement are included for convenience of reference only and shall not affect in any way the meaning or interpretation of this Agreement.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Legal Representation</w:t>
      </w:r>
      <w:r>
        <w:rPr>
          <w:rFonts w:ascii="Times New Roman" w:cs="Times New Roman" w:eastAsia="Times New Roman" w:hAnsi="Times New Roman"/>
          <w:sz w:val="18"/>
          <w:szCs w:val="18"/>
          <w:color w:val="auto"/>
        </w:rPr>
        <w:t>. Each of the parties hereto agrees that he, she or it has been represented by independent counsel of his, her or its choice during the negotiation and execution of this Agreement and each party hereto and his, her or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hereto drafting such agreement or document. Each Lock-Up Party acknowledges that DLA Piper LLP (US) is acting as counsel to GigCapital7 and Duane Morris LLP is acting as counsel to the Company in connection with the Business Combination Agreement and the transactions contemplated thereby, and that neither of such firms is acting as counsel to any Lock-Up Party.</w:t>
      </w:r>
    </w:p>
    <w:p>
      <w:pPr>
        <w:spacing w:after="0" w:line="189"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provided in the Business Combination Agreement, all expenses incurred in connection with this Agreement and the transactions contemplated hereby shall be paid by the party incurring such expenses, whether or not the Merger or any other Transaction is consummated.</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GigCapital7 or the Company, in the case of any Lock-Up Party, or at the request of the Lock-Up Parties, in the case of GigCapital7,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or delay on the part of any party to exercise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available to such party arising out of this Agreement, or any power, right, privilege or remedy under this Agreement, unless the waiver of such claim, power, right, privilege or remedy is expressly set forth in a written instrument duly executed and delivered on behalf of such waiving party; and any such waiver shall not be applicable or have any effect except in the specific instance in which it is given.</w:t>
      </w:r>
    </w:p>
    <w:p>
      <w:pPr>
        <w:sectPr>
          <w:pgSz w:w="11900" w:h="16838" w:orient="portrait"/>
          <w:cols w:equalWidth="0" w:num="1">
            <w:col w:w="11000"/>
          </w:cols>
          <w:pgMar w:left="440" w:top="270" w:right="459" w:bottom="1440" w:gutter="0" w:footer="0" w:header="0"/>
        </w:sectPr>
      </w:pPr>
    </w:p>
    <w:bookmarkStart w:id="39" w:name="page40"/>
    <w:bookmarkEnd w:id="39"/>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7.14 </w:t>
      </w:r>
      <w:r>
        <w:rPr>
          <w:rFonts w:ascii="Times New Roman" w:cs="Times New Roman" w:eastAsia="Times New Roman" w:hAnsi="Times New Roman"/>
          <w:sz w:val="18"/>
          <w:szCs w:val="18"/>
          <w:u w:val="single" w:color="auto"/>
          <w:color w:val="auto"/>
        </w:rPr>
        <w:t>Several Liability</w:t>
      </w:r>
      <w:r>
        <w:rPr>
          <w:rFonts w:ascii="Times New Roman" w:cs="Times New Roman" w:eastAsia="Times New Roman" w:hAnsi="Times New Roman"/>
          <w:sz w:val="18"/>
          <w:szCs w:val="18"/>
          <w:color w:val="auto"/>
        </w:rPr>
        <w:t>. The liability of the Lock-Up Parties hereunder is several (and not joint). Notwithstanding any other provision of this Agreement, in no event will any Lock-Up Party be liable for any other Lock-Up Party’s breach of such other Lock-Up Party’s representations, warranties, covenants, or agreements contained in this Agreement.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to the contrary contained herein or otherwise, but without limiting any provision in the Business Combination Agreement, or the obligations of any Permitted Transferee under this Agreement, this Agreement may only be enforced against, and any claims or causes of action that may be based upon, arise out of or relate to this Agreement, or the negotiation, execution or performance of this Agreement or the transactions contemplated hereby, may only be made against the entities and Persons that are expressly identified as parties to this Agreement in their capacities as such and no former, current or future stockholders, equity holders, controlling persons, directors, officers, employees, general or limited partners, members, managers, agents or affiliates of any party hereto, or any former, current or future direct or indirect stockholder, equity holder, controlling person, director, officer, employee, general or limited partner, member, manager, agent or affiliate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(whether in tort, contract or otherwise) based on, in respect of, or by reason of, the transactions contemplated hereby or in respect of any oral representations made or alleged to be made in connection herewith. Without limiting the rights of any party against the other parties hereto, or the obligations of any Permitted Transferee under this Agreement, in no event shall any party or any of his, her or its affiliates seek to enforce this Agreement against, make any claims for breach of this Agreement against, or seek to recover monetary damages from, any Non-Recourse Party.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579"/>
          </w:cols>
          <w:pgMar w:left="880" w:top="26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this Agreement to be executed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Samuel Gibson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9579"/>
          </w:cols>
          <w:pgMar w:left="880" w:top="266"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Announces Closing of Business Combination with Hadron Energy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will Cease Trading on Nasdaq under the Symbol “GIG”, and Hadron Energy to Trade on the Nasdaq under the Symbol “HDRN”</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PALO ALTO, Calif. – May 22, 2026 – GigCapital7 Corp. (“GigCapital7”) and Hadron Energy today announced that they have completed their previously announced business combination. The business combination was approved by GigCapital7 shareholders on May7, 2026.</w:t>
      </w:r>
    </w:p>
    <w:p>
      <w:pPr>
        <w:spacing w:after="0" w:line="15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combined company has changed its name to Hadron Energy, Inc. and its common stock and warrants will begin trading on Nasdaq under the new symbols “HDRN” and “HDRNW”, respectively, on May 26, 2026. Each existing GigCapital7 unit will separate into its components consisting of one share of common stock under the new symbol “HDRN” and one warrant under the new symbol “HDRNW” and, as a result, the GigCapital7 units will no longer trade as a separate security.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Cohen &amp; Company Capital Markets is serving as financial advisor to Hadron Energy only on the transaction. Duane Morris LLP is serving as legal advisor to Hadron Energy. DLA Piper LLP (US) is serving as legal advisor to GigCapital7.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Hadron Energy is a pioneer in MMR technology. Designed to deliver 10 MWe of continuous power, the Halo MMR is smaller, more cost-effective, and faster to deploy than other proposed nuclear power solutions. The reactor’s vessel, core, and containment shell are fully truck-transportable, enabling deployment across AI data centers, industrial hubs, remote communities, and infrastructure facilities where traditional power solutions cannot deliver. Hadron Energy is advancing the Halo MMR through an integrated program of technical development, NRC licensing engagement, and a growing portfolio of strategic supply chain and deployment partnerships. For more information, please visit www.hadronenergy.com.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GigCapital7 Corp. is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Like all other GigCapital Private-to-Public Equity (PPE) entities, it aimed to partner with an innovative company with exceptional leaders in order to create an industry-leading partnership that will be successful for years to come, and hence has combined with Hadron Energy, Inc.</w:t>
      </w:r>
    </w:p>
    <w:p>
      <w:pPr>
        <w:spacing w:after="0" w:line="199" w:lineRule="exact"/>
        <w:rPr>
          <w:sz w:val="20"/>
          <w:szCs w:val="20"/>
          <w:color w:val="auto"/>
        </w:rPr>
      </w:pPr>
    </w:p>
    <w:p>
      <w:pPr>
        <w:ind w:right="100"/>
        <w:spacing w:after="0" w:line="213" w:lineRule="auto"/>
        <w:rPr>
          <w:sz w:val="20"/>
          <w:szCs w:val="20"/>
          <w:color w:val="auto"/>
        </w:rPr>
      </w:pPr>
      <w:r>
        <w:rPr>
          <w:rFonts w:ascii="Times New Roman" w:cs="Times New Roman" w:eastAsia="Times New Roman" w:hAnsi="Times New Roman"/>
          <w:sz w:val="18"/>
          <w:szCs w:val="18"/>
          <w:color w:val="auto"/>
        </w:rPr>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U.S. federal securities laws. Such forward-looking statements include, but are not limited to, statements regarding the expectations, hopes, beliefs, intentions, plans, prospects or strategies regarding the business combination.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w:t>
      </w:r>
    </w:p>
    <w:p>
      <w:pPr>
        <w:sectPr>
          <w:pgSz w:w="11900" w:h="16838" w:orient="portrait"/>
          <w:cols w:equalWidth="0" w:num="1">
            <w:col w:w="11020"/>
          </w:cols>
          <w:pgMar w:left="440" w:top="117" w:right="439" w:bottom="1440" w:gutter="0" w:footer="0" w:header="0"/>
        </w:sectPr>
      </w:pPr>
    </w:p>
    <w:bookmarkStart w:id="43" w:name="page44"/>
    <w:bookmarkEnd w:id="4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mean that a statement is not forward-looking. The forward-looking statements contained in this press release are based on certain assumptions and analyses made by the management of GigCapital7 in light of their respective experience and perception of historical trends, current conditions and expected future developments as well as other factors they believe are appropriate in the circumstances. There can be no assurance that future developments affecting GigCapital7 or Hadron Energy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ability of Hadron Energy to meet the Nasdaq listing standards, and that Hadron Energy will have sufficient capital to operate as anticipated. Should one or more of these risks or uncertainties materialize, or should any of the assumptions being made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Investor Center: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https://www.hadronenergy.com/investor-relations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Media &amp;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christine@gigcapitalglobal.com</w:t>
      </w:r>
    </w:p>
    <w:p>
      <w:pPr>
        <w:sectPr>
          <w:pgSz w:w="11900" w:h="16838" w:orient="portrait"/>
          <w:cols w:equalWidth="0" w:num="1">
            <w:col w:w="10980"/>
          </w:cols>
          <w:pgMar w:left="440" w:top="270" w:right="4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Hadron Energy Completes Business Combination with GigCapital7 Corp. Receiving Approximately $31 Million; Begins Trading on Nasdaq Under Ticker “HDRN” as the First Publicly Traded Light-Water Micro-Modular Nuclear Reactor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142875</wp:posOffset>
            </wp:positionV>
            <wp:extent cx="5417820" cy="3051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1782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Closing follows GigCapital7 Corp. shareholder vote on May 7, 2026; Hadron and GigCapital7</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together secured approximately $31 million in total funding all in equity and with zero debt</w:t>
      </w:r>
    </w:p>
    <w:p>
      <w:pPr>
        <w:spacing w:after="0" w:line="20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NEW YORK, NY </w:t>
      </w:r>
      <w:r>
        <w:rPr>
          <w:rFonts w:ascii="Times New Roman" w:cs="Times New Roman" w:eastAsia="Times New Roman" w:hAnsi="Times New Roman"/>
          <w:sz w:val="18"/>
          <w:szCs w:val="18"/>
          <w:color w:val="auto"/>
        </w:rPr>
        <w:t>— May 26, 2026 — Hadron Energy, Inc. (Nasdaq: HDRN) (“Hadron Energy” or the “Company”), is developing the Halo Micro-Modular Nuclear Reactor (MMR) which is a 10 megawatt electric (MWe), central factory manufactured, transportable, light-water reactor designed to deliver continuous, carbon-free baseload power, and with a 10 year refueling cycle. Today, Hadron announced the successful closing of its previously announced business combination with GigCapital7 Corp. (previously Nasdaq: GIG) (“GigCapital7”), the seventh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enterprise, also known as SPAC, incepted by the GigCapital Global franchise since 2017. At closing, $28 million of cash remained and was not redeemed from the GigCapital7 trust account and was transferred to the Company’s balance sheet, far exceeding the $20 million minimum cash at closing as was agreed and defined on the Q3’2025 business combination agreement (BCA), with zero debt at closing. In addition, since signing the BCA, Hadron and GigCapital7 secured $7.5 million of equity-cash through SAFE bridge financings conducted prior to the closing, of which about $2.8 million remained on the balance sheet at the closing, for a total combined amount of cash of approximately $31 million, and due to the very low transaction and related expenses, as a result of the unique GigCapital Global closing methodology, the Company will have about $24.5 million in cash on the balance sheet following all transaction expenses. Following the approval of GigCapital7’s shareholders at the extraordinary general meeting (EGM) held on May 7, 2026, the Company’s common stock and warrants will commence trading on the Nasdaq Stock Market under the ticker symbols “HDRN” and “HDRNW”, respectively, on May 26, 2026, making Hadron Energy the first publicly traded light-water micro-modular nuclear reactor (MMR) company.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Hadron Energy — Closing Press Release — May 12, 2026 — 1</w:t>
      </w:r>
    </w:p>
    <w:p>
      <w:pPr>
        <w:sectPr>
          <w:pgSz w:w="11900" w:h="16838" w:orient="portrait"/>
          <w:cols w:equalWidth="0" w:num="1">
            <w:col w:w="11020"/>
          </w:cols>
          <w:pgMar w:left="440" w:top="117" w:right="439" w:bottom="1440" w:gutter="0" w:footer="0" w:header="0"/>
        </w:sectPr>
      </w:pPr>
    </w:p>
    <w:bookmarkStart w:id="45" w:name="page46"/>
    <w:bookmarkEnd w:id="4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successful transaction closing provides Hadron Energy with the required capital to operate the Company according to its business plan for the next year, public-market access, and the strategic flexibility to advance the Halo MMR through design, regulatory, and customer-deployment milestones at a pace and scale that the Company believes it will lead the next chapter of America’s nuclear renaissance in an efficient manner.</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“Today marks the start of a new chapter for Hadron Energy. Now being a well-capitalized public company with no debt, we are executing with conviction on our development plan and NRC licensing pathway. The Halo MMR will be built on light-water reactor technology, the most thoroughly commercialized technology in the nuclear industry, and engineered to be central factory-built, easily transportable by commercial vehicles, and rapidly deployable with no need to refuel over 10 years. We identified the 10 megawatt electric (MWe) nuclear reactor to be the optimal footprint for the growing customer-based markets. We are positioned to scale the partnerships, supplier capacity, and talent base needed to deliver firm, on-site power to major industrial sites, data centers, defense installations, and mission-critical civilian facilities. This effort has been prioritized by the U.S. Administration as showcased by Hadron’s letter of support from the White House signed by the President last fall. We believe Hadron will optimize national and energy security with our Halo Microreactor,” said Sam Gibson, Founder and Chief Executive Officer of the Company.</w:t>
      </w:r>
    </w:p>
    <w:p>
      <w:pPr>
        <w:spacing w:after="0" w:line="8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 xml:space="preserve">“We are extremely proud to have completed this business combination with Hadron Energy. From our earliest engagement with Sam Gibson and his team, we recognized in Hadron Energy the combination of their participation in an attractive and relevant deep-tech environmental-friendly industry that has been highly prioritized by the current U.S. leadership as well as many other global administrations, their deployment of well-proven and lengthy sustained safe technology by using the light-water reactor technology, their disciplined execution, and a clear-eyed commercial strategy they have planned, all are the elements that GigCapital always looks for in our partners. The successful closing, with Hadron Energy emerging from it with approximately $31 million in equity capital, no debt on its balance sheet, and the lowest demonstrated deSPAC closing costs, reflects the GigCapital Global deployed methodology and commitment to delivering a company-friendly, clean and durable capital structure that maximizes Hadron Energy’s operational flexibility as it scales as a public company. We believe Hadron Energy is positioned to be the leading companies in defining America’s nuclear energy renaissance, and we look forward to our active partnership in supporting Hadron Energy as a ‘Mentor-Investor’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its next chapter as a Nasdaq-traded public company,” said Dr. Avi Katz, Founder, Chairman and Chief Executive Officer of GigCapital7 Corp. and Executive Chairman of Hadron Energy, Inc.</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Financing</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Since signing the Business Combination Agreement, Hadron Energy and GigCapital7 worked together directly to secure the capital needed to bring Hadron Energy to the public markets. In closing, about $21.5 million were retained in the trust in Non-Redemption Agreements with small number of GigCapital7 shareholders, ensuring that trust proceeds remained intact to fund the newly launched public company, and factoring in all additional shares that were not redeemed, a total of about $28 million in cash was released to the Company’s balance sheet from the GigCapital7 trust account. In addition, Hadron and GigCapital7 secured $7.5 million through SAFE bridge financings conducted between signing the BCA in Q3’2025 and prior to the closing, of which about $2.8 million remained on the balance sheet at the closing, for a total combined amount of cash of approximately $31 million prior to the payment of approximately $6.5 million of transaction and related expenses and some small amount of deferred payment. Following such payments, the Company will have approximately $24.45 million in cash and zero debt on its balance sheet. Notably, all capital was raised directly by Hadron Energy and the GigCapital7 joint-team, without reliance on external investment banking capital raises.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Hadron Energy — Closing Press Release — May 12, 2026 — 2</w:t>
      </w:r>
    </w:p>
    <w:p>
      <w:pPr>
        <w:sectPr>
          <w:pgSz w:w="11900" w:h="16838" w:orient="portrait"/>
          <w:cols w:equalWidth="0" w:num="1">
            <w:col w:w="11020"/>
          </w:cols>
          <w:pgMar w:left="440" w:top="270"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Advisors on the Transaction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Cohen &amp; Company Capital Markets served as the “sale-side” financial advisor to Hadron Energy only on the transaction. Duane Morris LLP served as legal advisor to Hadron Energy. DLA Piper LLP (US) served as legal advisor to GigCapital7.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Highlights at Closing</w:t>
      </w:r>
    </w:p>
    <w:p>
      <w:pPr>
        <w:spacing w:after="0" w:line="135" w:lineRule="exact"/>
        <w:rPr>
          <w:sz w:val="20"/>
          <w:szCs w:val="20"/>
          <w:color w:val="auto"/>
        </w:rPr>
      </w:pPr>
    </w:p>
    <w:p>
      <w:pPr>
        <w:ind w:left="960" w:right="50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$766 million pro-forma equity valuation at closing of the business combination with GigCapital7 Corp., the seventh private-to-public equity (PPE) SPAC of GigCapital Global.</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Well-capitalized from the closing of the deSPAC transaction with approximately $31 million that was retained from the trust account and zero debt, and with low transaction related expenses of approximately $6.5 million.</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publicly traded company focused on light-water micro-modular reactor (MMR) technology which leverages the proven light-water reactor technology that powers approximately 95% of operating commercial nuclear plants in the U.S. and worldwide.</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uranium services agreement with ConverDyn advancing fuel supply-chain readiness for the Halo MMR leveraging the only established uranium hexafluoride conversion partner for the U.S. light-water reactor fuel cycle.</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10MWe, factory-built, transportable Halo MMR designed for the majority of potential install-base sites consisting of distributed industrial, data-center, defense applications, and critical infrastructure.</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Enriched Uranium+ (LEU+) fuel pathway plugging into the existing domestic light-water reactor fuel cycle avoids the High-Assay Low-Enriched Uranium (HALEU) or TRISO supply-chain bottleneck that constrains many advanced-reactor developers.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for a 10-year operating cycle between refueling and a 50-year operating life.</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Design Criteria whitepaper submitted to the U.S. NRC on April 22, 2026 that formalized the licensing framework for the Halo MMR’s Manufacturing License and combined Construction Permit and Operating License applications.</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collaboration with Paragon Energy Solutions, a Mirion Technologies Company, announced March 17, 2026 for the Halo MMR’s Instrumentation &amp; Control system.</w:t>
      </w:r>
    </w:p>
    <w:p>
      <w:pPr>
        <w:spacing w:after="0" w:line="67"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Multi-project deployment framework with Smartland Energy announced April 28, 2026, establishing a portfolio-scale framework for the evaluation of Halo MMR deployment across up to five qualified Smartland projects, representing aggregate capacity demand of approximately 1.8 GWe.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Hadron Energy is a pioneer in MMR technology. Designed to deliver 10 MWe of continuous power, the Halo MMR is smaller, more cost-effective, and faster to deploy than other proposed nuclear power solutions. The reactor’s vessel, core, and containment shell are fully truck-transportable, enabling deployment across AI data centers, industrial hubs, remote communities, and infrastructure facilities where traditional power solutions cannot deliver. Hadron Energy is advancing the Halo MMR through an integrated program of technical development, NRC licensing engagement, and a growing portfolio of strategic supply chain and deployment partnerships. For more information, please visit www.hadronenergy.com.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0"/>
          <w:szCs w:val="20"/>
          <w:color w:val="auto"/>
        </w:rPr>
      </w:pPr>
    </w:p>
    <w:p>
      <w:pPr>
        <w:jc w:val="both"/>
        <w:ind w:right="40"/>
        <w:spacing w:after="0" w:line="198" w:lineRule="auto"/>
        <w:rPr>
          <w:sz w:val="20"/>
          <w:szCs w:val="20"/>
          <w:color w:val="auto"/>
        </w:rPr>
      </w:pPr>
      <w:r>
        <w:rPr>
          <w:rFonts w:ascii="Times New Roman" w:cs="Times New Roman" w:eastAsia="Times New Roman" w:hAnsi="Times New Roman"/>
          <w:sz w:val="18"/>
          <w:szCs w:val="18"/>
          <w:color w:val="auto"/>
        </w:rPr>
        <w:t>GigCapital7 Corp. was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the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issued entity from the GigCapital Global franchise since 2017,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Like all other GigCapital</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Hadron Energy — Closing Press Release — May 12, 2026 — 3</w:t>
      </w:r>
    </w:p>
    <w:p>
      <w:pPr>
        <w:sectPr>
          <w:pgSz w:w="11900" w:h="16838" w:orient="portrait"/>
          <w:cols w:equalWidth="0" w:num="1">
            <w:col w:w="10960"/>
          </w:cols>
          <w:pgMar w:left="440" w:top="266" w:right="499" w:bottom="1440" w:gutter="0" w:footer="0" w:header="0"/>
        </w:sectPr>
      </w:pPr>
    </w:p>
    <w:bookmarkStart w:id="47" w:name="page48"/>
    <w:bookmarkEnd w:id="47"/>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PPE entities, it aimed to actively partner with a deep-tech innovative company that participates in a relevant and attractive industry vertical, with exceptional leaders in order to create an industry-leading partnership that will be successful for years to come, and hence has combined with Hadron Energy, Inc.</w:t>
      </w:r>
    </w:p>
    <w:p>
      <w:pPr>
        <w:spacing w:after="0" w:line="68"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18"/>
          <w:szCs w:val="18"/>
          <w:color w:val="auto"/>
        </w:rPr>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U.S. federal securities laws. Such forward-looking statements include, but are not limited to, statements regarding the expectations, hopes, beliefs, intentions, plans, prospects or strategies regarding the business combination.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 forward-looking statements contained in this press release are based on certain assumptions and analyses made by the management of Hadron Energy in light of their respective experience and perception of historical trends, current conditions and expected future developments as well as other factors they believe are appropriate in the circumstances. There can be no assurance that future developments affecting Hadron Energy will be those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the ability of Hadron Energy to meet the Nasdaq listing standards, and that Hadron Energy will have sufficient capital to operate as anticipated. Should one or more of these risks or uncertainties materialize, or should any of the assumptions being made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Hadron Energy Investor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https://www.hadronenergy.com/investor-relations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Hadron Energy Media &amp; 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Hadron Energy — Closing Press Release — May 12, 2026 — 4</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Roman"/>
      <w:start w:val="1"/>
    </w:lvl>
  </w:abstractNum>
  <w:abstractNum w:abstractNumId="3">
    <w:nsid w:val="DED7263"/>
    <w:multiLevelType w:val="hybridMultilevel"/>
    <w:lvl w:ilvl="0">
      <w:lvlJc w:val="left"/>
      <w:lvlText w:val="(%1)"/>
      <w:numFmt w:val="upperLetter"/>
      <w:start w:val="1"/>
    </w:lvl>
  </w:abstractNum>
  <w:abstractNum w:abstractNumId="4">
    <w:nsid w:val="7FDCC233"/>
    <w:multiLevelType w:val="hybridMultilevel"/>
    <w:lvl w:ilvl="0">
      <w:lvlJc w:val="left"/>
      <w:lvlText w:val="(%1)"/>
      <w:numFmt w:val="upperLetter"/>
      <w:start w:val="3"/>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1)"/>
      <w:numFmt w:val="lowerRoman"/>
      <w:start w:val="2"/>
    </w:lvl>
  </w:abstractNum>
  <w:abstractNum w:abstractNumId="7">
    <w:nsid w:val="6B68079A"/>
    <w:multiLevelType w:val="hybridMultilevel"/>
    <w:lvl w:ilvl="0">
      <w:lvlJc w:val="left"/>
      <w:lvlText w:val="(%1)"/>
      <w:numFmt w:val="lowerRoman"/>
      <w:start w:val="1"/>
    </w:lvl>
  </w:abstractNum>
  <w:abstractNum w:abstractNumId="8">
    <w:nsid w:val="4E6AFB66"/>
    <w:multiLevelType w:val="hybridMultilevel"/>
    <w:lvl w:ilvl="0">
      <w:lvlJc w:val="left"/>
      <w:lvlText w:val="(%1)"/>
      <w:numFmt w:val="lowerRoman"/>
      <w:start w:val="2"/>
    </w:lvl>
  </w:abstractNum>
  <w:abstractNum w:abstractNumId="9">
    <w:nsid w:val="25E45D32"/>
    <w:multiLevelType w:val="hybridMultilevel"/>
    <w:lvl w:ilvl="0">
      <w:lvlJc w:val="left"/>
      <w:lvlText w:val="(%1)"/>
      <w:numFmt w:val="decimal"/>
      <w:start w:val="12"/>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1)"/>
      <w:numFmt w:val="upperLetter"/>
      <w:start w:val="3"/>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1)"/>
      <w:numFmt w:val="lowerLetter"/>
      <w:start w:val="2"/>
    </w:lvl>
  </w:abstractNum>
  <w:abstractNum w:abstractNumId="17">
    <w:nsid w:val="628C895D"/>
    <w:multiLevelType w:val="hybridMultilevel"/>
    <w:lvl w:ilvl="0">
      <w:lvlJc w:val="left"/>
      <w:lvlText w:val="(%1)"/>
      <w:numFmt w:val="lowerRoman"/>
      <w:start w:val="1"/>
    </w:lvl>
  </w:abstractNum>
  <w:abstractNum w:abstractNumId="18">
    <w:nsid w:val="333AB105"/>
    <w:multiLevelType w:val="hybridMultilevel"/>
    <w:lvl w:ilvl="0">
      <w:lvlJc w:val="left"/>
      <w:lvlText w:val="%1."/>
      <w:numFmt w:val="decimal"/>
      <w:start w:val="4"/>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4"/>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2026-05-28T05:09:33Z</dcterms:created>
  <dcterms:modified xsi:type="dcterms:W3CDTF">2026-05-28T05:09:33Z</dcterms:modified>
</cp:coreProperties>
</file>