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249d8k.htm"/>
      <w:bookmarkStart w:id="1" w:name="ksd2624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UNDER</w:t>
      </w:r>
    </w:p>
    <w:p>
      <w:pPr>
        <w:pStyle w:val="TextBody"/>
        <w:bidi w:val="0"/>
        <w:spacing w:before="0" w:after="0"/>
        <w:jc w:val="center"/>
        <w:rPr>
          <w:rFonts w:ascii="Times New Roman" w:hAnsi="Times New Roman"/>
          <w:b/>
          <w:sz w:val="24"/>
        </w:rPr>
      </w:pPr>
      <w:r>
        <w:rPr>
          <w:rFonts w:ascii="Times New Roman" w:hAnsi="Times New Roman"/>
          <w:b/>
          <w:sz w:val="24"/>
        </w:rPr>
        <w:t>THE SECURITIES ACT OF 1933</w:t>
      </w:r>
    </w:p>
    <w:p>
      <w:pPr>
        <w:pStyle w:val="TextBody"/>
        <w:bidi w:val="0"/>
        <w:spacing w:before="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Hadron Energy,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3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001-42262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98-1790710</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 Twin Dolphin Drive, Ste 260</w:t>
      </w:r>
    </w:p>
    <w:p>
      <w:pPr>
        <w:pStyle w:val="TextBody"/>
        <w:bidi w:val="0"/>
        <w:spacing w:before="0" w:after="0"/>
        <w:jc w:val="center"/>
        <w:rPr>
          <w:rFonts w:ascii="Times New Roman" w:hAnsi="Times New Roman"/>
          <w:b/>
          <w:sz w:val="20"/>
        </w:rPr>
      </w:pPr>
      <w:r>
        <w:rPr>
          <w:rFonts w:ascii="Times New Roman" w:hAnsi="Times New Roman"/>
          <w:b/>
          <w:sz w:val="20"/>
        </w:rPr>
        <w:t>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276-7040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6"/>
        <w:gridCol w:w="60"/>
        <w:gridCol w:w="950"/>
        <w:gridCol w:w="60"/>
        <w:gridCol w:w="2039"/>
      </w:tblGrid>
      <w:tr>
        <w:trPr/>
        <w:tc>
          <w:tcPr>
            <w:tcW w:w="7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70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0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7096"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r>
        <w:trPr/>
        <w:tc>
          <w:tcPr>
            <w:tcW w:w="7096" w:type="dxa"/>
            <w:tcBorders/>
            <w:vAlign w:val="center"/>
          </w:tcPr>
          <w:p>
            <w:pPr>
              <w:pStyle w:val="TableContents"/>
              <w:bidi w:val="0"/>
              <w:spacing w:before="0" w:after="283"/>
              <w:jc w:val="center"/>
              <w:rPr/>
            </w:pPr>
            <w:r>
              <w:rPr/>
              <w:t>Redeemable warrants, each full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Introductory Note </w:t>
      </w:r>
    </w:p>
    <w:p>
      <w:pPr>
        <w:pStyle w:val="TextBody"/>
        <w:bidi w:val="0"/>
        <w:spacing w:before="240" w:after="0"/>
        <w:jc w:val="left"/>
        <w:rPr>
          <w:rFonts w:ascii="Times New Roman" w:hAnsi="Times New Roman"/>
          <w:sz w:val="20"/>
        </w:rPr>
      </w:pPr>
      <w:r>
        <w:rPr>
          <w:rFonts w:ascii="Times New Roman" w:hAnsi="Times New Roman"/>
          <w:sz w:val="20"/>
        </w:rPr>
        <w:t>As previously announced on the Current Report on Form 8-K filed with the Securities and Exchange Commission (the “</w:t>
      </w:r>
      <w:r>
        <w:rPr>
          <w:rFonts w:ascii="Times New Roman" w:hAnsi="Times New Roman"/>
          <w:sz w:val="20"/>
          <w:u w:val="single"/>
        </w:rPr>
        <w:t>SEC</w:t>
      </w:r>
      <w:r>
        <w:rPr>
          <w:rFonts w:ascii="Times New Roman" w:hAnsi="Times New Roman"/>
          <w:sz w:val="20"/>
        </w:rPr>
        <w:t>”) on May 28, 2026 (the “</w:t>
      </w:r>
      <w:r>
        <w:rPr>
          <w:rFonts w:ascii="Times New Roman" w:hAnsi="Times New Roman"/>
          <w:sz w:val="20"/>
          <w:u w:val="single"/>
        </w:rPr>
        <w:t>May 28 Current Report</w:t>
      </w:r>
      <w:r>
        <w:rPr>
          <w:rFonts w:ascii="Times New Roman" w:hAnsi="Times New Roman"/>
          <w:sz w:val="20"/>
        </w:rPr>
        <w:t>”), Hadron Energy, Inc. (f/k/a GigCapital7 Corp. (“</w:t>
      </w:r>
      <w:r>
        <w:rPr>
          <w:rFonts w:ascii="Times New Roman" w:hAnsi="Times New Roman"/>
          <w:sz w:val="20"/>
          <w:u w:val="single"/>
        </w:rPr>
        <w:t>GigCapital7</w:t>
      </w:r>
      <w:r>
        <w:rPr>
          <w:rFonts w:ascii="Times New Roman" w:hAnsi="Times New Roman"/>
          <w:sz w:val="20"/>
        </w:rPr>
        <w:t>”)) (the “</w:t>
      </w:r>
      <w:r>
        <w:rPr>
          <w:rFonts w:ascii="Times New Roman" w:hAnsi="Times New Roman"/>
          <w:sz w:val="20"/>
          <w:u w:val="single"/>
        </w:rPr>
        <w:t>Company</w:t>
      </w:r>
      <w:r>
        <w:rPr>
          <w:rFonts w:ascii="Times New Roman" w:hAnsi="Times New Roman"/>
          <w:sz w:val="20"/>
        </w:rPr>
        <w:t>” or “</w:t>
      </w:r>
      <w:r>
        <w:rPr>
          <w:rFonts w:ascii="Times New Roman" w:hAnsi="Times New Roman"/>
          <w:sz w:val="20"/>
          <w:u w:val="single"/>
        </w:rPr>
        <w:t>Combined</w:t>
      </w:r>
      <w:r>
        <w:rPr>
          <w:rFonts w:ascii="Times New Roman" w:hAnsi="Times New Roman"/>
          <w:sz w:val="20"/>
        </w:rPr>
        <w:t xml:space="preserve"> </w:t>
      </w:r>
      <w:r>
        <w:rPr>
          <w:rFonts w:ascii="Times New Roman" w:hAnsi="Times New Roman"/>
          <w:sz w:val="20"/>
          <w:u w:val="single"/>
        </w:rPr>
        <w:t>Company</w:t>
      </w:r>
      <w:r>
        <w:rPr>
          <w:rFonts w:ascii="Times New Roman" w:hAnsi="Times New Roman"/>
          <w:sz w:val="20"/>
        </w:rPr>
        <w:t>” or “</w:t>
      </w:r>
      <w:r>
        <w:rPr>
          <w:rFonts w:ascii="Times New Roman" w:hAnsi="Times New Roman"/>
          <w:sz w:val="20"/>
          <w:u w:val="single"/>
        </w:rPr>
        <w:t>Hadron Energy</w:t>
      </w:r>
      <w:r>
        <w:rPr>
          <w:rFonts w:ascii="Times New Roman" w:hAnsi="Times New Roman"/>
          <w:sz w:val="20"/>
        </w:rPr>
        <w:t>”) consummated its business combination (the “</w:t>
      </w:r>
      <w:r>
        <w:rPr>
          <w:rFonts w:ascii="Times New Roman" w:hAnsi="Times New Roman"/>
          <w:sz w:val="20"/>
          <w:u w:val="single"/>
        </w:rPr>
        <w:t>Business Combination</w:t>
      </w:r>
      <w:r>
        <w:rPr>
          <w:rFonts w:ascii="Times New Roman" w:hAnsi="Times New Roman"/>
          <w:sz w:val="20"/>
        </w:rPr>
        <w:t>”) with Hadron Energy Operating Company Inc. (f/k/a Hadron Energy, Inc.) (“</w:t>
      </w:r>
      <w:r>
        <w:rPr>
          <w:rFonts w:ascii="Times New Roman" w:hAnsi="Times New Roman"/>
          <w:sz w:val="20"/>
          <w:u w:val="single"/>
        </w:rPr>
        <w:t>Hadron Energy Operating Company</w:t>
      </w:r>
      <w:r>
        <w:rPr>
          <w:rFonts w:ascii="Times New Roman" w:hAnsi="Times New Roman"/>
          <w:sz w:val="20"/>
        </w:rPr>
        <w:t>”) on May 22, 2026, pursuant to that certain Business Combination Agreement, dated as of September 27, 2025, as amended by that certain First Amendment to Business Combination Agreement, dated as of December 12, 2025, and by that certain Second Amendment to Business Combination Agreement, dated as of April 16, 2026 (the “Second Amendment”), by and among GigCapital7, MMR Merger Sub, Inc. and Hadron Energy Operating Company (the “</w:t>
      </w:r>
      <w:r>
        <w:rPr>
          <w:rFonts w:ascii="Times New Roman" w:hAnsi="Times New Roman"/>
          <w:sz w:val="20"/>
          <w:u w:val="single"/>
        </w:rPr>
        <w:t>Business Combination Agreement</w:t>
      </w:r>
      <w:r>
        <w:rPr>
          <w:rFonts w:ascii="Times New Roman" w:hAnsi="Times New Roman"/>
          <w:sz w:val="20"/>
        </w:rPr>
        <w:t>”). Certain terms used in this Current Report on Form 8-K have the same meaning as set forth in the final proxy statement/prospectus (the “</w:t>
      </w:r>
      <w:r>
        <w:rPr>
          <w:rFonts w:ascii="Times New Roman" w:hAnsi="Times New Roman"/>
          <w:sz w:val="20"/>
          <w:u w:val="single"/>
        </w:rPr>
        <w:t>Final Proxy Statement/Prospectus</w:t>
      </w:r>
      <w:r>
        <w:rPr>
          <w:rFonts w:ascii="Times New Roman" w:hAnsi="Times New Roman"/>
          <w:sz w:val="20"/>
        </w:rPr>
        <w:t xml:space="preserve">”) filed with the SEC on April 15, 2026 by GigCapital7, as supplemented by the Supplement.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1025"/>
        <w:gridCol w:w="4325"/>
      </w:tblGrid>
      <w:tr>
        <w:trPr/>
        <w:tc>
          <w:tcPr>
            <w:tcW w:w="102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As previously reported in the Current Report on Form 8-K filed with the SEC on May 8, 2026, on May 7, 2026, GigCapital7 held an extraordinary general meeting of shareholders (the “</w:t>
      </w:r>
      <w:r>
        <w:rPr>
          <w:rFonts w:ascii="Times New Roman" w:hAnsi="Times New Roman"/>
          <w:sz w:val="20"/>
          <w:u w:val="single"/>
        </w:rPr>
        <w:t>Extraordinary Meeting</w:t>
      </w:r>
      <w:r>
        <w:rPr>
          <w:rFonts w:ascii="Times New Roman" w:hAnsi="Times New Roman"/>
          <w:sz w:val="20"/>
        </w:rPr>
        <w:t>”). At the Extraordinary Meeting, the GigCapital7 shareholders considered and adopted, among other matters, the Business Combination Agreement. As previously reported in the May 28 Current Report, on May 22, 2026, the parties to the Business Combination Agreement consummated the Business Combination (such consummation, the “</w:t>
      </w:r>
      <w:r>
        <w:rPr>
          <w:rFonts w:ascii="Times New Roman" w:hAnsi="Times New Roman"/>
          <w:sz w:val="20"/>
          <w:u w:val="single"/>
        </w:rPr>
        <w:t>Closing</w:t>
      </w:r>
      <w:r>
        <w:rPr>
          <w:rFonts w:ascii="Times New Roman" w:hAnsi="Times New Roman"/>
          <w:sz w:val="20"/>
        </w:rPr>
        <w:t>” and the date thereof,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also previously reported in the May 28 Current Report, prior to the Extraordinary Meeting, the holders of 16,834,491 shares of GigCapital7’s common stock that were sold in its initial public offering (“</w:t>
      </w:r>
      <w:r>
        <w:rPr>
          <w:rFonts w:ascii="Times New Roman" w:hAnsi="Times New Roman"/>
          <w:sz w:val="20"/>
          <w:u w:val="single"/>
        </w:rPr>
        <w:t>Public Shares</w:t>
      </w:r>
      <w:r>
        <w:rPr>
          <w:rFonts w:ascii="Times New Roman" w:hAnsi="Times New Roman"/>
          <w:sz w:val="20"/>
        </w:rPr>
        <w:t>”), out of 20,000,000 shares of common stock (or about 84% of the Public Shares), exercised their right to redeem those shares for cash at a price of $10.71267171 per share, for an aggregate of $180,342,375.50, which redemption occurred concurrent with the Closing, and the balance of 3,165,509 shares (or about 16% of the Public Shares) reflected cash that remained in the trust account upon the Closing. Immediately after giving effect to the Business Combination (including as a result of the redemptions described above and the automatic separation of GigCapital7 units into Hadron Energy common stock (“</w:t>
      </w:r>
      <w:r>
        <w:rPr>
          <w:rFonts w:ascii="Times New Roman" w:hAnsi="Times New Roman"/>
          <w:sz w:val="20"/>
          <w:u w:val="single"/>
        </w:rPr>
        <w:t>Combined Company Common Stock</w:t>
      </w:r>
      <w:r>
        <w:rPr>
          <w:rFonts w:ascii="Times New Roman" w:hAnsi="Times New Roman"/>
          <w:sz w:val="20"/>
        </w:rPr>
        <w:t>”) and warrants for the purchase of shares of Combined Company Common Stock), there were (i) 71,498,842 shares of Hadron Energy’s issued and outstanding common stock, (ii) public warrants for the purchase of 20,000,000 shares of Combined Company Common Stock with an exercise price of $11.50 per share, (iii) private warrants for the purchase of 3,719,000 shares of Combined Company Common Stock with an exercise price of $11.50 per share, and (iv) warrants for the purchase of 5,000,000 shares of Combined Company Common Stock issued to former warrant holders of Hadron Energy Operating Company pursuant to the terms of the Business Combination Agreement, with an exercise price of $12.00 per share. Upon the Closing, GigCapital7’s units ceased trading, and Hadron Energy’s common stock began trading on The Nasdaq Stock Market LLC (the “</w:t>
      </w:r>
      <w:r>
        <w:rPr>
          <w:rFonts w:ascii="Times New Roman" w:hAnsi="Times New Roman"/>
          <w:sz w:val="20"/>
          <w:u w:val="single"/>
        </w:rPr>
        <w:t>Nasdaq</w:t>
      </w:r>
      <w:r>
        <w:rPr>
          <w:rFonts w:ascii="Times New Roman" w:hAnsi="Times New Roman"/>
          <w:sz w:val="20"/>
        </w:rPr>
        <w:t xml:space="preserve">”) under the symbol “HDRN” and the public warrants began trading on Nasdaq under the symbol “HDRNW.” As of the Closing Date, the directors and executive officers and their affiliated entities beneficially owned approximately 77.2% of Hadron Energy’s outstanding shares of common stock, and the former shareholders of GigCapital7 beneficially owned approximately 23% of Hadron Energy’s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per share redemption price of $10.71267171 for holders of Public Shares electing redemption was paid out of GigCapital7’s trust account, which after taking into account the redemptions, had a balance immediately prior to the Closing of approximately $33.9 million.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10 INFORMATION </w:t>
      </w:r>
    </w:p>
    <w:p>
      <w:pPr>
        <w:pStyle w:val="TextBody"/>
        <w:bidi w:val="0"/>
        <w:spacing w:before="240" w:after="0"/>
        <w:jc w:val="left"/>
        <w:rPr>
          <w:rFonts w:ascii="Times New Roman" w:hAnsi="Times New Roman"/>
          <w:sz w:val="20"/>
        </w:rPr>
      </w:pPr>
      <w:r>
        <w:rPr>
          <w:rFonts w:ascii="Times New Roman" w:hAnsi="Times New Roman"/>
          <w:sz w:val="20"/>
        </w:rPr>
        <w:t xml:space="preserve">Item 2.01(f) of Form 8-K states that if the predecessor registrant was a shell company, as GigCapital7 was immediately before the Business Combination, then the registrant must disclose the information that would be required if the registrant were filing a general form for registration of securities on Form 10. Accordingly, the Company is providing the information below that would be included in a Form 10 if the Company were to file a Form 10. The information provided below relates to the Company following the consummation of the Business Combination, unless otherwise specifically indicated or the context otherwise requires.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that are not historical facts are forward-looking statements for purposes of the “safe harbor” provisions under the United States Private Securities Litigation Reform Act of 1995. Forward-looking statements generally are accompanied by words such as “anticipate,” “believe,” “can,” “continue,” “could,” “designed,” “estimate,” “expect,” “forecast,” “future,” “goal,” “intend,” “may,” “might,” “opportunity,” “outlook,” “plan,” “possible,” “potential,” “predict,” “project,” “seek,” “seem,” “should,” “strive,” “target,” “will,” “would” and similar expressions, or their negative variations, and terminology that predict or indicate future events or trends or that are not statements of historical matters, but the absence of these words does not mean that a statement is not forward-looking. These forward-looking statements include, but are not limited to, statements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the Company’s expectations regarding regulatory framework development; the potential for and timing of receipt of licenses and permits for current and future operations, including licenses to operate nuclear facilities from the U.S. Nuclear Regulatory Commission; the safety profile of the Company’s technology; and the Company’s expectations with respect to future performance. The risks and uncertainties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and business performance of the Company, including financial projections and business metrics and any underlying assumptions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Company’s strategy, future operations, financial position, estimated revenues and losses, projected costs, prospects and plans;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product development timeline and expected start of production;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market acceptance and success of the Company’s business model;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scale in a cost-effective manner;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Company’s competitors and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significant legal, commercial, regulatory and technical uncertainty regarding the classification and management of nuclear energy resources, including evolving environmental standards, permitting requirements, and potential changes in applicable laws or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expectations regarding its ability to obtain and maintain intellectual property protection and not infringe on the rights of others;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time during which the Company will be an emerging growth company under the JOBS Act;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future capital requirements and sources and uses of cash;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obtain funding for its operations;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business, expansion plans and opportunities; and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known and unknown litigation and regulatory proceedings. </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those described in “</w:t>
      </w:r>
      <w:r>
        <w:rPr>
          <w:rFonts w:ascii="Times New Roman" w:hAnsi="Times New Roman"/>
          <w:i/>
          <w:sz w:val="20"/>
        </w:rPr>
        <w:t>Risk Factors</w:t>
      </w:r>
      <w:r>
        <w:rPr>
          <w:rFonts w:ascii="Times New Roman" w:hAnsi="Times New Roman"/>
          <w:sz w:val="20"/>
        </w:rPr>
        <w:t xml:space="preserve">” in this Current Report on Form 8-K and in the Final Proxy Statement/Prospectus, as supplemented by the Supplement. Accordingly, you should not rely on these forward-looking statements, which speak only as of the date of this Current Report on Form 8-K. Except as may be required by law, the Company undertakes no obligation to publicly revise any forward-looking statement to reflect circumstances or events after the date of this Current Report on Form 8-K or to reflect the occurrence of unanticipated events. You should, however, review the factors and risks that the Company describes in the reports it will file from time to time with the SEC after the date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“the Company believes” and similar statements reflect the Company’s beliefs and opinions on the relevant subject. These statements are based on information available to the Company as of the date of this Current Report on Form 8-K. And while the Company believes that information provides a reasonable basis for these statements, that information may be limited or incomplete. The Company’s statements should not be read to indicate that it has conducted an exhaustive inquiry into, or review of, all relevant information. These statements are inherently uncertain, and you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believes the expectations reflected in the forward-looking statements were reasonable at the time made, it cannot guarantee future results, level of activity, performance or achievements. Moreover, neither the Company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Current Report on Form 8-K and any subsequent written or oral forward-looking statements that may be issued by the Company or persons acting on the Company’s behalf. The inclusion of any statement in this Current Report on Form 8-K does not constitute an admission by the Company or any other person that the events or circumstances described in such statement are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The business of the Company is described in the Final Proxy Statement/Prospectus in the sections titled “</w:t>
      </w:r>
      <w:r>
        <w:rPr>
          <w:rFonts w:ascii="Times New Roman" w:hAnsi="Times New Roman"/>
          <w:i/>
          <w:sz w:val="20"/>
        </w:rPr>
        <w:t>Information About GigCapital7</w:t>
      </w:r>
      <w:r>
        <w:rPr>
          <w:rFonts w:ascii="Times New Roman" w:hAnsi="Times New Roman"/>
          <w:sz w:val="20"/>
        </w:rPr>
        <w:t>” and “</w:t>
      </w:r>
      <w:r>
        <w:rPr>
          <w:rFonts w:ascii="Times New Roman" w:hAnsi="Times New Roman"/>
          <w:i/>
          <w:sz w:val="20"/>
        </w:rPr>
        <w:t>Information About Hadron Energy</w:t>
      </w:r>
      <w:r>
        <w:rPr>
          <w:rFonts w:ascii="Times New Roman" w:hAnsi="Times New Roman"/>
          <w:sz w:val="20"/>
        </w:rPr>
        <w:t xml:space="preserve">” and that information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Factors </w:t>
      </w:r>
    </w:p>
    <w:p>
      <w:pPr>
        <w:pStyle w:val="TextBody"/>
        <w:bidi w:val="0"/>
        <w:spacing w:before="120" w:after="0"/>
        <w:jc w:val="left"/>
        <w:rPr>
          <w:rFonts w:ascii="Times New Roman" w:hAnsi="Times New Roman"/>
          <w:sz w:val="20"/>
        </w:rPr>
      </w:pPr>
      <w:r>
        <w:rPr>
          <w:rFonts w:ascii="Times New Roman" w:hAnsi="Times New Roman"/>
          <w:sz w:val="20"/>
        </w:rPr>
        <w:t>The risks associated with the Company’s business are described in the Final Proxy Statement/Prospectus in the section titled “</w:t>
      </w:r>
      <w:r>
        <w:rPr>
          <w:rFonts w:ascii="Times New Roman" w:hAnsi="Times New Roman"/>
          <w:i/>
          <w:sz w:val="20"/>
        </w:rPr>
        <w:t>Risk Factors</w:t>
      </w:r>
      <w:r>
        <w:rPr>
          <w:rFonts w:ascii="Times New Roman" w:hAnsi="Times New Roman"/>
          <w:sz w:val="20"/>
        </w:rPr>
        <w:t xml:space="preserve">” and are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Information </w:t>
      </w:r>
    </w:p>
    <w:p>
      <w:pPr>
        <w:pStyle w:val="TextBody"/>
        <w:bidi w:val="0"/>
        <w:spacing w:before="120" w:after="0"/>
        <w:jc w:val="left"/>
        <w:rPr>
          <w:rFonts w:ascii="Times New Roman" w:hAnsi="Times New Roman"/>
          <w:sz w:val="20"/>
        </w:rPr>
      </w:pPr>
      <w:r>
        <w:rPr>
          <w:rFonts w:ascii="Times New Roman" w:hAnsi="Times New Roman"/>
          <w:sz w:val="20"/>
        </w:rPr>
        <w:t>The financial information of the Company and related discussion and analysis by the management of the Company is contained in the Final Proxy Statement/Prospectus in the section titled “</w:t>
      </w:r>
      <w:r>
        <w:rPr>
          <w:rFonts w:ascii="Times New Roman" w:hAnsi="Times New Roman"/>
          <w:i/>
          <w:sz w:val="20"/>
        </w:rPr>
        <w:t>Unaudited Pro Forma Condensed Combined Financial Information</w:t>
      </w:r>
      <w:r>
        <w:rPr>
          <w:rFonts w:ascii="Times New Roman" w:hAnsi="Times New Roman"/>
          <w:sz w:val="20"/>
        </w:rPr>
        <w:t>” and “</w:t>
      </w:r>
      <w:r>
        <w:rPr>
          <w:rFonts w:ascii="Times New Roman" w:hAnsi="Times New Roman"/>
          <w:i/>
          <w:sz w:val="20"/>
        </w:rPr>
        <w:t>Management’s Discussion and Analysis of Financial Condition and Results of Operations of Hadron Energy</w:t>
      </w:r>
      <w:r>
        <w:rPr>
          <w:rFonts w:ascii="Times New Roman" w:hAnsi="Times New Roman"/>
          <w:sz w:val="20"/>
        </w:rPr>
        <w:t xml:space="preserve">” and is incorporated herein by reference. Hadron Energy Operating Company Management’s Discussion and Analysis of Financial Condition and Results of Operations as of March 31, 2026 and for the three months ended March 31, 2026 and 2025 is filed as Exhibit 99.2 to this Current Report on Form 8-K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Common Stock of the Company upon the Closing of the Business Combination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the Company to be the beneficial owner of more than 5% of the shares of Combined Company Common Stock upon the Closing of the Business Combination;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officers and directors; and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officers and directors of the Company, as a group upon the Closing of the Business Combination. </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Company believes that all persons named in the table have sole voting and investment power with respect to all shares of common stock of the Company beneficially owned by them. </w:t>
      </w:r>
    </w:p>
    <w:p>
      <w:pPr>
        <w:pStyle w:val="TextBody"/>
        <w:bidi w:val="0"/>
        <w:spacing w:before="0" w:after="0"/>
        <w:jc w:val="left"/>
        <w:rPr/>
      </w:pPr>
      <w:r>
        <w:rPr/>
        <w:t> </w:t>
      </w:r>
    </w:p>
    <w:tbl>
      <w:tblPr>
        <w:tblW w:w="6635" w:type="dxa"/>
        <w:jc w:val="left"/>
        <w:tblInd w:w="0" w:type="dxa"/>
        <w:tblLayout w:type="fixed"/>
        <w:tblCellMar>
          <w:top w:w="0" w:type="dxa"/>
          <w:left w:w="0" w:type="dxa"/>
          <w:bottom w:w="0" w:type="dxa"/>
          <w:right w:w="0" w:type="dxa"/>
        </w:tblCellMar>
      </w:tblPr>
      <w:tblGrid>
        <w:gridCol w:w="4325"/>
        <w:gridCol w:w="120"/>
        <w:gridCol w:w="60"/>
        <w:gridCol w:w="1100"/>
        <w:gridCol w:w="60"/>
        <w:gridCol w:w="120"/>
        <w:gridCol w:w="67"/>
        <w:gridCol w:w="493"/>
        <w:gridCol w:w="290"/>
      </w:tblGrid>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25" w:type="dxa"/>
            <w:tcBorders/>
            <w:vAlign w:val="center"/>
          </w:tcPr>
          <w:p>
            <w:pPr>
              <w:pStyle w:val="TableContents"/>
              <w:bidi w:val="0"/>
              <w:spacing w:before="0" w:after="283"/>
              <w:jc w:val="left"/>
              <w:rPr>
                <w:b/>
              </w:rPr>
            </w:pPr>
            <w:r>
              <w:rPr>
                <w:b/>
              </w:rPr>
              <w:t>Name and Address of Beneficial Owner(1)</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Class</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Avi S. Katz (3)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13,738,746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 (4)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43,624,075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61.0</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Gibson Family Holdings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20,249,584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28.3</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SG 2026 Irrevocable Exempt Trust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427,491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Rahul Shukla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 Canavan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Ross T. Ridenoure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499,990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Andrew M. 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124,997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 (5)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13,738,746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GigAcquisitions7 Corp. (6)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13,651,246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18.1</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Ralph L. Hunter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J. Lewis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Bryan L. Timm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officers as a group (12 individuals)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58,075,308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77.2</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230" w:type="dxa"/>
        <w:jc w:val="left"/>
        <w:tblInd w:w="0" w:type="dxa"/>
        <w:tblLayout w:type="fixed"/>
        <w:tblCellMar>
          <w:top w:w="0" w:type="dxa"/>
          <w:left w:w="0" w:type="dxa"/>
          <w:bottom w:w="0" w:type="dxa"/>
          <w:right w:w="0" w:type="dxa"/>
        </w:tblCellMar>
      </w:tblPr>
      <w:tblGrid>
        <w:gridCol w:w="155"/>
        <w:gridCol w:w="2075"/>
      </w:tblGrid>
      <w:tr>
        <w:trPr/>
        <w:tc>
          <w:tcPr>
            <w:tcW w:w="15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individuals is 3 Twin Dolphin Drive, Ste 260, Redwood City, CA 94065. </w:t>
            </w:r>
          </w:p>
        </w:tc>
      </w:tr>
    </w:tbl>
    <w:tbl>
      <w:tblPr>
        <w:tblW w:w="8575" w:type="dxa"/>
        <w:jc w:val="left"/>
        <w:tblInd w:w="0" w:type="dxa"/>
        <w:tblLayout w:type="fixed"/>
        <w:tblCellMar>
          <w:top w:w="0" w:type="dxa"/>
          <w:left w:w="0" w:type="dxa"/>
          <w:bottom w:w="0" w:type="dxa"/>
          <w:right w:w="0" w:type="dxa"/>
        </w:tblCellMar>
      </w:tblPr>
      <w:tblGrid>
        <w:gridCol w:w="305"/>
        <w:gridCol w:w="8270"/>
      </w:tblGrid>
      <w:tr>
        <w:trPr/>
        <w:tc>
          <w:tcPr>
            <w:tcW w:w="305" w:type="dxa"/>
            <w:tcBorders/>
            <w:vAlign w:val="center"/>
          </w:tcPr>
          <w:p>
            <w:pPr>
              <w:pStyle w:val="TableContents"/>
              <w:bidi w:val="0"/>
              <w:spacing w:before="0" w:after="283"/>
              <w:jc w:val="left"/>
              <w:rPr/>
            </w:pPr>
            <w:r>
              <w:rPr/>
              <w:t>(2)</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71,498,842 shares of Combined Company Common Stock outstanding as of May 22, 2026.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87,500 shares of Combined Company Common Stock held by Dr. Avi S. Katz, (ii) 9,932,246 shares of Combined Company Common Stock held by GigAcquisitions7 Corp. (the “</w:t>
            </w:r>
            <w:r>
              <w:rPr>
                <w:rFonts w:ascii="Times New Roman" w:hAnsi="Times New Roman"/>
                <w:sz w:val="20"/>
                <w:u w:val="single"/>
              </w:rPr>
              <w:t>Sponsor</w:t>
            </w:r>
            <w:r>
              <w:rPr>
                <w:rFonts w:ascii="Times New Roman" w:hAnsi="Times New Roman"/>
                <w:sz w:val="20"/>
              </w:rPr>
              <w:t xml:space="preserve">”) and (iii) private warrants for the purchase of 3,719,000 shares of Combined Company Common Stock held by the Sponsor. Such shares and warrants held by the Sponsor are jointly beneficially owned by Dr. Katz and Dr. Raluca Dinu, each of whom are directors of the Company, who both have the voting and dispositive power over the shares held by the Sponsor.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22,947,000 shares of Combined Company Common Stock held directly by Mr. Gibson, (ii) 20,249,584 shares of Combined Company Common Stock held by Gibson Family Holdings LLC, and (iii) 427,491 shares of Combined Company Common Stock held by SG 2026 Irrevocable Exempt Trust. Mr. Gibson has voting and dispositive power over the shares held by Gibson Family Holdings LLC and SG 2026 Irrevocable Exempt Trust.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87,500 shares of Combined Company Common Stock held by Dr. Dinu, (ii) 9,932,246 shares of Combined Company Common Stock held by the Sponsor and (iii) private warrants for the purchase of 3,719,000 shares of Combined Company Common Stock held by the Sponsor. Such shares and warrants held by the Sponsor are jointly beneficially owned by Dr. Katz and Dr. Raluca Dinu, each of whom are directors of the Company, who both have the voting and dispositive power over the shares held by the Sponsor.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(6)</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9,932,246 shares of Combined Company Common Stock held by GigAcquisitions7 Corp. (the “</w:t>
            </w:r>
            <w:r>
              <w:rPr>
                <w:rFonts w:ascii="Times New Roman" w:hAnsi="Times New Roman"/>
                <w:sz w:val="20"/>
                <w:u w:val="single"/>
              </w:rPr>
              <w:t>Sponsor</w:t>
            </w:r>
            <w:r>
              <w:rPr>
                <w:rFonts w:ascii="Times New Roman" w:hAnsi="Times New Roman"/>
                <w:sz w:val="20"/>
              </w:rPr>
              <w:t xml:space="preserve">”) and (ii) private warrants for the purchase of 3,719,000 shares of Combined Company Common Stock held by the Sponsor. Such shares and warrants held by the Sponsor are jointly beneficially owned by Dr. Katz and Dr. Dinu, each of whom are directors of the Company, who both have the voting and dispositive power over the shares held by the Sponsor. </w:t>
            </w:r>
          </w:p>
        </w:tc>
      </w:tr>
    </w:tbl>
    <w:p>
      <w:pPr>
        <w:pStyle w:val="HorizontalLine"/>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The Company’s directors and executive officers after the Closing are described in the Final Proxy Statement/Prospectus in the section titled “</w:t>
      </w:r>
      <w:r>
        <w:rPr>
          <w:rFonts w:ascii="Times New Roman" w:hAnsi="Times New Roman"/>
          <w:i/>
          <w:sz w:val="20"/>
        </w:rPr>
        <w:t>Management of Domesticated GigCapital7 Following the Business Combination</w:t>
      </w:r>
      <w:r>
        <w:rPr>
          <w:rFonts w:ascii="Times New Roman" w:hAnsi="Times New Roman"/>
          <w:sz w:val="20"/>
        </w:rPr>
        <w:t xml:space="preserve">”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The executive compensation of the Company’s executive officers and directors is described in the Final Proxy Statement/Prospectus in the section titled “</w:t>
      </w:r>
      <w:r>
        <w:rPr>
          <w:rFonts w:ascii="Times New Roman" w:hAnsi="Times New Roman"/>
          <w:i/>
          <w:sz w:val="20"/>
        </w:rPr>
        <w:t>Executive and Director Compensation of Hadron Energy</w:t>
      </w:r>
      <w:r>
        <w:rPr>
          <w:rFonts w:ascii="Times New Roman" w:hAnsi="Times New Roman"/>
          <w:sz w:val="20"/>
        </w:rPr>
        <w:t xml:space="preserve">”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Relationships and Related Transactions, and Director Independence </w:t>
      </w:r>
    </w:p>
    <w:p>
      <w:pPr>
        <w:pStyle w:val="TextBody"/>
        <w:bidi w:val="0"/>
        <w:spacing w:before="120" w:after="0"/>
        <w:jc w:val="left"/>
        <w:rPr>
          <w:rFonts w:ascii="Times New Roman" w:hAnsi="Times New Roman"/>
          <w:sz w:val="20"/>
        </w:rPr>
      </w:pPr>
      <w:r>
        <w:rPr>
          <w:rFonts w:ascii="Times New Roman" w:hAnsi="Times New Roman"/>
          <w:sz w:val="20"/>
        </w:rPr>
        <w:t>The certain relationships and related party transactions of the Company are described in the Final Proxy Statement/Prospectus in the section titled “</w:t>
      </w:r>
      <w:r>
        <w:rPr>
          <w:rFonts w:ascii="Times New Roman" w:hAnsi="Times New Roman"/>
          <w:i/>
          <w:sz w:val="20"/>
        </w:rPr>
        <w:t>Certain Relationships and Related Party Transactions</w:t>
      </w:r>
      <w:r>
        <w:rPr>
          <w:rFonts w:ascii="Times New Roman" w:hAnsi="Times New Roman"/>
          <w:sz w:val="20"/>
        </w:rPr>
        <w:t>” and are incorporated herein by reference. Director independence is described in the Final Proxy Statement/Prospectus in the section titled “</w:t>
      </w:r>
      <w:r>
        <w:rPr>
          <w:rFonts w:ascii="Times New Roman" w:hAnsi="Times New Roman"/>
          <w:i/>
          <w:sz w:val="20"/>
        </w:rPr>
        <w:t>Management of Domesticated GigCapital7 Following the Business Combination—Director Independence</w:t>
      </w:r>
      <w:r>
        <w:rPr>
          <w:rFonts w:ascii="Times New Roman" w:hAnsi="Times New Roman"/>
          <w:sz w:val="20"/>
        </w:rPr>
        <w:t xml:space="preserve">” and that information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subject to any legal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The description of the Company’s properties is contained in the Final Proxy Statement/Prospectus in the section titled “</w:t>
      </w:r>
      <w:r>
        <w:rPr>
          <w:rFonts w:ascii="Times New Roman" w:hAnsi="Times New Roman"/>
          <w:i/>
          <w:sz w:val="20"/>
        </w:rPr>
        <w:t>Information About Hadron Energy—Facilities</w:t>
      </w:r>
      <w:r>
        <w:rPr>
          <w:rFonts w:ascii="Times New Roman" w:hAnsi="Times New Roman"/>
          <w:sz w:val="20"/>
        </w:rPr>
        <w:t xml:space="preserve">”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Price of and Dividends on the Registrant’s Common Equity and Related Stockholder Matters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common stock and warrants began trading on the Nasdaq under the symbols “HDRN” and “HDRNW” on May 26, 2026, subject to ongoing review of the Company’s satisfaction of all listing criteria post-Business Combination. The Company has not paid any cash dividends on shares of its common stock to date and does not intend to pay cash dividends. The payment of cash dividends in the future will be dependent upon the Company’s revenues and earnings, if any, capital requirements and general financial condition. The payment of any dividends will be within the discretion of the Company’s board of directors. It is the present intention of the Company’s board of directors to retain all earnings, if any, for use in the Company’s business operations and, accordingly, the Company’s board does not anticipate declaring any dividends in the foreseeable future. </w:t>
      </w:r>
    </w:p>
    <w:p>
      <w:pPr>
        <w:pStyle w:val="TextBody"/>
        <w:bidi w:val="0"/>
        <w:spacing w:before="240" w:after="0"/>
        <w:jc w:val="left"/>
        <w:rPr>
          <w:rFonts w:ascii="Times New Roman" w:hAnsi="Times New Roman"/>
          <w:sz w:val="20"/>
        </w:rPr>
      </w:pPr>
      <w:r>
        <w:rPr>
          <w:rFonts w:ascii="Times New Roman" w:hAnsi="Times New Roman"/>
          <w:sz w:val="20"/>
        </w:rPr>
        <w:t>Information regarding GigCapital7’s common stock, units and warrants and related stockholder matters are described in the Final Proxy Statement/Prospectus in the section titled “</w:t>
      </w:r>
      <w:r>
        <w:rPr>
          <w:rFonts w:ascii="Times New Roman" w:hAnsi="Times New Roman"/>
          <w:i/>
          <w:sz w:val="20"/>
        </w:rPr>
        <w:t>Market Price and Dividends of Securities</w:t>
      </w:r>
      <w:r>
        <w:rPr>
          <w:rFonts w:ascii="Times New Roman" w:hAnsi="Times New Roman"/>
          <w:sz w:val="20"/>
        </w:rPr>
        <w:t xml:space="preserve">” and such information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disclosure set forth under Item 3.02 of the Current Report on Form 8-K filed with the SEC on January 30, 2026 concerning the sale and issuance of a convertible note in the principal amount of $148,000, and the disclosure set forth under Item 3.02 of the Current Report on Form 8-K filed with the SEC on April 16, 2026 concerning the issuance of the amended and restated convertible note in the principal amount of $293,000 (which amended, restated, superseded and replaced the prior convertible note), each of which is incorporated herein by reference. The amended and restated convertible note was repaid in full at the Closing in accordance with its terms.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Registrant’s Securities </w:t>
      </w:r>
    </w:p>
    <w:p>
      <w:pPr>
        <w:pStyle w:val="TextBody"/>
        <w:bidi w:val="0"/>
        <w:spacing w:before="120" w:after="0"/>
        <w:jc w:val="left"/>
        <w:rPr>
          <w:rFonts w:ascii="Times New Roman" w:hAnsi="Times New Roman"/>
          <w:sz w:val="20"/>
        </w:rPr>
      </w:pPr>
      <w:r>
        <w:rPr>
          <w:rFonts w:ascii="Times New Roman" w:hAnsi="Times New Roman"/>
          <w:sz w:val="20"/>
        </w:rPr>
        <w:t>The description of the Company’s securities is contained in the Final Proxy Statement/Prospectus in the section titled “</w:t>
      </w:r>
      <w:r>
        <w:rPr>
          <w:rFonts w:ascii="Times New Roman" w:hAnsi="Times New Roman"/>
          <w:i/>
          <w:sz w:val="20"/>
        </w:rPr>
        <w:t>Description of Domesticated GigCapital7’s Securities</w:t>
      </w:r>
      <w:r>
        <w:rPr>
          <w:rFonts w:ascii="Times New Roman" w:hAnsi="Times New Roman"/>
          <w:sz w:val="20"/>
        </w:rPr>
        <w:t xml:space="preserve">”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disclosure set forth under Item 5.02 of this Current Report on Form 8-K concerning indemnification agreements entered into with each of the Company’s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Statements and Supplementary Data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disclosure set forth under Item 9.01 of this Current Report on Form 8-K concerning the financial statements and supplementary data of Hadron Energy Operating Company and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disclosure set forth under Item 9.01 of this Report concerning the financial information of Hadron Energy Operating Company and the Company.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1025"/>
        <w:gridCol w:w="4445"/>
      </w:tblGrid>
      <w:tr>
        <w:trPr/>
        <w:tc>
          <w:tcPr>
            <w:tcW w:w="1025" w:type="dxa"/>
            <w:tcBorders/>
            <w:vAlign w:val="center"/>
          </w:tcPr>
          <w:p>
            <w:pPr>
              <w:pStyle w:val="TableContents"/>
              <w:bidi w:val="0"/>
              <w:spacing w:before="0" w:after="283"/>
              <w:jc w:val="left"/>
              <w:rPr>
                <w:b/>
              </w:rPr>
            </w:pPr>
            <w:r>
              <w:rPr>
                <w:b/>
              </w:rPr>
              <w:t>Item 3.03.</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Immediately prior to the Closing of the Business Combination, GigCapital7’s amended and restated certificate of incorporation (the “</w:t>
      </w:r>
      <w:r>
        <w:rPr>
          <w:rFonts w:ascii="Times New Roman" w:hAnsi="Times New Roman"/>
          <w:sz w:val="20"/>
          <w:u w:val="single"/>
        </w:rPr>
        <w:t>Charter</w:t>
      </w:r>
      <w:r>
        <w:rPr>
          <w:rFonts w:ascii="Times New Roman" w:hAnsi="Times New Roman"/>
          <w:sz w:val="20"/>
        </w:rPr>
        <w:t>”), was further amended and restated in its entirety (as so amended and restated, the “</w:t>
      </w:r>
      <w:r>
        <w:rPr>
          <w:rFonts w:ascii="Times New Roman" w:hAnsi="Times New Roman"/>
          <w:sz w:val="20"/>
          <w:u w:val="single"/>
        </w:rPr>
        <w:t>Amended and Restated Certificate of Incorporation</w:t>
      </w:r>
      <w:r>
        <w:rPr>
          <w:rFonts w:ascii="Times New Roman" w:hAnsi="Times New Roman"/>
          <w:sz w:val="20"/>
        </w:rPr>
        <w:t xml:space="preserve">”) to, among other things: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275"/>
        <w:gridCol w:w="57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post-combination company’s name to Hadron Energy, Inc.;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90"/>
        <w:gridCol w:w="74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classify and divide the Board into three classes, each with terms expiring at different times;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delete all provisions relating to Domesticated GigCapital7 as a special purpose acquisition company, the Business Combination and the redemption rights of the Public Shares in connection with the Closing of the Business Combination (including the prior provisions of Article IV, Section 4.8 (Business Combination) and references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(d)</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the authorized share capital of the Company to 625,000,000 total shares, consisting of (i) 615,000,000 shares of common stock, par value $0.0001 per share, and (ii) 10,000,000 shares of preferred stock, par value $0.0001 per share (eliminating the Class B common stock previously authorized under the interim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 certain terms in Article IX (Corporate Opportunities) with respect to certain non-employee directors of the combined company pursuing outside business activities and corporate opportunities;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(f)</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 the exclusive forum provision (Article XI) to provide that (i) the Court of Chancery of the State of Delaware (or, if it lacks jurisdiction, the federal district court for the District of Delaware or other state courts of the State of Delaware) shall be the sole and exclusive forum for certain internal corporate claims, and (ii) the U.S. federal district courts shall be the sole and exclusive forum for any complaint asserting a cause of action arising under the Securities Act of 1933, as amended, while specifying that such provision does not apply to claims under the Securities Exchange Act of 1934, as amended; </w:t>
            </w:r>
          </w:p>
        </w:tc>
      </w:tr>
    </w:tbl>
    <w:p>
      <w:pPr>
        <w:pStyle w:val="TextBody"/>
        <w:bidi w:val="0"/>
        <w:spacing w:before="240" w:after="0"/>
        <w:jc w:val="left"/>
        <w:rPr>
          <w:rFonts w:ascii="Times New Roman" w:hAnsi="Times New Roman"/>
          <w:sz w:val="20"/>
        </w:rPr>
      </w:pPr>
      <w:r>
        <w:rPr>
          <w:rFonts w:ascii="Times New Roman" w:hAnsi="Times New Roman"/>
          <w:sz w:val="20"/>
        </w:rPr>
        <w:t>In addition, the Amended and Restated Certificate of Incorporation provides that any action required or permitted to be taken by the stockholders of the Company must be effected at a duly called annual or special meeting of such stockholders and may not be effected by written consent of the stockholders, and that special meetings of stockholders may be called only by the Chairman of the Board, the Chief Executive Officer of the Company, or the Board of Directors pursuant to a resolution adopted by a majority of the Board. As previously reported in the Current Report on Form 8-K filed with the SEC on May 8, 2026, the GigCapital7 shareholders approved this amendment and restatement of the Charter at the Extraordinary Meeting. A more complete summary of the key changes effected by the Amended and Restated Certificate of Incorporation is set forth in the Final Proxy Statement/Prospectus in the section titled “</w:t>
      </w:r>
      <w:r>
        <w:rPr>
          <w:rFonts w:ascii="Times New Roman" w:hAnsi="Times New Roman"/>
          <w:i/>
          <w:sz w:val="20"/>
        </w:rPr>
        <w:t>The Organizational Documents Proposals</w:t>
      </w:r>
      <w:r>
        <w:rPr>
          <w:rFonts w:ascii="Times New Roman" w:hAnsi="Times New Roman"/>
          <w:sz w:val="20"/>
        </w:rPr>
        <w:t xml:space="preserve">” and is incorporated herein by reference. This summary is qualified in its entirety by reference to the text of the Amended and Restated Certificate of Incorporation, which is included as Exhibit 3.1 hereto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Amended and Restated Bylaws </w:t>
      </w:r>
    </w:p>
    <w:p>
      <w:pPr>
        <w:pStyle w:val="TextBody"/>
        <w:bidi w:val="0"/>
        <w:spacing w:before="120" w:after="0"/>
        <w:jc w:val="left"/>
        <w:rPr>
          <w:rFonts w:ascii="Times New Roman" w:hAnsi="Times New Roman"/>
          <w:sz w:val="20"/>
        </w:rPr>
      </w:pPr>
      <w:r>
        <w:rPr>
          <w:rFonts w:ascii="Times New Roman" w:hAnsi="Times New Roman"/>
          <w:sz w:val="20"/>
        </w:rPr>
        <w:t>In connection with the Closing of the Business Combination, GigCapital7’s bylaws were amended and restated (the “</w:t>
      </w:r>
      <w:r>
        <w:rPr>
          <w:rFonts w:ascii="Times New Roman" w:hAnsi="Times New Roman"/>
          <w:sz w:val="20"/>
          <w:u w:val="single"/>
        </w:rPr>
        <w:t>Amended and Restated Bylaws</w:t>
      </w:r>
      <w:r>
        <w:rPr>
          <w:rFonts w:ascii="Times New Roman" w:hAnsi="Times New Roman"/>
          <w:sz w:val="20"/>
        </w:rPr>
        <w:t xml:space="preserve">”). The Amended and Restated Bylaws, among other things, (i) establish advance notice procedures for stockholder proposals and director nominations to be brought before meetings of stockholders, (ii) restrict the transfer of shares of Combined Company Common Stock issued as consideration pursuant to the Merger, and shares issued to directors, officers and employees upon the settlement or exercise of equity awards, subject to certain customary transfer exceptions, from the Closing until the earliest of (a) six months following the Closing Date, (b) subsequent to Closing, the date on which the closing price of Combined Company Common Stock equals or exceeds $11.50 per share for any 20 Trading Days within any 30 consecutive Trading Day period commencing at least 90 days after the Closing Date, or (c) subsequent to the Closing, the date on which the Company completes a liquidation, merger, stock exchange or other similar transaction that results in all of the Company’s stockholders having the right to exchange their securities for cash, securities or other property, and (iii) provide for certain other customary governance provisions for a post-business combination Delaware corporation. This summary is qualified in its entirety by reference to the text of the Amended and Restated Bylaws, which is included as Exhibit 3.2 hereto and incorporated herein by reference.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1025"/>
        <w:gridCol w:w="4040"/>
      </w:tblGrid>
      <w:tr>
        <w:trPr/>
        <w:tc>
          <w:tcPr>
            <w:tcW w:w="1025" w:type="dxa"/>
            <w:tcBorders/>
            <w:vAlign w:val="center"/>
          </w:tcPr>
          <w:p>
            <w:pPr>
              <w:pStyle w:val="TableContents"/>
              <w:bidi w:val="0"/>
              <w:spacing w:before="0" w:after="283"/>
              <w:jc w:val="left"/>
              <w:rPr>
                <w:b/>
              </w:rPr>
            </w:pPr>
            <w:r>
              <w:rPr>
                <w:b/>
              </w:rPr>
              <w:t>Item 4.01.</w:t>
            </w:r>
          </w:p>
        </w:tc>
        <w:tc>
          <w:tcPr>
            <w:tcW w:w="4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Registrant’s Certifying Accountants. </w:t>
            </w:r>
          </w:p>
        </w:tc>
      </w:tr>
    </w:tbl>
    <w:p>
      <w:pPr>
        <w:pStyle w:val="TextBody"/>
        <w:bidi w:val="0"/>
        <w:spacing w:before="120" w:after="0"/>
        <w:jc w:val="left"/>
        <w:rPr>
          <w:rFonts w:ascii="Times New Roman" w:hAnsi="Times New Roman"/>
          <w:sz w:val="20"/>
        </w:rPr>
      </w:pPr>
      <w:r>
        <w:rPr>
          <w:rFonts w:ascii="Times New Roman" w:hAnsi="Times New Roman"/>
          <w:sz w:val="20"/>
        </w:rPr>
        <w:t>Upon the Closing of the Business Combination, Hadron Energy Operating Company is considered the “accounting acquiror” of Hadron Energy, Inc. (f/k/a GigCapital7 Corp.), even though Hadron Energy, Inc. is the legal acquiror. BPM LLP (“</w:t>
      </w:r>
      <w:r>
        <w:rPr>
          <w:rFonts w:ascii="Times New Roman" w:hAnsi="Times New Roman"/>
          <w:sz w:val="20"/>
          <w:u w:val="single"/>
        </w:rPr>
        <w:t>BPM</w:t>
      </w:r>
      <w:r>
        <w:rPr>
          <w:rFonts w:ascii="Times New Roman" w:hAnsi="Times New Roman"/>
          <w:sz w:val="20"/>
        </w:rPr>
        <w:t xml:space="preserve">”), which prior to the Closing, was the independent registered public accounting firm of GigCapital7 Corp., and therefore has been and remains the independent registered public accounting firm of the legal acquiror Company, was engaged by the Board of Directors of Hadron Energy Operating Company and its audit committee to replace WithumSmith+Brown, PC (“Withum”) on April 24, 2026 with an intent for BPM to serve as the independent registered public accounting firm of the accounting acquiror upon the Closing. The Boards of Directors of Hadron Energy Operating Company and Hadron Energy, Inc., and the audit committee of the Board of Directors of Hadron Energy, Inc. did not take any action with respect to the status of Withum as the audit committee of the Board of Directors of Hadron Energy, Inc. had previously named BPM as the independent registered public accounting firm of Hadron Energy, Inc. </w:t>
      </w:r>
    </w:p>
    <w:p>
      <w:pPr>
        <w:pStyle w:val="TextBody"/>
        <w:bidi w:val="0"/>
        <w:spacing w:before="240" w:after="0"/>
        <w:jc w:val="left"/>
        <w:rPr>
          <w:rFonts w:ascii="Times New Roman" w:hAnsi="Times New Roman"/>
          <w:sz w:val="20"/>
        </w:rPr>
      </w:pPr>
      <w:r>
        <w:rPr>
          <w:rFonts w:ascii="Times New Roman" w:hAnsi="Times New Roman"/>
          <w:sz w:val="20"/>
        </w:rPr>
        <w:t xml:space="preserve">The reports of Withum on Hadron Energy Operating Company’s financial statements for the year ended December 31, 2025 and for the period from July 8, 2024 (inception) to December 31, 2024 did not contain any adverse opinion or a disclaimer of opinion, nor were they qualified or modified as to uncertainty, audit scope, or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During the fiscal year ended December 31, 2025 and for the period from July 8, 2024 (inception) to December 31, 2024, and the subsequent interim period through April 24, 2026, there were no “reportable events” (as defined in Item 304(a)(1)(v)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provided Withum with a copy of the above disclosures, and Withum has furnished the Company with a letter addressed to the SEC stating that it agrees with the statements made above. A copy of Withum’s letter, dated May 29, 2026, is attached as Exhibit 16.1 to this Form 8-K. </w:t>
      </w:r>
    </w:p>
    <w:p>
      <w:pPr>
        <w:pStyle w:val="TextBody"/>
        <w:bidi w:val="0"/>
        <w:spacing w:before="240" w:after="0"/>
        <w:jc w:val="left"/>
        <w:rPr>
          <w:rFonts w:ascii="Times New Roman" w:hAnsi="Times New Roman"/>
          <w:sz w:val="20"/>
        </w:rPr>
      </w:pPr>
      <w:r>
        <w:rPr>
          <w:rFonts w:ascii="Times New Roman" w:hAnsi="Times New Roman"/>
          <w:sz w:val="20"/>
        </w:rPr>
        <w:t xml:space="preserve">During the two most recent fiscal periods, consisting of the fiscal year ended December 31, 2025 and the period from July 8, 2024 (inception) to December 31, 2024, and the subsequent interim period through April 23, 2026, neither Hadron Energy Operating Company nor anyone on its behalf consulted BPM LLP regarding either (i) the application of accounting principles to a specified transaction, either completed or proposed, or the type of audit opinion that might be rendered on Hadron Energy Operating Company’s financial statements, and neither a written report nor oral advice was provided to Hadron Energy Operating Company that BPM LLP concluded was an important factor considered by Hadron Energy Operating Company in reaching a decision as to any accounting, auditing or financial reporting issue, or (ii) any matter that was either the subject of a “disagreement” or a “reportable event”, each as defined in Regulation S-K Item 304(a)(1)(iv) and 304(a)(1)(v), respectively.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1025"/>
        <w:gridCol w:w="2900"/>
      </w:tblGrid>
      <w:tr>
        <w:trPr/>
        <w:tc>
          <w:tcPr>
            <w:tcW w:w="1025" w:type="dxa"/>
            <w:tcBorders/>
            <w:vAlign w:val="center"/>
          </w:tcPr>
          <w:p>
            <w:pPr>
              <w:pStyle w:val="TableContents"/>
              <w:bidi w:val="0"/>
              <w:spacing w:before="0" w:after="283"/>
              <w:jc w:val="left"/>
              <w:rPr>
                <w:b/>
              </w:rPr>
            </w:pPr>
            <w:r>
              <w:rPr>
                <w:b/>
              </w:rPr>
              <w:t>Item 5.01.</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Reference is made to the disclosure in the Final Proxy Statement/Prospectus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1— The Business Combination Proposal,</w:t>
      </w:r>
      <w:r>
        <w:rPr>
          <w:rFonts w:ascii="Times New Roman" w:hAnsi="Times New Roman"/>
          <w:sz w:val="20"/>
        </w:rPr>
        <w:t xml:space="preserve">” which is incorporated herein by reference. Further reference is made to the information contained in Item 2.01 to this Current Report on Form 8-K, which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giving effect to the Business Combination, there were approximately 71,498,842 shares of common stock of the Company outstanding. As of such time, the Company’s officers and directors and their affiliated entities held 58,075,308 of the Company’s outstanding shares of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Appointment of Directors and Officers </w:t>
      </w:r>
    </w:p>
    <w:p>
      <w:pPr>
        <w:pStyle w:val="TextBody"/>
        <w:bidi w:val="0"/>
        <w:spacing w:before="120" w:after="0"/>
        <w:jc w:val="left"/>
        <w:rPr>
          <w:rFonts w:ascii="Times New Roman" w:hAnsi="Times New Roman"/>
          <w:sz w:val="20"/>
        </w:rPr>
      </w:pPr>
      <w:r>
        <w:rPr>
          <w:rFonts w:ascii="Times New Roman" w:hAnsi="Times New Roman"/>
          <w:sz w:val="20"/>
        </w:rPr>
        <w:t>The following persons are serving as executive officers and directors of the Company upon the Closing, with Samuel Gibson, Rahul Shukla, Ken Canavan, Ross T. Ridenoure, and Dr. Andrew M. Ward having been named as executive officers effective upon the Closing on May 22, 2026, and each of the directors having been elected by the GigCapital7 stockholders to the board also upon the Closing on May 22, 2026. For biographical and current compensatory information concerning the executive officers and directors, see the disclosure in the Final Proxy Statement/Prospectus in the sections titled “</w:t>
      </w:r>
      <w:r>
        <w:rPr>
          <w:rFonts w:ascii="Times New Roman" w:hAnsi="Times New Roman"/>
          <w:i/>
          <w:sz w:val="20"/>
        </w:rPr>
        <w:t>Management of the Domesticated GigCapital7 Following the Business Combination</w:t>
      </w:r>
      <w:r>
        <w:rPr>
          <w:rFonts w:ascii="Times New Roman" w:hAnsi="Times New Roman"/>
          <w:sz w:val="20"/>
        </w:rPr>
        <w:t xml:space="preserve">” which is incorporated herein by reference. </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2585"/>
        <w:gridCol w:w="120"/>
        <w:gridCol w:w="79"/>
        <w:gridCol w:w="346"/>
        <w:gridCol w:w="60"/>
        <w:gridCol w:w="120"/>
        <w:gridCol w:w="4460"/>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Avi Katz</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Independent Director and Executive Chairman</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Founder, Chief Executive Officer and Director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Rahul Shukla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Chief Financial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 Canavan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Operating Officer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Ross T. Ridenoure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Chief Nuclear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Andrew M. Ward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Technology Officer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Ralph L. Hunter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J. Lewis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L. Timm</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Effective upon the Closing on May 22, 2026, Dr. Avi Katz and Christine M. Marshall resigned as executive officers of GigCapital7, and each of Karen Rogge and Professor Darius Moshfeghi resigned as directors of GigCapital7.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for Company Directors and Officers </w:t>
      </w:r>
    </w:p>
    <w:p>
      <w:pPr>
        <w:pStyle w:val="TextBody"/>
        <w:bidi w:val="0"/>
        <w:spacing w:before="120" w:after="0"/>
        <w:jc w:val="left"/>
        <w:rPr>
          <w:rFonts w:ascii="Times New Roman" w:hAnsi="Times New Roman"/>
          <w:sz w:val="20"/>
        </w:rPr>
      </w:pPr>
      <w:r>
        <w:rPr>
          <w:rFonts w:ascii="Times New Roman" w:hAnsi="Times New Roman"/>
          <w:sz w:val="20"/>
        </w:rPr>
        <w:t>In connection with the closing of the Business Combination, the Company entered into indemnification agreements with each of its directors and officers (the “</w:t>
      </w:r>
      <w:r>
        <w:rPr>
          <w:rFonts w:ascii="Times New Roman" w:hAnsi="Times New Roman"/>
          <w:sz w:val="20"/>
          <w:u w:val="single"/>
        </w:rPr>
        <w:t>Indemnification Agreements</w:t>
      </w:r>
      <w:r>
        <w:rPr>
          <w:rFonts w:ascii="Times New Roman" w:hAnsi="Times New Roman"/>
          <w:sz w:val="20"/>
        </w:rPr>
        <w:t xml:space="preserve">”). The Indemnification Agreements provide the directors and executive officers with contractual rights to indemnification and expense advancement. The foregoing description of the Indemnification Agreements is not complete and is subject to and qualified in its entirety by reference to the text of the form of Indemnification Agreement, which is included as Exhibit 10.1 to this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As previously reported in the Current Report on Form 8-K filed with the SEC on May 8, 2026, at the Extraordinary Meeting, the GigCapital7 stockholders considered and approved the Hadron Energy, Inc. 2026 Incentive Plan (the “</w:t>
      </w:r>
      <w:r>
        <w:rPr>
          <w:rFonts w:ascii="Times New Roman" w:hAnsi="Times New Roman"/>
          <w:sz w:val="20"/>
          <w:u w:val="single"/>
        </w:rPr>
        <w:t>Incentive Plan</w:t>
      </w:r>
      <w:r>
        <w:rPr>
          <w:rFonts w:ascii="Times New Roman" w:hAnsi="Times New Roman"/>
          <w:sz w:val="20"/>
        </w:rPr>
        <w:t xml:space="preserve">”) and reserved 10,021,784 shares of common stock for issuance thereunder. The Incentive Plan with the reserved number of shares, which as approved by the GigCapital7 stockholders was to have an amount reserved equal to 10% of the fully-diluted number of shares of Hadron Energy as of the Closing of the Business Combination, was approved by the Board of GigCapital7 on May 7, 2026 once that number was determined. The Incentive Plan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became effective immediately upon the Closing of the Business Combination. The number of shares of common stock reserved for issuance under the Incentive Plan will automatically increase on January 1 of each year, beginning on January 1, 2027 and continuing through January 1, 2037, by 5% of the total number of shares of common stock outstanding on December 31 of the preceding calendar year, or a lesser number of shares as may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A more complete summary of the terms of the Incentive Plan is set forth in the Final Proxy Statement/Prospectus in the section titled “</w:t>
      </w:r>
      <w:r>
        <w:rPr>
          <w:rFonts w:ascii="Times New Roman" w:hAnsi="Times New Roman"/>
          <w:i/>
          <w:sz w:val="20"/>
        </w:rPr>
        <w:t>Proposal No. 6—The Incentive Plan Proposal</w:t>
      </w:r>
      <w:r>
        <w:rPr>
          <w:rFonts w:ascii="Times New Roman" w:hAnsi="Times New Roman"/>
          <w:sz w:val="20"/>
        </w:rPr>
        <w:t xml:space="preserve">”. That summary and the foregoing description of the Incentive Plan are qualified in their entirety by reference to the text of the Incentive Plan, which is filed as Exhibit 10.2 hereto and incorporated herein by reference. </w:t>
      </w:r>
    </w:p>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1025"/>
        <w:gridCol w:w="6425"/>
      </w:tblGrid>
      <w:tr>
        <w:trPr/>
        <w:tc>
          <w:tcPr>
            <w:tcW w:w="102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3.03 to this Current Report on Form 8-K is incorporated by reference into this Item 5.03.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1025"/>
        <w:gridCol w:w="2870"/>
      </w:tblGrid>
      <w:tr>
        <w:trPr/>
        <w:tc>
          <w:tcPr>
            <w:tcW w:w="1025" w:type="dxa"/>
            <w:tcBorders/>
            <w:vAlign w:val="center"/>
          </w:tcPr>
          <w:p>
            <w:pPr>
              <w:pStyle w:val="TableContents"/>
              <w:bidi w:val="0"/>
              <w:spacing w:before="0" w:after="283"/>
              <w:jc w:val="left"/>
              <w:rPr>
                <w:b/>
              </w:rPr>
            </w:pPr>
            <w:r>
              <w:rPr>
                <w:b/>
              </w:rPr>
              <w:t>Item 5.06.</w:t>
            </w:r>
          </w:p>
        </w:tc>
        <w:tc>
          <w:tcPr>
            <w:tcW w:w="2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Shell Company Status. </w:t>
            </w:r>
          </w:p>
        </w:tc>
      </w:tr>
    </w:tbl>
    <w:p>
      <w:pPr>
        <w:pStyle w:val="TextBody"/>
        <w:bidi w:val="0"/>
        <w:spacing w:before="120" w:after="0"/>
        <w:jc w:val="left"/>
        <w:rPr>
          <w:rFonts w:ascii="Times New Roman" w:hAnsi="Times New Roman"/>
          <w:sz w:val="20"/>
        </w:rPr>
      </w:pPr>
      <w:r>
        <w:rPr>
          <w:rFonts w:ascii="Times New Roman" w:hAnsi="Times New Roman"/>
          <w:sz w:val="20"/>
        </w:rPr>
        <w:t>As a result of the Business Combination, the Company ceased being a shell company. Reference is made to the disclosure in the Final Proxy Statement/Prospectus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1— The Business Combination Proposal,</w:t>
      </w:r>
      <w:r>
        <w:rPr>
          <w:rFonts w:ascii="Times New Roman" w:hAnsi="Times New Roman"/>
          <w:sz w:val="20"/>
        </w:rPr>
        <w:t xml:space="preserve">” which is incorporated herein by reference. Further reference is made to the information contained in Item 2.01 to this Current Report on Form 8-K.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a result of the Business Combination and by operation of Rule 12g-3(a) promulgated under the Securities Exchange Act of 1934, as amended (the “</w:t>
      </w:r>
      <w:r>
        <w:rPr>
          <w:rFonts w:ascii="Times New Roman" w:hAnsi="Times New Roman"/>
          <w:sz w:val="20"/>
          <w:u w:val="single"/>
        </w:rPr>
        <w:t>Exchange Act</w:t>
      </w:r>
      <w:r>
        <w:rPr>
          <w:rFonts w:ascii="Times New Roman" w:hAnsi="Times New Roman"/>
          <w:sz w:val="20"/>
        </w:rPr>
        <w:t xml:space="preserve">”), Hadron Energy is a successor issuer to GigCapital7. Hadron Energy hereby reports this succession in accordance with Rule 12g-3(f) under the Exchange Act.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(a)-(b) Financial Statements. </w:t>
      </w:r>
    </w:p>
    <w:p>
      <w:pPr>
        <w:pStyle w:val="TextBody"/>
        <w:bidi w:val="0"/>
        <w:spacing w:before="120" w:after="0"/>
        <w:jc w:val="left"/>
        <w:rPr>
          <w:rFonts w:ascii="Times New Roman" w:hAnsi="Times New Roman"/>
          <w:sz w:val="20"/>
        </w:rPr>
      </w:pPr>
      <w:r>
        <w:rPr>
          <w:rFonts w:ascii="Times New Roman" w:hAnsi="Times New Roman"/>
          <w:sz w:val="20"/>
        </w:rPr>
        <w:t>The audited consolidated balance sheets of GigCapital7 Corp., as of December 31, 2025 and 2024, and the related consolidated statements of operations and comprehensive income, shareholders’ equity (deficit), and cash flows for the year ended December 31, 2025 and for the period from May 8, 2024 (Date of Inception) through December 31, 2024, and the related notes thereto and report of independent registered public accounting firm, included in the Final Proxy Statement/Prospectus in the section titled “</w:t>
      </w:r>
      <w:r>
        <w:rPr>
          <w:rFonts w:ascii="Times New Roman" w:hAnsi="Times New Roman"/>
          <w:i/>
          <w:sz w:val="20"/>
        </w:rPr>
        <w:t>INDEX TO FINANCIAL STATEMENTS— GigCapital7 Corp. Financial Statements</w:t>
      </w:r>
      <w:r>
        <w:rPr>
          <w:rFonts w:ascii="Times New Roman" w:hAnsi="Times New Roman"/>
          <w:sz w:val="20"/>
        </w:rPr>
        <w:t xml:space="preserve">”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consolidated balance sheet of GigCapital7 Corp., as of March 31, 2026, and the related condensed consolidated statements of operations and comprehensive income, shareholders’ equity (deficit), and cash flows for the three months ended March 31, 2026, and the related notes thereto, included in the Quarterly Report on Form 10-Q filed with the SEC on May 6, 2026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audited balance sheets of Hadron Energy Operating Company, Inc. as of December 31, 2025 and 2024, the related statements of operations, and comprehensive loss, stockholders’ deficit and cash flows for the year ended December 31, 2025 and for the period from July 8, 2024 (inception) to December 31, 2024, and the related notes thereto and report of independent registered public accounting firm, included in the Final Proxy Statement/Prospectus in the section titled “</w:t>
      </w:r>
      <w:r>
        <w:rPr>
          <w:rFonts w:ascii="Times New Roman" w:hAnsi="Times New Roman"/>
          <w:i/>
          <w:sz w:val="20"/>
        </w:rPr>
        <w:t>INDEX TO FINANCIAL STATEMENTS— Hadron Energy Inc. Financial Statements</w:t>
      </w:r>
      <w:r>
        <w:rPr>
          <w:rFonts w:ascii="Times New Roman" w:hAnsi="Times New Roman"/>
          <w:sz w:val="20"/>
        </w:rPr>
        <w:t xml:space="preserve">”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balance sheet of Hadron Energy Operating Company, Inc., as of March 31, 2026, and the related condensed statements of operations and comprehensive income (loss), stockholders’ deficit and cash flows for the three months ended March 31, 2026, and the related notes thereto, are filed with this Current Report on Form 8-K as Exhibit 99.1 and incorporated herein by this reference. Also included as Exhibit 99.2 and incorporated herein by reference is Management’s Discussion and Analysis of Financial Condition and Results of Operations of Hadron Energy as of March 31, 2026 and for the three-month periods ended March 31, 2026 and 2025.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of the Company as of March 31, 2026 and for the three months ended March 31, 2026 are filed with this Current Report on Form 8-K as Exhibit 99.3 and incorporated herein by this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"http://www.sec.gov/Archives/edgar/data/2023730/000119312526157204/d949764d424b3.htm" \l "rom949764_46"</w:instrText>
            </w:r>
            <w:r>
              <w:rPr>
                <w:rStyle w:val="InternetLink"/>
              </w:rPr>
              <w:fldChar w:fldCharType="separate"/>
            </w:r>
            <w:r>
              <w:rPr>
                <w:rStyle w:val="InternetLink"/>
              </w:rPr>
              <w:t xml:space="preserve">Business Combination Agreement, dated as of September 27, 2025, by and among GigCapital7 Corp., MMR Merger Sub, Inc. and Hadron Energy, Inc. (included as Annex A to the Final Proxy Statement/Prospectus filed under Rule 424(b)(3) on April 15, 2026) </w:t>
            </w:r>
            <w:r>
              <w:rPr>
                <w:rStyle w:val="InternetLink"/>
              </w:rPr>
              <w:fldChar w:fldCharType="end"/>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31.htm">
              <w:r>
                <w:rPr>
                  <w:rStyle w:val="InternetLink"/>
                </w:rPr>
                <w:t xml:space="preserve">Amended and Restated Certificate of Incorporation of Hadron Energy,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32.htm">
              <w:r>
                <w:rPr>
                  <w:rStyle w:val="InternetLink"/>
                </w:rPr>
                <w:t xml:space="preserve">Amended and Restated Bylaws of Hadron Energy,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101.htm">
              <w:r>
                <w:rPr>
                  <w:rStyle w:val="InternetLink"/>
                </w:rPr>
                <w:t xml:space="preserve">Form of Indemnification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102.htm">
              <w:r>
                <w:rPr>
                  <w:rStyle w:val="InternetLink"/>
                </w:rPr>
                <w:t xml:space="preserve">2026 Equity Incentive Plan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16.1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161.htm">
              <w:r>
                <w:rPr>
                  <w:rStyle w:val="InternetLink"/>
                </w:rPr>
                <w:t xml:space="preserve">Letter from Withum to the SEC, dated May 29,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991.htm">
              <w:r>
                <w:rPr>
                  <w:rStyle w:val="InternetLink"/>
                </w:rPr>
                <w:t xml:space="preserve">Unaudited Financial Statements of Hadron Energy Operating Company, Inc. as of and for the three months ended March 31,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992.htm">
              <w:r>
                <w:rPr>
                  <w:rStyle w:val="InternetLink"/>
                </w:rPr>
                <w:t xml:space="preserve">Management’s Discussion and Analysis of Financial Condition and Results of Operations of Hadron Energy as of March 31, 2026 and for the three-month periods ended March 31, 2026 and 2025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6249dex993.htm">
              <w:r>
                <w:rPr>
                  <w:rStyle w:val="InternetLink"/>
                </w:rPr>
                <w:t xml:space="preserve">Unaudited Pro Forma Condensed Combined Financial Information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6745" w:type="dxa"/>
        <w:jc w:val="left"/>
        <w:tblInd w:w="0" w:type="dxa"/>
        <w:tblLayout w:type="fixed"/>
        <w:tblCellMar>
          <w:top w:w="0" w:type="dxa"/>
          <w:left w:w="0" w:type="dxa"/>
          <w:bottom w:w="0" w:type="dxa"/>
          <w:right w:w="0" w:type="dxa"/>
        </w:tblCellMar>
      </w:tblPr>
      <w:tblGrid>
        <w:gridCol w:w="155"/>
        <w:gridCol w:w="6590"/>
      </w:tblGrid>
      <w:tr>
        <w:trPr/>
        <w:tc>
          <w:tcPr>
            <w:tcW w:w="155"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contract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similar attachments to this Exhibit have been omitted pursuant to Item 601(a)(5) of Regulation S-K. The Company agrees to furnish supplementally a copy of such omitted materials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44" w:type="dxa"/>
        <w:jc w:val="left"/>
        <w:tblInd w:w="0" w:type="dxa"/>
        <w:tblLayout w:type="fixed"/>
        <w:tblCellMar>
          <w:top w:w="0" w:type="dxa"/>
          <w:left w:w="0" w:type="dxa"/>
          <w:bottom w:w="0" w:type="dxa"/>
          <w:right w:w="0" w:type="dxa"/>
        </w:tblCellMar>
      </w:tblPr>
      <w:tblGrid>
        <w:gridCol w:w="644"/>
        <w:gridCol w:w="1019"/>
        <w:gridCol w:w="396"/>
        <w:gridCol w:w="60"/>
        <w:gridCol w:w="365"/>
        <w:gridCol w:w="60"/>
        <w:gridCol w:w="2300"/>
      </w:tblGrid>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Hadron Energy, Inc.</w:t>
            </w:r>
          </w:p>
        </w:tc>
      </w:tr>
      <w:tr>
        <w:trPr/>
        <w:tc>
          <w:tcPr>
            <w:tcW w:w="2059" w:type="dxa"/>
            <w:gridSpan w:val="3"/>
            <w:tcBorders/>
            <w:vAlign w:val="center"/>
          </w:tcPr>
          <w:p>
            <w:pPr>
              <w:pStyle w:val="TableContents"/>
              <w:bidi w:val="0"/>
              <w:spacing w:before="0" w:after="283"/>
              <w:jc w:val="left"/>
              <w:rPr/>
            </w:pPr>
            <w:r>
              <w:rPr/>
              <w:t>Dated: May 29,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644"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26249dex31.htm"/>
      <w:bookmarkStart w:id="3" w:name="ksd26249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240" w:after="0"/>
        <w:jc w:val="center"/>
        <w:rPr>
          <w:rFonts w:ascii="Times New Roman" w:hAnsi="Times New Roman"/>
          <w:sz w:val="20"/>
        </w:rPr>
      </w:pPr>
      <w:r>
        <w:rPr>
          <w:rFonts w:ascii="Times New Roman" w:hAnsi="Times New Roman"/>
          <w:sz w:val="20"/>
        </w:rPr>
        <w:t xml:space="preserve">May 22, 2026 </w:t>
      </w:r>
    </w:p>
    <w:p>
      <w:pPr>
        <w:pStyle w:val="TextBody"/>
        <w:bidi w:val="0"/>
        <w:spacing w:before="240" w:after="0"/>
        <w:jc w:val="left"/>
        <w:rPr>
          <w:rFonts w:ascii="Times New Roman" w:hAnsi="Times New Roman"/>
          <w:sz w:val="20"/>
        </w:rPr>
      </w:pPr>
      <w:r>
        <w:rPr>
          <w:rFonts w:ascii="Times New Roman" w:hAnsi="Times New Roman"/>
          <w:sz w:val="20"/>
        </w:rPr>
        <w:t>GigCapital7 Corp., a corporation organized and existing under the laws of the State of Delaware (the “</w:t>
      </w:r>
      <w:r>
        <w:rPr>
          <w:rFonts w:ascii="Times New Roman" w:hAnsi="Times New Roman"/>
          <w:b/>
          <w:i/>
          <w:sz w:val="20"/>
        </w:rPr>
        <w:t>Corporation</w:t>
      </w:r>
      <w:r>
        <w:rPr>
          <w:rFonts w:ascii="Times New Roman" w:hAnsi="Times New Roman"/>
          <w:sz w:val="20"/>
        </w:rPr>
        <w:t xml:space="preserve">”), DOES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name of the Corporation is “</w:t>
            </w:r>
            <w:r>
              <w:rPr>
                <w:rFonts w:ascii="Times New Roman" w:hAnsi="Times New Roman"/>
                <w:b/>
                <w:i/>
                <w:sz w:val="20"/>
              </w:rPr>
              <w:t>GigCapital7 Corp.</w:t>
            </w:r>
            <w:r>
              <w:rPr>
                <w:rFonts w:ascii="Times New Roman" w:hAnsi="Times New Roman"/>
                <w:sz w:val="20"/>
              </w:rPr>
              <w:t>”. The original certificate of incorporation of the Corporation was filed with the Secretary of State of the State of Delaware on May 8, 2026 (the “</w:t>
            </w:r>
            <w:r>
              <w:rPr>
                <w:rFonts w:ascii="Times New Roman" w:hAnsi="Times New Roman"/>
                <w:b/>
                <w:i/>
                <w:sz w:val="20"/>
              </w:rPr>
              <w:t>Original Certificate</w:t>
            </w:r>
            <w:r>
              <w:rPr>
                <w:rFonts w:ascii="Times New Roman" w:hAnsi="Times New Roman"/>
                <w:sz w:val="20"/>
              </w:rPr>
              <w:t xml:space="preserve">”), which was filed concurrently with the certificate of corporate domestication in connection with the domestication of GigCapital7 Corp., as an exempted company limited by shares duly incorporated and validly existing under the laws of the Cayman Islands, to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(the “</w:t>
            </w:r>
            <w:r>
              <w:rPr>
                <w:rFonts w:ascii="Times New Roman" w:hAnsi="Times New Roman"/>
                <w:b/>
                <w:i/>
                <w:sz w:val="20"/>
              </w:rPr>
              <w:t>Amended and Restated Certificate</w:t>
            </w:r>
            <w:r>
              <w:rPr>
                <w:rFonts w:ascii="Times New Roman" w:hAnsi="Times New Roman"/>
                <w:sz w:val="20"/>
              </w:rPr>
              <w:t>”), which both restates and amends the provisions of the Original Certificate, was duly adopted in accordance with the laws of the Cayman Islands and the Corporation’s Cayman constitutional documents, and effected pursuant to Section 388 of the General Corporation Law of the State of Delaware, as amended from time to time (the “</w:t>
            </w:r>
            <w:r>
              <w:rPr>
                <w:rFonts w:ascii="Times New Roman" w:hAnsi="Times New Roman"/>
                <w:b/>
                <w:i/>
                <w:sz w:val="20"/>
              </w:rPr>
              <w:t>DGCL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Amended and Restated Certificate shall become effective on the date of filing with the Secretary of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Original Certificate is hereby restated and amended in its entirety to read as follows: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The name of the corporation is “</w:t>
      </w:r>
      <w:r>
        <w:rPr>
          <w:rFonts w:ascii="Times New Roman" w:hAnsi="Times New Roman"/>
          <w:b/>
          <w:i/>
          <w:sz w:val="20"/>
        </w:rPr>
        <w:t>Hadron Energy, Inc.</w:t>
      </w:r>
      <w:r>
        <w:rPr>
          <w:rFonts w:ascii="Times New Roman" w:hAnsi="Times New Roman"/>
          <w:sz w:val="20"/>
        </w:rPr>
        <w:t>” (the “</w:t>
      </w:r>
      <w:r>
        <w:rPr>
          <w:rFonts w:ascii="Times New Roman" w:hAnsi="Times New Roman"/>
          <w:b/>
          <w:i/>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b/>
          <w:i/>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AGENT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 Stock</w:t>
      </w:r>
      <w:r>
        <w:rPr>
          <w:rFonts w:ascii="Times New Roman" w:hAnsi="Times New Roman"/>
          <w:sz w:val="20"/>
        </w:rPr>
        <w:t>. The total number of shares of all classes of capital stock which the Corporation is authorized to issue is 625,000,000 shares, consisting of (a) 615,000,000 shares of common stock, par value $0.0001 per share (the “</w:t>
      </w:r>
      <w:r>
        <w:rPr>
          <w:rFonts w:ascii="Times New Roman" w:hAnsi="Times New Roman"/>
          <w:b/>
          <w:i/>
          <w:sz w:val="20"/>
        </w:rPr>
        <w:t>Common Stock</w:t>
      </w:r>
      <w:r>
        <w:rPr>
          <w:rFonts w:ascii="Times New Roman" w:hAnsi="Times New Roman"/>
          <w:sz w:val="20"/>
        </w:rPr>
        <w:t>”), and (b) 10,000,000 shares of preferred stock, par value $0.0001 per share (the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Preferred Stock</w:t>
      </w:r>
      <w:r>
        <w:rPr>
          <w:rFonts w:ascii="Times New Roman" w:hAnsi="Times New Roman"/>
          <w:sz w:val="20"/>
        </w:rPr>
        <w:t>. The Preferred Stock may be issued from time to time in one or more series. The Board of Directors of the Corporation (the “</w:t>
      </w:r>
      <w:r>
        <w:rPr>
          <w:rFonts w:ascii="Times New Roman" w:hAnsi="Times New Roman"/>
          <w:b/>
          <w:i/>
          <w:sz w:val="20"/>
        </w:rPr>
        <w:t>Board</w:t>
      </w:r>
      <w:r>
        <w:rPr>
          <w:rFonts w:ascii="Times New Roman" w:hAnsi="Times New Roman"/>
          <w:sz w:val="20"/>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hAnsi="Times New Roman"/>
          <w:b/>
          <w:i/>
          <w:sz w:val="20"/>
        </w:rPr>
        <w:t>Preferred Stock Designation</w:t>
      </w:r>
      <w:r>
        <w:rPr>
          <w:rFonts w:ascii="Times New Roman" w:hAnsi="Times New Roman"/>
          <w:sz w:val="20"/>
        </w:rPr>
        <w:t xml:space="preserve">”) filed pursuant to the DGCL, and the Board is hereby expressly vested with the authority to the full extent provided by law, now or hereafter, to adopt any such resolution or resolutions.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Common Stock</w:t>
      </w:r>
      <w:r>
        <w:rPr>
          <w:rFonts w:ascii="Times New Roman" w:hAnsi="Times New Roman"/>
          <w:sz w:val="20"/>
        </w:rPr>
        <w:t xml:space="preserve">Section 4.1 </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required by law or this Amended and Restated Certificate (including any Preferred Stock Designation), the holders of the shares of Common Stock shall exclusively possess all voting power with respect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required by law or this Amended and Restated Certificate (including any Preferred Stock Designation), at any annual or special meeting of the stockholders of the Corporation, the holders of the shares of Common Stock shall have the exclusive right to vote for the election of directors and on all other matters properly submitted to a vote of the stockholders of the Corporation. Notwithstanding the foregoing, except as otherwise required by law or this Amended and Restated Certificate (including any Preferred Stock Designation), the holders of the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Amended and Restated Certificate (including any Preferred Stock Designation) or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w:t>
      </w:r>
      <w:r>
        <w:rPr>
          <w:rFonts w:ascii="Times New Roman" w:hAnsi="Times New Roman"/>
          <w:sz w:val="20"/>
        </w:rPr>
        <w:t xml:space="preserve">. 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Dissolution or Winding Up of the Corporation</w:t>
      </w:r>
      <w:r>
        <w:rPr>
          <w:rFonts w:ascii="Times New Roman" w:hAnsi="Times New Roman"/>
          <w:sz w:val="20"/>
        </w:rPr>
        <w:t xml:space="preserve">. 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Rights and Options</w:t>
      </w:r>
      <w:r>
        <w:rPr>
          <w:rFonts w:ascii="Times New Roman" w:hAnsi="Times New Roman"/>
          <w:sz w:val="20"/>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Board Powers</w:t>
      </w:r>
      <w:r>
        <w:rPr>
          <w:rFonts w:ascii="Times New Roman" w:hAnsi="Times New Roman"/>
          <w:sz w:val="20"/>
        </w:rPr>
        <w:t>. The business and affairs of the Corporation shall be managed by, or under the direction of, the Board. In addition to the powers and authority expressly conferred upon the Board by statute, this Amended and Restated Certificate or the Bylaws of the Corporation (as they may be amended from time to time, “</w:t>
      </w:r>
      <w:r>
        <w:rPr>
          <w:rFonts w:ascii="Times New Roman" w:hAnsi="Times New Roman"/>
          <w:b/>
          <w:i/>
          <w:sz w:val="20"/>
        </w:rPr>
        <w:t>Bylaws</w:t>
      </w:r>
      <w:r>
        <w:rPr>
          <w:rFonts w:ascii="Times New Roman" w:hAnsi="Times New Roman"/>
          <w:sz w:val="20"/>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 xml:space="preserve">Number, Election and Term.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Unless and except to the extent that the Bylaws shall so require, the election of directors need not be by written ballot. The holders of shares of Common Stock shall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Newly Created Directorships and Vacancies</w:t>
      </w:r>
      <w:r>
        <w:rPr>
          <w:rFonts w:ascii="Times New Roman" w:hAnsi="Times New Roman"/>
          <w:sz w:val="20"/>
        </w:rPr>
        <w:t xml:space="preserve">.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Removal</w:t>
      </w:r>
      <w:r>
        <w:rPr>
          <w:rFonts w:ascii="Times New Roman" w:hAnsi="Times New Roman"/>
          <w:sz w:val="20"/>
        </w:rPr>
        <w:t xml:space="preserve">.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Preferred Stock—Directors</w:t>
      </w:r>
      <w:r>
        <w:rPr>
          <w:rFonts w:ascii="Times New Roman" w:hAnsi="Times New Roman"/>
          <w:sz w:val="20"/>
        </w:rPr>
        <w:t xml:space="preserve">. Notwithstanding any other provision of this </w:t>
      </w:r>
      <w:r>
        <w:rPr>
          <w:rFonts w:ascii="Times New Roman" w:hAnsi="Times New Roman"/>
          <w:sz w:val="20"/>
          <w:u w:val="single"/>
        </w:rPr>
        <w:t>Article V</w:t>
      </w:r>
      <w:r>
        <w:rPr>
          <w:rFonts w:ascii="Times New Roman" w:hAnsi="Times New Roman"/>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hAnsi="Times New Roman"/>
          <w:sz w:val="20"/>
          <w:u w:val="single"/>
        </w:rPr>
        <w:t xml:space="preserve">Article V </w:t>
      </w:r>
      <w:r>
        <w:rPr>
          <w:rFonts w:ascii="Times New Roman" w:hAnsi="Times New Roman"/>
          <w:sz w:val="20"/>
        </w:rPr>
        <w:t xml:space="preserve">unless expressly provided by such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MEETINGS OF STOCKHOLDERS; ACTION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Special Meetings</w:t>
      </w:r>
      <w:r>
        <w:rPr>
          <w:rFonts w:ascii="Times New Roman" w:hAnsi="Times New Roman"/>
          <w:sz w:val="20"/>
        </w:rPr>
        <w:t xml:space="preserve">.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Advance Notice</w:t>
      </w:r>
      <w:r>
        <w:rPr>
          <w:rFonts w:ascii="Times New Roman" w:hAnsi="Times New Roman"/>
          <w:sz w:val="20"/>
        </w:rPr>
        <w:t xml:space="preserv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Action by Written Consent</w:t>
      </w:r>
      <w:r>
        <w:rPr>
          <w:rFonts w:ascii="Times New Roman" w:hAnsi="Times New Roman"/>
          <w:sz w:val="20"/>
        </w:rPr>
        <w:t xml:space="preserve">. Except as may be otherwise provided for or fixed pursuant to this Amended and Restated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Limitation of Director Liability</w:t>
      </w:r>
      <w:r>
        <w:rPr>
          <w:rFonts w:ascii="Times New Roman" w:hAnsi="Times New Roman"/>
          <w:sz w:val="20"/>
        </w:rPr>
        <w:t xml:space="preserve">.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Indemnification and Advancement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hAnsi="Times New Roman"/>
          <w:b/>
          <w:i/>
          <w:sz w:val="20"/>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to indemnification and advancement of expenses conferred on any indemnitee by this Section 8.2 shall not be exclusive of any other rights that any indemnitee may have or hereafter acquire under law, this Amended and Restated Certificate, the Bylaws, an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Any repeal or amendment of this Section 8.2 by the stockholders of the Corporation or by changes in law, or the adoption of any other provision of this Amended and Restated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(d) This Section 8.2 shall not limit the right of the Corporation, to the extent and in the manner authorized or permitted by law, to indemnify and to advance expenses to persons other than indemnitees.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Corporate Opportunities and Non-Employee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recognition and anticipation that members of the Board who are not employees of the Corporation (the “</w:t>
      </w:r>
      <w:r>
        <w:rPr>
          <w:rFonts w:ascii="Times New Roman" w:hAnsi="Times New Roman"/>
          <w:b/>
          <w:i/>
          <w:sz w:val="20"/>
        </w:rPr>
        <w:t>Non-Employee Directors</w:t>
      </w:r>
      <w:r>
        <w:rPr>
          <w:rFonts w:ascii="Times New Roman" w:hAnsi="Times New Roman"/>
          <w:sz w:val="20"/>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hAnsi="Times New Roman"/>
          <w:sz w:val="20"/>
          <w:u w:val="single"/>
        </w:rPr>
        <w:t>Article IX</w:t>
      </w:r>
      <w:r>
        <w:rPr>
          <w:rFonts w:ascii="Times New Roman" w:hAnsi="Times New Roman"/>
          <w:sz w:val="20"/>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w:t>
      </w:r>
      <w:r>
        <w:rPr>
          <w:rFonts w:ascii="Times New Roman" w:hAnsi="Times New Roman"/>
          <w:sz w:val="20"/>
          <w:u w:val="single"/>
        </w:rPr>
        <w:t>Article IX</w:t>
      </w:r>
      <w:r>
        <w:rPr>
          <w:rFonts w:ascii="Times New Roman" w:hAnsi="Times New Roman"/>
          <w:sz w:val="20"/>
        </w:rPr>
        <w:t>, (i) “</w:t>
      </w:r>
      <w:r>
        <w:rPr>
          <w:rFonts w:ascii="Times New Roman" w:hAnsi="Times New Roman"/>
          <w:b/>
          <w:i/>
          <w:sz w:val="20"/>
        </w:rPr>
        <w:t>Affiliate</w:t>
      </w:r>
      <w:r>
        <w:rPr>
          <w:rFonts w:ascii="Times New Roman" w:hAnsi="Times New Roman"/>
          <w:sz w:val="20"/>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hAnsi="Times New Roman"/>
          <w:b/>
          <w:i/>
          <w:sz w:val="20"/>
        </w:rPr>
        <w:t>Person</w:t>
      </w:r>
      <w:r>
        <w:rPr>
          <w:rFonts w:ascii="Times New Roman" w:hAnsi="Times New Roman"/>
          <w:sz w:val="20"/>
        </w:rPr>
        <w:t xml:space="preserve">” shall mean any individual, corporation, general or limited partnership, limited liability company, joint venture, trust, association or any other entity. </w:t>
      </w:r>
    </w:p>
    <w:p>
      <w:pPr>
        <w:pStyle w:val="TextBody"/>
        <w:bidi w:val="0"/>
        <w:spacing w:before="240" w:after="0"/>
        <w:jc w:val="left"/>
        <w:rPr>
          <w:rFonts w:ascii="Times New Roman" w:hAnsi="Times New Roman"/>
          <w:sz w:val="20"/>
        </w:rPr>
      </w:pPr>
      <w:r>
        <w:rPr>
          <w:rFonts w:ascii="Times New Roman" w:hAnsi="Times New Roman"/>
          <w:sz w:val="20"/>
        </w:rPr>
        <w:t>(b) No Non-Employee Director (including any Non-Employee Director who serves as an officer of the Corporation in both his or her director and officer capacities) or his or her Affiliates (such Persons being referred to, collectively, as “</w:t>
      </w:r>
      <w:r>
        <w:rPr>
          <w:rFonts w:ascii="Times New Roman" w:hAnsi="Times New Roman"/>
          <w:b/>
          <w:i/>
          <w:sz w:val="20"/>
        </w:rPr>
        <w:t>Identified Persons</w:t>
      </w:r>
      <w:r>
        <w:rPr>
          <w:rFonts w:ascii="Times New Roman" w:hAnsi="Times New Roman"/>
          <w:sz w:val="20"/>
        </w:rPr>
        <w:t>” and, individually, as an “</w:t>
      </w:r>
      <w:r>
        <w:rPr>
          <w:rFonts w:ascii="Times New Roman" w:hAnsi="Times New Roman"/>
          <w:b/>
          <w:i/>
          <w:sz w:val="20"/>
        </w:rPr>
        <w:t>Identified Person</w:t>
      </w:r>
      <w:r>
        <w:rPr>
          <w:rFonts w:ascii="Times New Roman" w:hAnsi="Times New Roman"/>
          <w:sz w:val="20"/>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9.1(b) of this Article IX shall not apply to any such 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 </w:t>
      </w:r>
    </w:p>
    <w:p>
      <w:pPr>
        <w:pStyle w:val="TextBody"/>
        <w:bidi w:val="0"/>
        <w:spacing w:before="240" w:after="0"/>
        <w:jc w:val="left"/>
        <w:rPr>
          <w:rFonts w:ascii="Times New Roman" w:hAnsi="Times New Roman"/>
          <w:sz w:val="20"/>
        </w:rPr>
      </w:pPr>
      <w:r>
        <w:rPr>
          <w:rFonts w:ascii="Times New Roman" w:hAnsi="Times New Roman"/>
          <w:sz w:val="20"/>
        </w:rPr>
        <w:t xml:space="preserve">(e) To the fullest extent permitted by law, any Person purchasing or otherwise acquiring any interest in any shares of capital stock of the Corporation shall be deemed to have notice of and to have consented to the provisions of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(f) Neither the alteration, amendment, addition to or repeal of this Article IX, nor the adoption of any provision of this Amended and Restated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AMENDED AND RESTATED CERTIFICATE OF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hAnsi="Times New Roman"/>
          <w:sz w:val="20"/>
          <w:u w:val="single"/>
        </w:rPr>
        <w:t>Article VIII</w:t>
      </w:r>
      <w:r>
        <w:rPr>
          <w:rFonts w:ascii="Times New Roman" w:hAnsi="Times New Roman"/>
          <w:sz w:val="20"/>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FORUM FOR CERTAIN LAWSUITS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Forum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Corporation consents in writing to the selection of an alternative forum, the Court of Chancery of the State of Delaware shall be the sole and exclusive forum for (i) 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stockholders, when acting in their capacity as stockholders or in the right of the Corporation, shall 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 </w:t>
      </w:r>
    </w:p>
    <w:p>
      <w:pPr>
        <w:pStyle w:val="TextBody"/>
        <w:bidi w:val="0"/>
        <w:spacing w:before="240" w:after="0"/>
        <w:jc w:val="left"/>
        <w:rPr>
          <w:rFonts w:ascii="Times New Roman" w:hAnsi="Times New Roman"/>
          <w:sz w:val="20"/>
        </w:rPr>
      </w:pPr>
      <w:r>
        <w:rPr>
          <w:rFonts w:ascii="Times New Roman" w:hAnsi="Times New Roman"/>
          <w:sz w:val="20"/>
        </w:rPr>
        <w:t>If any action, the subject matter of which is within the scope of this Section 11.1(a), is filed in a court other than a court located within the State of Delaware (a “</w:t>
      </w:r>
      <w:r>
        <w:rPr>
          <w:rFonts w:ascii="Times New Roman" w:hAnsi="Times New Roman"/>
          <w:b/>
          <w:i/>
          <w:sz w:val="20"/>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hAnsi="Times New Roman"/>
          <w:b/>
          <w:i/>
          <w:sz w:val="20"/>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To the fullest extent permitted by applicable law, any person or entity purchasing or otherwise acquiring any interest in any security of the Corporation shall be deemed to have notice of and consented to the provisions of this Section 11.1(b). Notwithstanding anything herein to the contrary, this Section 11.1(b) shall not apply to suits brought to enforce a duty or liability created by the Securities Exchange Act of 1934, as amended (the “</w:t>
      </w:r>
      <w:r>
        <w:rPr>
          <w:rFonts w:ascii="Times New Roman" w:hAnsi="Times New Roman"/>
          <w:b/>
          <w:i/>
          <w:sz w:val="20"/>
        </w:rPr>
        <w:t>Exchange Act</w:t>
      </w:r>
      <w:r>
        <w:rPr>
          <w:rFonts w:ascii="Times New Roman" w:hAnsi="Times New Roman"/>
          <w:sz w:val="20"/>
        </w:rPr>
        <w:t xml:space="preserve">”), or the rules and regulations under the Exchange Act, or any other claim for which the U.S.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Equitable Relief</w:t>
      </w:r>
      <w:r>
        <w:rPr>
          <w:rFonts w:ascii="Times New Roman" w:hAnsi="Times New Roman"/>
          <w:sz w:val="20"/>
        </w:rPr>
        <w:t xml:space="preserve">. Failure to enforce the provisions contained in this Article XI would cause the Corporation irreparable harm, and the Corporation shall be entitled to equitable relief, including injunctive relief and specific performance, to enforce the foregoing provisions.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provisions (or any part thereof) of this Amended and Restated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GigCapital7 Corp. has caused this Amended and Restated Certificate to be duly executed and acknowledged in its name and on its behalf by an authorized officer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GIGCAPITAL7 CORP.</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Samuel Gibson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Amended and Restated Certificate of Incorporation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26249dex32.htm"/>
      <w:bookmarkStart w:id="5" w:name="ksd26249dex32"/>
      <w:bookmarkEnd w:id="4"/>
      <w:bookmarkEnd w:id="5"/>
      <w:r>
        <w:rPr>
          <w:rFonts w:ascii="Times New Roman" w:hAnsi="Times New Roman"/>
          <w:b/>
          <w:sz w:val="20"/>
        </w:rPr>
        <w:t xml:space="preserve">Exhibit 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Registered Office</w:t>
      </w:r>
      <w:r>
        <w:rPr>
          <w:rFonts w:ascii="Times New Roman" w:hAnsi="Times New Roman"/>
          <w:sz w:val="20"/>
        </w:rPr>
        <w:t xml:space="preserve">.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b/>
          <w:i/>
          <w:sz w:val="20"/>
        </w:rPr>
        <w:t>Board</w:t>
      </w:r>
      <w:r>
        <w:rPr>
          <w:rFonts w:ascii="Times New Roman" w:hAnsi="Times New Roman"/>
          <w:sz w:val="20"/>
        </w:rPr>
        <w:t xml:space="preserve">”) may from time to time determine or as the business and affairs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 Annual Meetings</w:t>
      </w:r>
      <w:r>
        <w:rPr>
          <w:rFonts w:ascii="Times New Roman" w:hAnsi="Times New Roman"/>
          <w:sz w:val="20"/>
        </w:rPr>
        <w:t>.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w:t>
      </w:r>
      <w:r>
        <w:rPr>
          <w:rFonts w:ascii="Times New Roman" w:hAnsi="Times New Roman"/>
          <w:sz w:val="20"/>
          <w:u w:val="single"/>
        </w:rPr>
        <w:t> Section 10.5(a)</w:t>
      </w:r>
      <w:r>
        <w:rPr>
          <w:rFonts w:ascii="Times New Roman" w:hAnsi="Times New Roman"/>
          <w:sz w:val="20"/>
        </w:rPr>
        <w:t xml:space="preserve">.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 Special Meetings</w:t>
      </w:r>
      <w:r>
        <w:rPr>
          <w:rFonts w:ascii="Times New Roman" w:hAnsi="Times New Roman"/>
          <w:sz w:val="20"/>
        </w:rPr>
        <w:t>. Subject to the rights of the holders of any outstanding series of the preferred stock of the Corporation (“</w:t>
      </w:r>
      <w:r>
        <w:rPr>
          <w:rFonts w:ascii="Times New Roman" w:hAnsi="Times New Roman"/>
          <w:b/>
          <w:i/>
          <w:sz w:val="20"/>
        </w:rPr>
        <w:t>Preferred Stock</w:t>
      </w:r>
      <w:r>
        <w:rPr>
          <w:rFonts w:ascii="Times New Roman" w:hAnsi="Times New Roman"/>
          <w:sz w:val="20"/>
        </w:rPr>
        <w:t>”), and to the requirements of applicable law, special meetings of stockholders, for any purpose or purposes, may be called only by the Chairman of the Board,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by the Board in the Corporation’s notice of the meeting, provided that the Board may in its sole discretion determine that the meeting shall not be held at any place, but may instead be held solely by means of remote communication pursuant to</w:t>
      </w:r>
      <w:r>
        <w:rPr>
          <w:rFonts w:ascii="Times New Roman" w:hAnsi="Times New Roman"/>
          <w:sz w:val="20"/>
          <w:u w:val="single"/>
        </w:rPr>
        <w:t> Section 10.5(a)</w:t>
      </w:r>
      <w:r>
        <w:rPr>
          <w:rFonts w:ascii="Times New Roman" w:hAnsi="Times New Roman"/>
          <w:sz w:val="20"/>
        </w:rPr>
        <w:t xml:space="preserve">. Any special meeting previously called may be cancelled upon the affirmative vote of a majority of the Whole Board (as defined below). The “Whole Board” consists of the total number of authorized directors, whether or not there are any vacancies in previously authorized directorships or unfilled newly created directorships.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 Notices.</w:t>
      </w:r>
      <w:r>
        <w:rPr>
          <w:rFonts w:ascii="Times New Roman" w:hAnsi="Times New Roman"/>
          <w:sz w:val="20"/>
        </w:rPr>
        <w:t>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w:t>
      </w:r>
      <w:r>
        <w:rPr>
          <w:rFonts w:ascii="Times New Roman" w:hAnsi="Times New Roman"/>
          <w:sz w:val="20"/>
          <w:u w:val="single"/>
        </w:rPr>
        <w:t> Section 10.3</w:t>
      </w:r>
      <w:r>
        <w:rPr>
          <w:rFonts w:ascii="Times New Roman" w:hAnsi="Times New Roman"/>
          <w:sz w:val="20"/>
        </w:rPr>
        <w:t> to each stockholder entitled to vote thereat as of the record date for determining the stockholders entitled to notice of the meeting, by the Corporation (and may not be given by any other person) not less than 10 nor more than 60 days before the date of the meeting unless otherwise required by the General Corporation Law of the State of Delaware (the “</w:t>
      </w:r>
      <w:r>
        <w:rPr>
          <w:rFonts w:ascii="Times New Roman" w:hAnsi="Times New Roman"/>
          <w:b/>
          <w:i/>
          <w:sz w:val="20"/>
        </w:rPr>
        <w:t>DGCL</w:t>
      </w:r>
      <w:r>
        <w:rPr>
          <w:rFonts w:ascii="Times New Roman" w:hAnsi="Times New Roman"/>
          <w:sz w:val="20"/>
        </w:rPr>
        <w:t xml:space="preserve">”). If said notice is for a stockholders meeting other than an annual meeting, it shall in addition state the purpose or purposes for which the meeting is called, which shall be determined by the Chairman of the Board or the Board in its sole discretion pursuant to a resolution adopted by a majority of the Whole Board, and the business transacted at such meeting shall be limited to the matters so stated by the Board in the Corporation’s notice of meeting (or any supplement thereto). Any meeting of stockholders as to which notice has been given may be postponed, and subject to </w:t>
      </w:r>
      <w:r>
        <w:rPr>
          <w:rFonts w:ascii="Times New Roman" w:hAnsi="Times New Roman"/>
          <w:sz w:val="20"/>
          <w:u w:val="single"/>
        </w:rPr>
        <w:t>Section 2.2</w:t>
      </w:r>
      <w:r>
        <w:rPr>
          <w:rFonts w:ascii="Times New Roman" w:hAnsi="Times New Roman"/>
          <w:sz w:val="20"/>
        </w:rPr>
        <w:t>, any meeting of stockholders as to which notice has been given may be cancelled, by the Board upon public announcement (as defined in</w:t>
      </w:r>
      <w:r>
        <w:rPr>
          <w:rFonts w:ascii="Times New Roman" w:hAnsi="Times New Roman"/>
          <w:sz w:val="20"/>
          <w:u w:val="single"/>
        </w:rPr>
        <w:t> Section 2.7(c)</w:t>
      </w:r>
      <w:r>
        <w:rPr>
          <w:rFonts w:ascii="Times New Roman" w:hAnsi="Times New Roman"/>
          <w:sz w:val="20"/>
        </w:rPr>
        <w:t xml:space="preserve">) given before the date previously scheduled for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 Quorum</w:t>
      </w:r>
      <w:r>
        <w:rPr>
          <w:rFonts w:ascii="Times New Roman" w:hAnsi="Times New Roman"/>
          <w:sz w:val="20"/>
        </w:rPr>
        <w:t>. Except as otherwise provided by applicable law, the Corporation’s Certificate of Incorporation, as the same may be amended or restated from time to time (the “</w:t>
      </w:r>
      <w:r>
        <w:rPr>
          <w:rFonts w:ascii="Times New Roman" w:hAnsi="Times New Roman"/>
          <w:b/>
          <w:i/>
          <w:sz w:val="20"/>
        </w:rPr>
        <w:t>Certificate of Incorporation</w:t>
      </w:r>
      <w:r>
        <w:rPr>
          <w:rFonts w:ascii="Times New Roman" w:hAnsi="Times New Roman"/>
          <w:sz w:val="20"/>
        </w:rPr>
        <w:t>”) or these Bylaws, the presence, in person or by proxy, at a stockholders meeting of the holders of shares of outstanding capital stock of the Corporation representing fifty percent (50%)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fifty percent (50%)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w:t>
      </w:r>
      <w:r>
        <w:rPr>
          <w:rFonts w:ascii="Times New Roman" w:hAnsi="Times New Roman"/>
          <w:sz w:val="20"/>
          <w:u w:val="single"/>
        </w:rPr>
        <w:t> Section 2.6</w:t>
      </w:r>
      <w:r>
        <w:rPr>
          <w:rFonts w:ascii="Times New Roman" w:hAnsi="Times New Roman"/>
          <w:sz w:val="20"/>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fifty percent (50%)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 Voting of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Lists</w:t>
      </w:r>
      <w:r>
        <w:rPr>
          <w:rFonts w:ascii="Times New Roman" w:hAnsi="Times New Roman"/>
          <w:sz w:val="20"/>
        </w:rPr>
        <w:t>. The Secretary of the Corporation (the “</w:t>
      </w:r>
      <w:r>
        <w:rPr>
          <w:rFonts w:ascii="Times New Roman" w:hAnsi="Times New Roman"/>
          <w:b/>
          <w:i/>
          <w:sz w:val="20"/>
        </w:rPr>
        <w:t>Secretary</w:t>
      </w:r>
      <w:r>
        <w:rPr>
          <w:rFonts w:ascii="Times New Roman" w:hAnsi="Times New Roman"/>
          <w:sz w:val="20"/>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and the number and class of shares registered in the name of each stockholder. Nothing contained in this</w:t>
      </w:r>
      <w:r>
        <w:rPr>
          <w:rFonts w:ascii="Times New Roman" w:hAnsi="Times New Roman"/>
          <w:sz w:val="20"/>
          <w:u w:val="single"/>
        </w:rPr>
        <w:t> Section 2.5(a)</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hAnsi="Times New Roman"/>
          <w:sz w:val="20"/>
          <w:u w:val="single"/>
        </w:rPr>
        <w:t>Section 10.5(a)</w:t>
      </w:r>
      <w:r>
        <w:rPr>
          <w:rFonts w:ascii="Times New Roman" w:hAnsi="Times New Roman"/>
          <w:sz w:val="20"/>
        </w:rPr>
        <w:t>,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w:t>
      </w:r>
      <w:r>
        <w:rPr>
          <w:rFonts w:ascii="Times New Roman" w:hAnsi="Times New Roman"/>
          <w:sz w:val="20"/>
          <w:u w:val="single"/>
        </w:rPr>
        <w:t> Section 2.5(a)</w:t>
      </w:r>
      <w:r>
        <w:rPr>
          <w:rFonts w:ascii="Times New Roman" w:hAnsi="Times New Roman"/>
          <w:sz w:val="20"/>
        </w:rPr>
        <w:t xml:space="preserve"> or to vote in person or by proxy at any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Manner of Voting</w:t>
      </w:r>
      <w:r>
        <w:rPr>
          <w:rFonts w:ascii="Times New Roman" w:hAnsi="Times New Roman"/>
          <w:sz w:val="20"/>
        </w:rPr>
        <w:t>.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w:t>
      </w:r>
      <w:r>
        <w:rPr>
          <w:rFonts w:ascii="Times New Roman" w:hAnsi="Times New Roman"/>
          <w:sz w:val="20"/>
          <w:u w:val="single"/>
        </w:rPr>
        <w:t> Section 10.3</w:t>
      </w:r>
      <w:r>
        <w:rPr>
          <w:rFonts w:ascii="Times New Roman" w:hAnsi="Times New Roman"/>
          <w:sz w:val="20"/>
        </w:rPr>
        <w:t xml:space="preserve">),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Proxies</w:t>
      </w:r>
      <w:r>
        <w:rPr>
          <w:rFonts w:ascii="Times New Roman" w:hAnsi="Times New Roman"/>
          <w:sz w:val="20"/>
        </w:rPr>
        <w:t xml:space="preserve">.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 </w:t>
      </w:r>
    </w:p>
    <w:p>
      <w:pPr>
        <w:pStyle w:val="TextBody"/>
        <w:bidi w:val="0"/>
        <w:spacing w:before="120" w:after="0"/>
        <w:jc w:val="left"/>
        <w:rPr>
          <w:rFonts w:ascii="Times New Roman" w:hAnsi="Times New Roman"/>
          <w:sz w:val="20"/>
        </w:rPr>
      </w:pPr>
      <w:r>
        <w:rPr>
          <w:rFonts w:ascii="Times New Roman" w:hAnsi="Times New Roman"/>
          <w:sz w:val="20"/>
        </w:rPr>
        <w:t xml:space="preserve">(ii)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Required Vote</w:t>
      </w:r>
      <w:r>
        <w:rPr>
          <w:rFonts w:ascii="Times New Roman" w:hAnsi="Times New Roman"/>
          <w:sz w:val="20"/>
        </w:rPr>
        <w:t xml:space="preserve">.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Inspectors of Election</w:t>
      </w:r>
      <w:r>
        <w:rPr>
          <w:rFonts w:ascii="Times New Roman" w:hAnsi="Times New Roman"/>
          <w:sz w:val="20"/>
        </w:rPr>
        <w:t xml:space="preserve">. The Board may, and shall if required by law, in advance of any meeting of stockholders, designate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 Adjournments</w:t>
      </w:r>
      <w:r>
        <w:rPr>
          <w:rFonts w:ascii="Times New Roman" w:hAnsi="Times New Roman"/>
          <w:sz w:val="20"/>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w:t>
      </w:r>
      <w:r>
        <w:rPr>
          <w:rFonts w:ascii="Times New Roman" w:hAnsi="Times New Roman"/>
          <w:sz w:val="20"/>
          <w:u w:val="single"/>
        </w:rPr>
        <w:t> Section 10.2</w:t>
      </w:r>
      <w:r>
        <w:rPr>
          <w:rFonts w:ascii="Times New Roman" w:hAnsi="Times New Roman"/>
          <w:sz w:val="20"/>
        </w:rPr>
        <w:t xml:space="preserve">, and shall give notice of the adjourned meeting to each stockholder of record entitled to vote at such adjourned meeting as of the record date fixed for notice of such adjourned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 Advance Notice for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w:t>
      </w:r>
      <w:r>
        <w:rPr>
          <w:rFonts w:ascii="Times New Roman" w:hAnsi="Times New Roman"/>
          <w:sz w:val="20"/>
          <w:u w:val="single"/>
        </w:rPr>
        <w:t> Section 2.7(a)</w:t>
      </w:r>
      <w:r>
        <w:rPr>
          <w:rFonts w:ascii="Times New Roman" w:hAnsi="Times New Roman"/>
          <w:sz w:val="20"/>
        </w:rPr>
        <w:t> and on the record date for the determination of stockholders entitled to vote at such annual meeting and (y) who complies with the notice procedures set forth in this</w:t>
      </w:r>
      <w:r>
        <w:rPr>
          <w:rFonts w:ascii="Times New Roman" w:hAnsi="Times New Roman"/>
          <w:sz w:val="20"/>
          <w:u w:val="single"/>
        </w:rPr>
        <w:t> Section 2.7(a)</w:t>
      </w:r>
      <w:r>
        <w:rPr>
          <w:rFonts w:ascii="Times New Roman" w:hAnsi="Times New Roman"/>
          <w:sz w:val="20"/>
        </w:rPr>
        <w:t>. Notwithstanding anything in this</w:t>
      </w:r>
      <w:r>
        <w:rPr>
          <w:rFonts w:ascii="Times New Roman" w:hAnsi="Times New Roman"/>
          <w:sz w:val="20"/>
          <w:u w:val="single"/>
        </w:rPr>
        <w:t> Section 2.7(a)</w:t>
      </w:r>
      <w:r>
        <w:rPr>
          <w:rFonts w:ascii="Times New Roman" w:hAnsi="Times New Roman"/>
          <w:sz w:val="20"/>
        </w:rPr>
        <w:t> to the contrary, only persons nominated for election as a director to fill any term of a directorship that expires on the date of the annual meeting pursuant to</w:t>
      </w:r>
      <w:r>
        <w:rPr>
          <w:rFonts w:ascii="Times New Roman" w:hAnsi="Times New Roman"/>
          <w:sz w:val="20"/>
          <w:u w:val="single"/>
        </w:rPr>
        <w:t> Section 3.2</w:t>
      </w:r>
      <w:r>
        <w:rPr>
          <w:rFonts w:ascii="Times New Roman" w:hAnsi="Times New Roman"/>
          <w:sz w:val="20"/>
        </w:rPr>
        <w:t xml:space="preserve"> will be considered for election at such meeting. </w:t>
      </w:r>
    </w:p>
    <w:p>
      <w:pPr>
        <w:pStyle w:val="TextBody"/>
        <w:bidi w:val="0"/>
        <w:spacing w:before="120" w:after="0"/>
        <w:jc w:val="left"/>
        <w:rPr>
          <w:rFonts w:ascii="Times New Roman" w:hAnsi="Times New Roman"/>
          <w:sz w:val="20"/>
        </w:rPr>
      </w:pPr>
      <w:r>
        <w:rPr>
          <w:rFonts w:ascii="Times New Roman" w:hAnsi="Times New Roman"/>
          <w:sz w:val="20"/>
        </w:rPr>
        <w:t>(i) In addition to any other applicable requirements, for business (other than nominations) to be properly brought before an annual meeting by a stockholder, such stockholder must have given timely notice thereof in proper written form to the Secretary, even if such matter is already the subject of any notice to the stockholders or public announcement from the Board, and such business must otherwise be a proper matter for stockholder action. Subject to</w:t>
      </w:r>
      <w:r>
        <w:rPr>
          <w:rFonts w:ascii="Times New Roman" w:hAnsi="Times New Roman"/>
          <w:sz w:val="20"/>
          <w:u w:val="single"/>
        </w:rPr>
        <w:t> Section 2.7(a)(iii)</w:t>
      </w:r>
      <w:r>
        <w:rPr>
          <w:rFonts w:ascii="Times New Roman" w:hAnsi="Times New Roman"/>
          <w:sz w:val="20"/>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hAnsi="Times New Roman"/>
          <w:sz w:val="20"/>
          <w:u w:val="single"/>
        </w:rPr>
        <w:t>Section 2.7(a)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and a representation that such stockholder will notify the Corporation in writing of the class and number of such shares owned of record and beneficially as of the record date for the meeting within five (5) business days after the record date for such meeting, (D) a description of all agreements, arrangements or understandings between or among such stockholder and the beneficial owner, if any, on whose behalf the proposal is made and any other person or persons (including their names) acting in concert with any of the foregoing in connection with the proposal of such business by such stockholder, and a representation that such stockholder will notify the Corporation in writing of any such agreement, arrangement or understanding in effect as of the record date for the meeting within five (5) business days after the record date for such meeting, (E) a description of all agreements, arrangements or understandings (including any derivative or short positions, profit interests, options, hedging transactions and borrowed or loaned shares) that has been entered into as of the date of such stockholder’s notice by, or on behalf of, the stockholder or the beneficial owner, if any, on whose behalf the business proposal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(F) any material interest of such stockholder and the beneficial owner, if any, on whose behalf the proposal of such business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other person or persons (including their names) acting in concert with any of the foregoing, (G) the names and addresses of other stockholders (including beneficial and record owners) known by such stockholder to support the proposal, and to the extent known, the class and number of all shares of the Corporation’s capital stock owned beneficially or of record by such other stockholders and (H) a representation that such stockholder is a holder of record of shares of the Corporation entitled to vote at the meeting and such stockholder (or a qualified representative of such stockholder) intends to appear in person or by proxy at the annual meeting to bring such business before the meeting. </w:t>
      </w:r>
    </w:p>
    <w:p>
      <w:pPr>
        <w:pStyle w:val="TextBody"/>
        <w:bidi w:val="0"/>
        <w:spacing w:before="120" w:after="0"/>
        <w:jc w:val="left"/>
        <w:rPr>
          <w:rFonts w:ascii="Times New Roman" w:hAnsi="Times New Roman"/>
          <w:sz w:val="20"/>
        </w:rPr>
      </w:pPr>
      <w:r>
        <w:rPr>
          <w:rFonts w:ascii="Times New Roman" w:hAnsi="Times New Roman"/>
          <w:sz w:val="20"/>
        </w:rPr>
        <w:t>(iii) The foregoing notice requirements of this</w:t>
      </w:r>
      <w:r>
        <w:rPr>
          <w:rFonts w:ascii="Times New Roman" w:hAnsi="Times New Roman"/>
          <w:sz w:val="20"/>
          <w:u w:val="single"/>
        </w:rPr>
        <w:t> Section 2.7(a)</w:t>
      </w:r>
      <w:r>
        <w:rPr>
          <w:rFonts w:ascii="Times New Roman" w:hAnsi="Times New Roman"/>
          <w:sz w:val="20"/>
        </w:rPr>
        <w:t>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hAnsi="Times New Roman"/>
          <w:b/>
          <w:i/>
          <w:sz w:val="20"/>
        </w:rPr>
        <w:t>Exchange Act</w:t>
      </w:r>
      <w:r>
        <w:rPr>
          <w:rFonts w:ascii="Times New Roman" w:hAnsi="Times New Roman"/>
          <w:sz w:val="20"/>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w:t>
      </w:r>
      <w:r>
        <w:rPr>
          <w:rFonts w:ascii="Times New Roman" w:hAnsi="Times New Roman"/>
          <w:sz w:val="20"/>
          <w:u w:val="single"/>
        </w:rPr>
        <w:t> Section 2.7(a)</w:t>
      </w:r>
      <w:r>
        <w:rPr>
          <w:rFonts w:ascii="Times New Roman" w:hAnsi="Times New Roman"/>
          <w:sz w:val="20"/>
        </w:rPr>
        <w:t>, provided, however, that once business has been properly brought before the annual meeting in accordance with such procedures, nothing in this</w:t>
      </w:r>
      <w:r>
        <w:rPr>
          <w:rFonts w:ascii="Times New Roman" w:hAnsi="Times New Roman"/>
          <w:sz w:val="20"/>
          <w:u w:val="single"/>
        </w:rPr>
        <w:t> Section 2.7(a)</w:t>
      </w:r>
      <w:r>
        <w:rPr>
          <w:rFonts w:ascii="Times New Roman" w:hAnsi="Times New Roman"/>
          <w:sz w:val="20"/>
        </w:rPr>
        <w:t> shall be deemed to preclude discussion by any stockholder of any such business. If the Board or the chairman of the annual meeting determines that any stockholder proposal was not made in accordance with the provisions of this</w:t>
      </w:r>
      <w:r>
        <w:rPr>
          <w:rFonts w:ascii="Times New Roman" w:hAnsi="Times New Roman"/>
          <w:sz w:val="20"/>
          <w:u w:val="single"/>
        </w:rPr>
        <w:t> Section 2.7(a)</w:t>
      </w:r>
      <w:r>
        <w:rPr>
          <w:rFonts w:ascii="Times New Roman" w:hAnsi="Times New Roman"/>
          <w:sz w:val="20"/>
        </w:rPr>
        <w:t> or that the information provided in a stockholder’s notice does not satisfy the information requirements of this</w:t>
      </w:r>
      <w:r>
        <w:rPr>
          <w:rFonts w:ascii="Times New Roman" w:hAnsi="Times New Roman"/>
          <w:sz w:val="20"/>
          <w:u w:val="single"/>
        </w:rPr>
        <w:t> Section 2.7(a)</w:t>
      </w:r>
      <w:r>
        <w:rPr>
          <w:rFonts w:ascii="Times New Roman" w:hAnsi="Times New Roman"/>
          <w:sz w:val="20"/>
        </w:rPr>
        <w:t>, such proposal shall not be presented for action at the annual meeting. Notwithstanding the foregoing provisions of this</w:t>
      </w:r>
      <w:r>
        <w:rPr>
          <w:rFonts w:ascii="Times New Roman" w:hAnsi="Times New Roman"/>
          <w:sz w:val="20"/>
          <w:u w:val="single"/>
        </w:rPr>
        <w:t> Section 2.7(a)</w:t>
      </w:r>
      <w:r>
        <w:rPr>
          <w:rFonts w:ascii="Times New Roman" w:hAnsi="Times New Roman"/>
          <w:sz w:val="20"/>
        </w:rPr>
        <w:t xml:space="preserve">,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(iv) In addition to the provisions of this</w:t>
      </w:r>
      <w:r>
        <w:rPr>
          <w:rFonts w:ascii="Times New Roman" w:hAnsi="Times New Roman"/>
          <w:sz w:val="20"/>
          <w:u w:val="single"/>
        </w:rPr>
        <w:t> Section 2.7(a)</w:t>
      </w:r>
      <w:r>
        <w:rPr>
          <w:rFonts w:ascii="Times New Roman" w:hAnsi="Times New Roman"/>
          <w:sz w:val="20"/>
        </w:rPr>
        <w:t>, a stockholder shall also comply with all applicable requirements of the Exchange Act and the rules and regulations thereunder with respect to the matters set forth herein. Nothing in this</w:t>
      </w:r>
      <w:r>
        <w:rPr>
          <w:rFonts w:ascii="Times New Roman" w:hAnsi="Times New Roman"/>
          <w:sz w:val="20"/>
          <w:u w:val="single"/>
        </w:rPr>
        <w:t> Section 2.7(a)</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as determined by the Chairman of the Board or the majority of the Whole Board in its sole discretion as provided for in </w:t>
      </w:r>
      <w:r>
        <w:rPr>
          <w:rFonts w:ascii="Times New Roman" w:hAnsi="Times New Roman"/>
          <w:sz w:val="20"/>
          <w:u w:val="single"/>
        </w:rPr>
        <w:t>Section 2.3</w:t>
      </w:r>
      <w:r>
        <w:rPr>
          <w:rFonts w:ascii="Times New Roman" w:hAnsi="Times New Roman"/>
          <w:sz w:val="20"/>
        </w:rPr>
        <w:t xml:space="preserve">. In addition to the foregoing, nominations of persons for election to the Board may be made at a special meeting of stockholders at which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xml:space="preserve"> has provided that directors are to be elected pursuant to the Corporation’s notice of meeting only pursuant to</w:t>
      </w:r>
      <w:r>
        <w:rPr>
          <w:rFonts w:ascii="Times New Roman" w:hAnsi="Times New Roman"/>
          <w:sz w:val="20"/>
          <w:u w:val="single"/>
        </w:rPr>
        <w:t> Section 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Public Announcement</w:t>
      </w:r>
      <w:r>
        <w:rPr>
          <w:rFonts w:ascii="Times New Roman" w:hAnsi="Times New Roman"/>
          <w:sz w:val="20"/>
        </w:rPr>
        <w:t>. For purposes of these Bylaws, “</w:t>
      </w:r>
      <w:r>
        <w:rPr>
          <w:rFonts w:ascii="Times New Roman" w:hAnsi="Times New Roman"/>
          <w:b/>
          <w:i/>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 Conduct of Meetings</w:t>
      </w:r>
      <w:r>
        <w:rPr>
          <w:rFonts w:ascii="Times New Roman" w:hAnsi="Times New Roman"/>
          <w:sz w:val="20"/>
        </w:rPr>
        <w:t xml:space="preserve">. The chairman of each annual and special meeting of stockholders shall be the Chairman of the Board or, in the absence (or inability or refusal to act) of the Chairman of the Board, a chairman as shall be appointed by a majority of the directors present at the meeting from the majority of the independent directors as determined by the listing standards of the Nasdaq Stock Exchange present at the meeting.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 Consents in Lieu of Meeting</w:t>
      </w:r>
      <w:r>
        <w:rPr>
          <w:rFonts w:ascii="Times New Roman" w:hAnsi="Times New Roman"/>
          <w:sz w:val="20"/>
        </w:rPr>
        <w:t xml:space="preserve">. Any action required or permitted to be taken by the stockholders of the Corporation must be effected by a duly called annual or special meeting of such holders and may not be effected by written consent of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 Powers</w:t>
      </w:r>
      <w:r>
        <w:rPr>
          <w:rFonts w:ascii="Times New Roman" w:hAnsi="Times New Roman"/>
          <w:sz w:val="20"/>
        </w:rPr>
        <w:t xml:space="preserve">.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 Advance Notice for Nomination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as determined by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may be made (i) by or at the direction of the Board or (ii) by any stockholder of the Corporation (x) who is a stockholder of record entitled to vote in the election of directors on the date of the giving of the notice provided for in this</w:t>
      </w:r>
      <w:r>
        <w:rPr>
          <w:rFonts w:ascii="Times New Roman" w:hAnsi="Times New Roman"/>
          <w:sz w:val="20"/>
          <w:u w:val="single"/>
        </w:rPr>
        <w:t> Section 3.2</w:t>
      </w:r>
      <w:r>
        <w:rPr>
          <w:rFonts w:ascii="Times New Roman" w:hAnsi="Times New Roman"/>
          <w:sz w:val="20"/>
        </w:rPr>
        <w:t> and on the record date for the determination of stockholders entitled to vote at such meeting and (y) who complies with the notice procedures set forth in this</w:t>
      </w:r>
      <w:r>
        <w:rPr>
          <w:rFonts w:ascii="Times New Roman" w:hAnsi="Times New Roman"/>
          <w:sz w:val="20"/>
          <w:u w:val="single"/>
        </w:rPr>
        <w:t> Section 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w:t>
      </w:r>
      <w:r>
        <w:rPr>
          <w:rFonts w:ascii="Times New Roman" w:hAnsi="Times New Roman"/>
          <w:sz w:val="20"/>
          <w:u w:val="single"/>
        </w:rPr>
        <w:t> Section 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required by this</w:t>
      </w:r>
      <w:r>
        <w:rPr>
          <w:rFonts w:ascii="Times New Roman" w:hAnsi="Times New Roman"/>
          <w:sz w:val="20"/>
          <w:u w:val="single"/>
        </w:rPr>
        <w:t> Section 3.2</w:t>
      </w:r>
      <w:r>
        <w:rPr>
          <w:rFonts w:ascii="Times New Roman" w:hAnsi="Times New Roman"/>
          <w:sz w:val="20"/>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(i) as to each person whom the stockholder proposes to nominate for election as a director (A) the name, age, business address and residence address of the proposed nominee, (B) the principal occupation or employment of the proposed nominee, (C) the class or series and number of shares of capital stock of the Corporation that are owned beneficially or of record by the proposed nominee,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proposed nominee acknowledging that such person: (x) consents to being named in the proxy statement as a nominee and to serving as a director if elected, (y) intends to serve as a director for the full term for which such person is standing for election and (z) makes the following representations: (1) that the proposed nominee has read and agrees to adhere to the Corporation’s Corporate Governance Guidelines, Code of Business Conduct and Ethics, any other of the Corporation’s policies or guidelines applicable to directors, including with regard to (A) reporting related party transactions for approval pursuant to the Board’s Audit Committee Charter and (B) securities trading, and (2) that the proposed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(3) that the proposed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proposed nominee that would be required to be disclosed in a proxy statement or other filings required to be made in connection with solicitations of proxies for election of directors in an election contest (even if an election contest is not involved) or that is otherwise required to be disclosed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and a representation that such stockholder will notify the Corporation in writing of the class and number of such shares owned of record and beneficially as of the record date for the meeting within five (5) business days after the record date for such meeting, (C) a description of all agreements, arrangements or understandings relating to the nomination to be made by such stockholder among such stockholder, the beneficial owner, if any, on whose behalf the nomination is made, each proposed nominee and any other person or persons (including their names) acting in concert with any of the foregoing, and a representation that such stockholder will notify the Corporation in writing of any such agreement, arrangement or understanding in effect as of the record date for the meeting within five (5) business days after the record date for such meeting, (D) a description of any agreement, arrangement or understanding (including any derivative or short positions, profit interests, options, hedging transactions and borrowed or loaned shares) that has been entered into as of the date of such stockholder’s notice by, or on behalf of, the stockholder or the beneficial owner, if any, on whose behalf the nomination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(E) a representation whether such stockholder intends to deliver a proxy statement and/or form of proxy to holders of at least the percentage of the Corporation’s outstanding capital stock required to approve the nomination and/or otherwise to solicit proxies from stockholders in support of the nomination, (F) the names and addresses of other stockholders (including beneficial and record owners) known by such stockholder to support the nomination, and to the extent known, the class and number of all shares of the Corporation’s capital stock owned beneficially or of record by such other stockholders, (G) a representation that such stockholder is a holder of record of shares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entitled to vote at the meeting and such stockholder (or a qualified representative of such stockholder) intends to appear in person or by proxy at the meeting to nominate the persons named in its notice and (H)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including any relationships, whether of a personal or business nature, with any of the officers or directors of the Corporation or its subsidiaries that such proposed nominee has or is planning to have. </w:t>
      </w:r>
    </w:p>
    <w:p>
      <w:pPr>
        <w:pStyle w:val="TextBody"/>
        <w:bidi w:val="0"/>
        <w:spacing w:before="120" w:after="0"/>
        <w:jc w:val="left"/>
        <w:rPr>
          <w:rFonts w:ascii="Times New Roman" w:hAnsi="Times New Roman"/>
          <w:sz w:val="20"/>
        </w:rPr>
      </w:pPr>
      <w:r>
        <w:rPr>
          <w:rFonts w:ascii="Times New Roman" w:hAnsi="Times New Roman"/>
          <w:sz w:val="20"/>
        </w:rPr>
        <w:t>(e) If a majority of the Board or the chairman of the meeting of stockholders determines that any nomination was not made in accordance with the provisions of this</w:t>
      </w:r>
      <w:r>
        <w:rPr>
          <w:rFonts w:ascii="Times New Roman" w:hAnsi="Times New Roman"/>
          <w:sz w:val="20"/>
          <w:u w:val="single"/>
        </w:rPr>
        <w:t> Section 3.2</w:t>
      </w:r>
      <w:r>
        <w:rPr>
          <w:rFonts w:ascii="Times New Roman" w:hAnsi="Times New Roman"/>
          <w:sz w:val="20"/>
        </w:rPr>
        <w:t>, or that the information provided in a stockholder’s notice does not satisfy the information requirements of this</w:t>
      </w:r>
      <w:r>
        <w:rPr>
          <w:rFonts w:ascii="Times New Roman" w:hAnsi="Times New Roman"/>
          <w:sz w:val="20"/>
          <w:u w:val="single"/>
        </w:rPr>
        <w:t> Section 3.2</w:t>
      </w:r>
      <w:r>
        <w:rPr>
          <w:rFonts w:ascii="Times New Roman" w:hAnsi="Times New Roman"/>
          <w:sz w:val="20"/>
        </w:rPr>
        <w:t>, then such nomination shall not be considered at the meeting in question. Notwithstanding the foregoing provisions of this</w:t>
      </w:r>
      <w:r>
        <w:rPr>
          <w:rFonts w:ascii="Times New Roman" w:hAnsi="Times New Roman"/>
          <w:sz w:val="20"/>
          <w:u w:val="single"/>
        </w:rPr>
        <w:t> Section 3.2</w:t>
      </w:r>
      <w:r>
        <w:rPr>
          <w:rFonts w:ascii="Times New Roman" w:hAnsi="Times New Roman"/>
          <w:sz w:val="20"/>
        </w:rPr>
        <w:t xml:space="preserve">,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(f) In addition to the provisions of this</w:t>
      </w:r>
      <w:r>
        <w:rPr>
          <w:rFonts w:ascii="Times New Roman" w:hAnsi="Times New Roman"/>
          <w:sz w:val="20"/>
          <w:u w:val="single"/>
        </w:rPr>
        <w:t> Section 3.2</w:t>
      </w:r>
      <w:r>
        <w:rPr>
          <w:rFonts w:ascii="Times New Roman" w:hAnsi="Times New Roman"/>
          <w:sz w:val="20"/>
        </w:rPr>
        <w:t>, a stockholder shall also comply with all of the applicable requirements of the Exchange Act and the rules and regulations thereunder with respect to the matters set forth herein. Nothing in this</w:t>
      </w:r>
      <w:r>
        <w:rPr>
          <w:rFonts w:ascii="Times New Roman" w:hAnsi="Times New Roman"/>
          <w:sz w:val="20"/>
          <w:u w:val="single"/>
        </w:rPr>
        <w:t> Section 3.2</w:t>
      </w:r>
      <w:r>
        <w:rPr>
          <w:rFonts w:ascii="Times New Roman" w:hAnsi="Times New Roman"/>
          <w:sz w:val="20"/>
        </w:rPr>
        <w:t xml:space="preserve"> shall be deemed to affect any rights of the holders of Preferred Stock to elect directors pursuant to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 Compensation</w:t>
      </w:r>
      <w:r>
        <w:rPr>
          <w:rFonts w:ascii="Times New Roman" w:hAnsi="Times New Roman"/>
          <w:sz w:val="20"/>
        </w:rPr>
        <w:t xml:space="preserve">. Unless otherwise restricted by the Certificate of Incorporation or these Bylaws, the Board shall have the authority to 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BOARD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 Annual Meetings</w:t>
      </w:r>
      <w:r>
        <w:rPr>
          <w:rFonts w:ascii="Times New Roman" w:hAnsi="Times New Roman"/>
          <w:sz w:val="20"/>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w:t>
      </w:r>
      <w:r>
        <w:rPr>
          <w:rFonts w:ascii="Times New Roman" w:hAnsi="Times New Roman"/>
          <w:sz w:val="20"/>
          <w:u w:val="single"/>
        </w:rPr>
        <w:t> 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 Regular Meetings</w:t>
      </w:r>
      <w:r>
        <w:rPr>
          <w:rFonts w:ascii="Times New Roman" w:hAnsi="Times New Roman"/>
          <w:sz w:val="20"/>
        </w:rPr>
        <w:t xml:space="preserve">. Regularly scheduled, periodic meetings of the Board may be held without notice at such times, dates and places (within or without the State of Delaware)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 Special Meetings</w:t>
      </w:r>
      <w:r>
        <w:rPr>
          <w:rFonts w:ascii="Times New Roman" w:hAnsi="Times New Roman"/>
          <w:sz w:val="20"/>
        </w:rPr>
        <w:t>. Special meetings of the Board (a) may be called by the Chairman of the Board and (b) shall be called by any director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w:t>
      </w:r>
      <w:r>
        <w:rPr>
          <w:rFonts w:ascii="Times New Roman" w:hAnsi="Times New Roman"/>
          <w:sz w:val="20"/>
          <w:u w:val="single"/>
        </w:rPr>
        <w:t> Section 10.3</w:t>
      </w:r>
      <w:r>
        <w:rPr>
          <w:rFonts w:ascii="Times New Roman" w:hAnsi="Times New Roman"/>
          <w:sz w:val="20"/>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w:t>
      </w:r>
      <w:r>
        <w:rPr>
          <w:rFonts w:ascii="Times New Roman" w:hAnsi="Times New Roman"/>
          <w:sz w:val="20"/>
          <w:u w:val="single"/>
        </w:rPr>
        <w:t> Section 10.4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 Quorum; Required Vote</w:t>
      </w:r>
      <w:r>
        <w:rPr>
          <w:rFonts w:ascii="Times New Roman" w:hAnsi="Times New Roman"/>
          <w:sz w:val="20"/>
        </w:rPr>
        <w:t xml:space="preserve">.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 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 Organization</w:t>
      </w:r>
      <w:r>
        <w:rPr>
          <w:rFonts w:ascii="Times New Roman" w:hAnsi="Times New Roman"/>
          <w:sz w:val="20"/>
        </w:rPr>
        <w:t xml:space="preserve">. The chairman of each meeting of the Board shall be the Chairman of the Board or,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COMMITTEES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 Establishment</w:t>
      </w:r>
      <w:r>
        <w:rPr>
          <w:rFonts w:ascii="Times New Roman" w:hAnsi="Times New Roman"/>
          <w:sz w:val="20"/>
        </w:rPr>
        <w:t xml:space="preserve">. The Board may by resolution passed by a majority of the Board designate one or more committees (including special or select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 Available Powers</w:t>
      </w:r>
      <w:r>
        <w:rPr>
          <w:rFonts w:ascii="Times New Roman" w:hAnsi="Times New Roman"/>
          <w:sz w:val="20"/>
        </w:rPr>
        <w:t>. Any committee established pursuant to</w:t>
      </w:r>
      <w:r>
        <w:rPr>
          <w:rFonts w:ascii="Times New Roman" w:hAnsi="Times New Roman"/>
          <w:sz w:val="20"/>
          <w:u w:val="single"/>
        </w:rPr>
        <w:t> Section 5.1</w:t>
      </w:r>
      <w:r>
        <w:rPr>
          <w:rFonts w:ascii="Times New Roman" w:hAnsi="Times New Roman"/>
          <w:sz w:val="20"/>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 Alternate Members</w:t>
      </w:r>
      <w:r>
        <w:rPr>
          <w:rFonts w:ascii="Times New Roman" w:hAnsi="Times New Roman"/>
          <w:sz w:val="20"/>
        </w:rPr>
        <w:t xml:space="preserve">.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 Procedures</w:t>
      </w:r>
      <w:r>
        <w:rPr>
          <w:rFonts w:ascii="Times New Roman" w:hAnsi="Times New Roman"/>
          <w:sz w:val="20"/>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w:t>
      </w:r>
      <w:r>
        <w:rPr>
          <w:rFonts w:ascii="Times New Roman" w:hAnsi="Times New Roman"/>
          <w:sz w:val="20"/>
          <w:u w:val="single"/>
        </w:rPr>
        <w:t> Article III</w:t>
      </w:r>
      <w:r>
        <w:rPr>
          <w:rFonts w:ascii="Times New Roman" w:hAnsi="Times New Roman"/>
          <w:sz w:val="20"/>
        </w:rPr>
        <w:t> and</w:t>
      </w:r>
      <w:r>
        <w:rPr>
          <w:rFonts w:ascii="Times New Roman" w:hAnsi="Times New Roman"/>
          <w:sz w:val="20"/>
          <w:u w:val="single"/>
        </w:rPr>
        <w:t> Article IV</w:t>
      </w:r>
      <w:r>
        <w:rPr>
          <w:rFonts w:ascii="Times New Roman" w:hAnsi="Times New Roman"/>
          <w:sz w:val="20"/>
        </w:rPr>
        <w:t xml:space="preserve">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 Officers</w:t>
      </w:r>
      <w:r>
        <w:rPr>
          <w:rFonts w:ascii="Times New Roman" w:hAnsi="Times New Roman"/>
          <w:sz w:val="20"/>
        </w:rPr>
        <w:t>. The officers of the Corporation elected by the Board shall be a Chairman of the Board, a Chief Executive Officer, a 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w:t>
      </w:r>
      <w:r>
        <w:rPr>
          <w:rFonts w:ascii="Times New Roman" w:hAnsi="Times New Roman"/>
          <w:sz w:val="20"/>
          <w:u w:val="single"/>
        </w:rPr>
        <w:t> Article VI</w:t>
      </w:r>
      <w:r>
        <w:rPr>
          <w:rFonts w:ascii="Times New Roman" w:hAnsi="Times New Roman"/>
          <w:sz w:val="20"/>
        </w:rPr>
        <w:t xml:space="preserve">. Such officers shall also have such powers and duties as from time to time may be conferred by the Board. The Chief Executive Officer or President may also appoint such other officers other than the Chief Financial Officer and the Treasurer, if any, (including without limitation one or more Vice Presidents and Controllers) as may be necessary or desirable for the conduct of the business of the Corporation, so long as such officers would not constitute executive officers under the U.S. securities laws.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Chairman of the Board</w:t>
      </w:r>
      <w:r>
        <w:rPr>
          <w:rFonts w:ascii="Times New Roman" w:hAnsi="Times New Roman"/>
          <w:sz w:val="20"/>
        </w:rPr>
        <w:t xml:space="preserve">. The Chairman of the Board shall be elected by a majority of the Board members and shall preside when present at all meetings of the stockholders and the Board. The Chairman of the Board, which may be an Executive Chairman of the Board, after consultation with the Chief Executive Officer, shall be responsible to provide the focus and general supervision of the acquisition and financing activities of the Corporation and the selection of outside counsel, subject to the affirmative vote of a majority of the Whole Board to the contrary, and shall be responsible for the execution of the policies of the Board with respect to such matters.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shall preside at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not be held by the same person.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Chief Executive Officer</w:t>
      </w:r>
      <w:r>
        <w:rPr>
          <w:rFonts w:ascii="Times New Roman" w:hAnsi="Times New Roman"/>
          <w:sz w:val="20"/>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w:t>
      </w:r>
      <w:r>
        <w:rPr>
          <w:rFonts w:ascii="Times New Roman" w:hAnsi="Times New Roman"/>
          <w:sz w:val="20"/>
          <w:u w:val="single"/>
        </w:rPr>
        <w:t> Section 6.1(a)</w:t>
      </w:r>
      <w:r>
        <w:rPr>
          <w:rFonts w:ascii="Times New Roman" w:hAnsi="Times New Roman"/>
          <w:sz w:val="20"/>
        </w:rPr>
        <w:t xml:space="preserve"> above. The position of Chief Executive Officer and President may be held by the same person.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President</w:t>
      </w:r>
      <w:r>
        <w:rPr>
          <w:rFonts w:ascii="Times New Roman" w:hAnsi="Times New Roman"/>
          <w:sz w:val="20"/>
        </w:rPr>
        <w:t xml:space="preserve">. The President shall make recommendations to the Chief Executive Officer on all operational matters that would normally be reserved for the final executive responsibility of the Chief Executive Officer. The President shall also perform such duties and have such powers as shall be designated by the Board. The position of President and Chief Executive Officer may be held by the same person.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Vice Presidents</w:t>
      </w:r>
      <w:r>
        <w:rPr>
          <w:rFonts w:ascii="Times New Roman" w:hAnsi="Times New Roman"/>
          <w:sz w:val="20"/>
        </w:rPr>
        <w:t xml:space="preserve">.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Secretary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 </w:t>
      </w:r>
    </w:p>
    <w:p>
      <w:pPr>
        <w:pStyle w:val="TextBody"/>
        <w:bidi w:val="0"/>
        <w:spacing w:before="120" w:after="0"/>
        <w:jc w:val="left"/>
        <w:rPr>
          <w:rFonts w:ascii="Times New Roman" w:hAnsi="Times New Roman"/>
          <w:sz w:val="20"/>
        </w:rPr>
      </w:pPr>
      <w:r>
        <w:rPr>
          <w:rFonts w:ascii="Times New Roman" w:hAnsi="Times New Roman"/>
          <w:sz w:val="20"/>
        </w:rPr>
        <w:t xml:space="preserve">(ii)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Assistant Secretaries</w:t>
      </w:r>
      <w:r>
        <w:rPr>
          <w:rFonts w:ascii="Times New Roman" w:hAnsi="Times New Roman"/>
          <w:sz w:val="20"/>
        </w:rPr>
        <w:t xml:space="preserve">. The Assistant Secretary or, if there be more than one, the Assistant Secretaries in the order determined by the Board shall, in the absence (or inability or refusal to act) of the Secretary, perform the duties and have the powers of the Secretary.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Chief Financial Officer</w:t>
      </w:r>
      <w:r>
        <w:rPr>
          <w:rFonts w:ascii="Times New Roman" w:hAnsi="Times New Roman"/>
          <w:sz w:val="20"/>
        </w:rPr>
        <w:t xml:space="preserve">. The Chief Financial Officer shall be elected by two-thirds of the Board members, and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Treasurer</w:t>
      </w:r>
      <w:r>
        <w:rPr>
          <w:rFonts w:ascii="Times New Roman" w:hAnsi="Times New Roman"/>
          <w:sz w:val="20"/>
        </w:rPr>
        <w:t xml:space="preserve">. The Treasurer shall be elected by two-thirds of the Board members, and shall, in the absence (or inability or refusal to act) of the Chief Financial Officer, perform the duties and exercise the powers of the Chief Financial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 Term of Office; Removal; Vacancies</w:t>
      </w:r>
      <w:r>
        <w:rPr>
          <w:rFonts w:ascii="Times New Roman" w:hAnsi="Times New Roman"/>
          <w:sz w:val="20"/>
        </w:rPr>
        <w:t xml:space="preserve">.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 Other Officers</w:t>
      </w:r>
      <w:r>
        <w:rPr>
          <w:rFonts w:ascii="Times New Roman" w:hAnsi="Times New Roman"/>
          <w:sz w:val="20"/>
        </w:rPr>
        <w:t xml:space="preserve">. The Board may delegate the power to appoint such other officers and agents, and may also remove such officers and agents or delegate the power to remove same, as it shall from time to time deem necessary or desirable.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 Multiple Officeholders; Stockholder and Director Officers</w:t>
      </w:r>
      <w:r>
        <w:rPr>
          <w:rFonts w:ascii="Times New Roman" w:hAnsi="Times New Roman"/>
          <w:sz w:val="20"/>
        </w:rPr>
        <w:t xml:space="preserve">. Any number of offices may be held by the same person unless the Certificate of Incorporation or these Bylaws otherwise provide. Officers need not be stockholders or residents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 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 Multiple Classes of Stock</w:t>
      </w:r>
      <w:r>
        <w:rPr>
          <w:rFonts w:ascii="Times New Roman" w:hAnsi="Times New Roman"/>
          <w:sz w:val="20"/>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 Signatures</w:t>
      </w:r>
      <w:r>
        <w:rPr>
          <w:rFonts w:ascii="Times New Roman" w:hAnsi="Times New Roman"/>
          <w:sz w:val="20"/>
        </w:rPr>
        <w:t xml:space="preserve">.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 Consideration and Payment for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 Lost, Destroyed or Wrongfully Taken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 Transfer of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certificated shares, the certificate representing such shares has been surrendered; </w:t>
      </w:r>
    </w:p>
    <w:p>
      <w:pPr>
        <w:pStyle w:val="TextBody"/>
        <w:bidi w:val="0"/>
        <w:spacing w:before="120" w:after="0"/>
        <w:jc w:val="left"/>
        <w:rPr>
          <w:rFonts w:ascii="Times New Roman" w:hAnsi="Times New Roman"/>
          <w:sz w:val="20"/>
        </w:rPr>
      </w:pPr>
      <w:r>
        <w:rPr>
          <w:rFonts w:ascii="Times New Roman" w:hAnsi="Times New Roman"/>
          <w:sz w:val="20"/>
        </w:rPr>
        <w:t xml:space="preserve">(ii)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 </w:t>
      </w:r>
    </w:p>
    <w:p>
      <w:pPr>
        <w:pStyle w:val="TextBody"/>
        <w:bidi w:val="0"/>
        <w:spacing w:before="120" w:after="0"/>
        <w:jc w:val="left"/>
        <w:rPr>
          <w:rFonts w:ascii="Times New Roman" w:hAnsi="Times New Roman"/>
          <w:sz w:val="20"/>
        </w:rPr>
      </w:pPr>
      <w:r>
        <w:rPr>
          <w:rFonts w:ascii="Times New Roman" w:hAnsi="Times New Roman"/>
          <w:sz w:val="20"/>
        </w:rPr>
        <w:t xml:space="preserve">(iii) the Corporation has received a guarantee of signature of the person signing such endorsement or instruction or such other reasonable assurance that the endorsement or instruction is genuine and authorized as the Corporation may request; </w:t>
      </w:r>
    </w:p>
    <w:p>
      <w:pPr>
        <w:pStyle w:val="TextBody"/>
        <w:bidi w:val="0"/>
        <w:spacing w:before="120" w:after="0"/>
        <w:jc w:val="left"/>
        <w:rPr>
          <w:rFonts w:ascii="Times New Roman" w:hAnsi="Times New Roman"/>
          <w:sz w:val="20"/>
        </w:rPr>
      </w:pPr>
      <w:r>
        <w:rPr>
          <w:rFonts w:ascii="Times New Roman" w:hAnsi="Times New Roman"/>
          <w:sz w:val="20"/>
        </w:rPr>
        <w:t>(iv) the transfer does not violate any restriction on transfer imposed by the Corporation that is enforceable in accordance with</w:t>
      </w:r>
      <w:r>
        <w:rPr>
          <w:rFonts w:ascii="Times New Roman" w:hAnsi="Times New Roman"/>
          <w:sz w:val="20"/>
          <w:u w:val="single"/>
        </w:rPr>
        <w:t> Section 7.8(a)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such other conditions for such transfer as shall be provided for under applicable law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 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 Effect of the Corporation’s Restriction on 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7.9. 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 Right to Indemnification</w:t>
      </w:r>
      <w:r>
        <w:rPr>
          <w:rFonts w:ascii="Times New Roman" w:hAnsi="Times New Roman"/>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hAnsi="Times New Roman"/>
          <w:b/>
          <w:i/>
          <w:sz w:val="20"/>
        </w:rPr>
        <w:t>Indemnitee</w:t>
      </w:r>
      <w:r>
        <w:rPr>
          <w:rFonts w:ascii="Times New Roman" w:hAnsi="Times New Roman"/>
          <w:sz w:val="20"/>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w:t>
      </w:r>
      <w:r>
        <w:rPr>
          <w:rFonts w:ascii="Times New Roman" w:hAnsi="Times New Roman"/>
          <w:sz w:val="20"/>
          <w:u w:val="single"/>
        </w:rPr>
        <w:t> Section 8.3</w:t>
      </w:r>
      <w:r>
        <w:rPr>
          <w:rFonts w:ascii="Times New Roman" w:hAnsi="Times New Roman"/>
          <w:sz w:val="20"/>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 Right to Advancement of Expenses</w:t>
      </w:r>
      <w:r>
        <w:rPr>
          <w:rFonts w:ascii="Times New Roman" w:hAnsi="Times New Roman"/>
          <w:sz w:val="20"/>
        </w:rPr>
        <w:t>. In addition to the right to indemnification conferred in</w:t>
      </w:r>
      <w:r>
        <w:rPr>
          <w:rFonts w:ascii="Times New Roman" w:hAnsi="Times New Roman"/>
          <w:sz w:val="20"/>
          <w:u w:val="single"/>
        </w:rPr>
        <w:t> Section 8.1</w:t>
      </w:r>
      <w:r>
        <w:rPr>
          <w:rFonts w:ascii="Times New Roman" w:hAnsi="Times New Roman"/>
          <w:sz w:val="20"/>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hAnsi="Times New Roman"/>
          <w:b/>
          <w:i/>
          <w:sz w:val="20"/>
        </w:rPr>
        <w:t>advancement of expenses</w:t>
      </w:r>
      <w:r>
        <w:rPr>
          <w:rFonts w:ascii="Times New Roman" w:hAnsi="Times New Roman"/>
          <w:sz w:val="20"/>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hAnsi="Times New Roman"/>
          <w:b/>
          <w:i/>
          <w:sz w:val="20"/>
        </w:rPr>
        <w:t>undertaking</w:t>
      </w:r>
      <w:r>
        <w:rPr>
          <w:rFonts w:ascii="Times New Roman" w:hAnsi="Times New Roman"/>
          <w:sz w:val="20"/>
        </w:rPr>
        <w:t>”), by or on behalf of such Indemnitee, to repay all amounts so advanced if it shall ultimately be determined that such Indemnitee is not entitled to be indemnified under this</w:t>
      </w:r>
      <w:r>
        <w:rPr>
          <w:rFonts w:ascii="Times New Roman" w:hAnsi="Times New Roman"/>
          <w:sz w:val="20"/>
          <w:u w:val="single"/>
        </w:rPr>
        <w:t> Article VIII</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 Right of Indemnitee to Bring Suit</w:t>
      </w:r>
      <w:r>
        <w:rPr>
          <w:rFonts w:ascii="Times New Roman" w:hAnsi="Times New Roman"/>
          <w:sz w:val="20"/>
        </w:rPr>
        <w:t>. If a claim under</w:t>
      </w:r>
      <w:r>
        <w:rPr>
          <w:rFonts w:ascii="Times New Roman" w:hAnsi="Times New Roman"/>
          <w:sz w:val="20"/>
          <w:u w:val="single"/>
        </w:rPr>
        <w:t> Section 8.1</w:t>
      </w:r>
      <w:r>
        <w:rPr>
          <w:rFonts w:ascii="Times New Roman" w:hAnsi="Times New Roman"/>
          <w:sz w:val="20"/>
        </w:rPr>
        <w:t> or</w:t>
      </w:r>
      <w:r>
        <w:rPr>
          <w:rFonts w:ascii="Times New Roman" w:hAnsi="Times New Roman"/>
          <w:sz w:val="20"/>
          <w:u w:val="single"/>
        </w:rPr>
        <w:t> Section 8.2</w:t>
      </w:r>
      <w:r>
        <w:rPr>
          <w:rFonts w:ascii="Times New Roman" w:hAnsi="Times New Roman"/>
          <w:sz w:val="20"/>
        </w:rPr>
        <w:t>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hAnsi="Times New Roman"/>
          <w:b/>
          <w:i/>
          <w:sz w:val="20"/>
        </w:rPr>
        <w:t>final adjudication</w:t>
      </w:r>
      <w:r>
        <w:rPr>
          <w:rFonts w:ascii="Times New Roman" w:hAnsi="Times New Roman"/>
          <w:sz w:val="20"/>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w:t>
      </w:r>
      <w:r>
        <w:rPr>
          <w:rFonts w:ascii="Times New Roman" w:hAnsi="Times New Roman"/>
          <w:sz w:val="20"/>
          <w:u w:val="single"/>
        </w:rPr>
        <w:t> Article VIII</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 Non-Exclusivity of Rights</w:t>
      </w:r>
      <w:r>
        <w:rPr>
          <w:rFonts w:ascii="Times New Roman" w:hAnsi="Times New Roman"/>
          <w:sz w:val="20"/>
        </w:rPr>
        <w:t>. The rights provided to any Indemnitee pursuant to this</w:t>
      </w:r>
      <w:r>
        <w:rPr>
          <w:rFonts w:ascii="Times New Roman" w:hAnsi="Times New Roman"/>
          <w:sz w:val="20"/>
          <w:u w:val="single"/>
        </w:rPr>
        <w:t> Article VIII</w:t>
      </w:r>
      <w:r>
        <w:rPr>
          <w:rFonts w:ascii="Times New Roman" w:hAnsi="Times New Roman"/>
          <w:sz w:val="20"/>
        </w:rPr>
        <w:t xml:space="preserve"> shall not be exclusive of any other right, which such Indemnitee may have or hereafter acquire under applicable law, the Certificate of Incorporation, these Bylaws, an agreement, a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 Insurance</w:t>
      </w:r>
      <w:r>
        <w:rPr>
          <w:rFonts w:ascii="Times New Roman" w:hAnsi="Times New Roman"/>
          <w:sz w:val="20"/>
        </w:rPr>
        <w:t xml:space="preserve">.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 Indemnification of Other Persons</w:t>
      </w:r>
      <w:r>
        <w:rPr>
          <w:rFonts w:ascii="Times New Roman" w:hAnsi="Times New Roman"/>
          <w:sz w:val="20"/>
        </w:rPr>
        <w:t>. This</w:t>
      </w:r>
      <w:r>
        <w:rPr>
          <w:rFonts w:ascii="Times New Roman" w:hAnsi="Times New Roman"/>
          <w:sz w:val="20"/>
          <w:u w:val="single"/>
        </w:rPr>
        <w:t> Article VIII</w:t>
      </w:r>
      <w:r>
        <w:rPr>
          <w:rFonts w:ascii="Times New Roman" w:hAnsi="Times New Roman"/>
          <w:sz w:val="20"/>
        </w:rPr>
        <w:t>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w:t>
      </w:r>
      <w:r>
        <w:rPr>
          <w:rFonts w:ascii="Times New Roman" w:hAnsi="Times New Roman"/>
          <w:sz w:val="20"/>
          <w:u w:val="single"/>
        </w:rPr>
        <w:t> Article VIII</w:t>
      </w:r>
      <w:r>
        <w:rPr>
          <w:rFonts w:ascii="Times New Roman" w:hAnsi="Times New Roman"/>
          <w:sz w:val="20"/>
        </w:rPr>
        <w:t> with respect to the indemnification and advancement of expenses of Indemnitees under this</w:t>
      </w:r>
      <w:r>
        <w:rPr>
          <w:rFonts w:ascii="Times New Roman" w:hAnsi="Times New Roman"/>
          <w:sz w:val="20"/>
          <w:u w:val="single"/>
        </w:rPr>
        <w:t> 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8.7. Amendments</w:t>
      </w:r>
      <w:r>
        <w:rPr>
          <w:rFonts w:ascii="Times New Roman" w:hAnsi="Times New Roman"/>
          <w:sz w:val="20"/>
        </w:rPr>
        <w:t>. Any repeal or amendment of this</w:t>
      </w:r>
      <w:r>
        <w:rPr>
          <w:rFonts w:ascii="Times New Roman" w:hAnsi="Times New Roman"/>
          <w:sz w:val="20"/>
          <w:u w:val="single"/>
        </w:rPr>
        <w:t> Article VIII</w:t>
      </w:r>
      <w:r>
        <w:rPr>
          <w:rFonts w:ascii="Times New Roman" w:hAnsi="Times New Roman"/>
          <w:sz w:val="20"/>
        </w:rPr>
        <w:t> by the Board or the stockholders of the Corporation or by changes in applicable law, or the adoption of any other provision of these Bylaws inconsistent with this</w:t>
      </w:r>
      <w:r>
        <w:rPr>
          <w:rFonts w:ascii="Times New Roman" w:hAnsi="Times New Roman"/>
          <w:sz w:val="20"/>
          <w:u w:val="single"/>
        </w:rPr>
        <w:t> Article VIII</w:t>
      </w:r>
      <w:r>
        <w:rPr>
          <w:rFonts w:ascii="Times New Roman" w:hAnsi="Times New Roman"/>
          <w:sz w:val="20"/>
        </w:rPr>
        <w:t>,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w:t>
      </w:r>
      <w:r>
        <w:rPr>
          <w:rFonts w:ascii="Times New Roman" w:hAnsi="Times New Roman"/>
          <w:sz w:val="20"/>
          <w:u w:val="single"/>
        </w:rPr>
        <w:t> Article VIII</w:t>
      </w:r>
      <w:r>
        <w:rPr>
          <w:rFonts w:ascii="Times New Roman" w:hAnsi="Times New Roman"/>
          <w:sz w:val="20"/>
        </w:rPr>
        <w:t xml:space="preserve"> shall require the affirmative vote of the stockholders holding at least 66.7% of the voting power of all outstanding shares of capital stock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8.8. Certain Definitions</w:t>
      </w:r>
      <w:r>
        <w:rPr>
          <w:rFonts w:ascii="Times New Roman" w:hAnsi="Times New Roman"/>
          <w:sz w:val="20"/>
        </w:rPr>
        <w:t>. For purposes of this</w:t>
      </w:r>
      <w:r>
        <w:rPr>
          <w:rFonts w:ascii="Times New Roman" w:hAnsi="Times New Roman"/>
          <w:sz w:val="20"/>
          <w:u w:val="single"/>
        </w:rPr>
        <w:t> Article VIII</w:t>
      </w:r>
      <w:r>
        <w:rPr>
          <w:rFonts w:ascii="Times New Roman" w:hAnsi="Times New Roman"/>
          <w:sz w:val="20"/>
        </w:rPr>
        <w:t>, (a) references to “</w:t>
      </w:r>
      <w:r>
        <w:rPr>
          <w:rFonts w:ascii="Times New Roman" w:hAnsi="Times New Roman"/>
          <w:b/>
          <w:i/>
          <w:sz w:val="20"/>
        </w:rPr>
        <w:t>other enterprise</w:t>
      </w:r>
      <w:r>
        <w:rPr>
          <w:rFonts w:ascii="Times New Roman" w:hAnsi="Times New Roman"/>
          <w:sz w:val="20"/>
        </w:rPr>
        <w:t>” shall include any employee benefit plan; (b) references to “</w:t>
      </w:r>
      <w:r>
        <w:rPr>
          <w:rFonts w:ascii="Times New Roman" w:hAnsi="Times New Roman"/>
          <w:b/>
          <w:i/>
          <w:sz w:val="20"/>
        </w:rPr>
        <w:t>fines</w:t>
      </w:r>
      <w:r>
        <w:rPr>
          <w:rFonts w:ascii="Times New Roman" w:hAnsi="Times New Roman"/>
          <w:sz w:val="20"/>
        </w:rPr>
        <w:t>” shall include any excise taxes assessed on a person with respect to an employee benefit plan; (c) references to “</w:t>
      </w:r>
      <w:r>
        <w:rPr>
          <w:rFonts w:ascii="Times New Roman" w:hAnsi="Times New Roman"/>
          <w:b/>
          <w:i/>
          <w:sz w:val="20"/>
        </w:rPr>
        <w:t>serving at the request of the Corporation</w:t>
      </w:r>
      <w:r>
        <w:rPr>
          <w:rFonts w:ascii="Times New Roman" w:hAnsi="Times New Roman"/>
          <w:sz w:val="20"/>
        </w:rPr>
        <w:t xml:space="preserve">”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8.9. Contract Rights</w:t>
      </w:r>
      <w:r>
        <w:rPr>
          <w:rFonts w:ascii="Times New Roman" w:hAnsi="Times New Roman"/>
          <w:sz w:val="20"/>
        </w:rPr>
        <w:t>. The rights provided to Indemnitees pursuant to this</w:t>
      </w:r>
      <w:r>
        <w:rPr>
          <w:rFonts w:ascii="Times New Roman" w:hAnsi="Times New Roman"/>
          <w:sz w:val="20"/>
          <w:u w:val="single"/>
        </w:rPr>
        <w:t> Article VIII</w:t>
      </w:r>
      <w:r>
        <w:rPr>
          <w:rFonts w:ascii="Times New Roman" w:hAnsi="Times New Roman"/>
          <w:sz w:val="20"/>
        </w:rPr>
        <w:t xml:space="preserve"> shall be contract rights and such rights shall continue as to an Indemnitee who has ceased to be a director, officer, agent or employee and shall inure to the benefit of the Indemnitee’s heirs, executors and administrators.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8.10. Severability</w:t>
      </w:r>
      <w:r>
        <w:rPr>
          <w:rFonts w:ascii="Times New Roman" w:hAnsi="Times New Roman"/>
          <w:sz w:val="20"/>
        </w:rPr>
        <w:t>. If any provision or provisions of this</w:t>
      </w:r>
      <w:r>
        <w:rPr>
          <w:rFonts w:ascii="Times New Roman" w:hAnsi="Times New Roman"/>
          <w:sz w:val="20"/>
          <w:u w:val="single"/>
        </w:rPr>
        <w:t> Article VIII</w:t>
      </w:r>
      <w:r>
        <w:rPr>
          <w:rFonts w:ascii="Times New Roman" w:hAnsi="Times New Roman"/>
          <w:sz w:val="20"/>
        </w:rPr>
        <w:t> shall be held to be invalid, illegal or unenforceable for any reason whatsoever: (a) the validity, legality and enforceability of the remaining provisions of this</w:t>
      </w:r>
      <w:r>
        <w:rPr>
          <w:rFonts w:ascii="Times New Roman" w:hAnsi="Times New Roman"/>
          <w:sz w:val="20"/>
          <w:u w:val="single"/>
        </w:rPr>
        <w:t> Article VIII</w:t>
      </w:r>
      <w:r>
        <w:rPr>
          <w:rFonts w:ascii="Times New Roman" w:hAnsi="Times New Roman"/>
          <w:sz w:val="20"/>
        </w:rPr>
        <w:t> shall not in any way be affected or impaired thereby; and (b) to the fullest extent possible, the provisions of this</w:t>
      </w:r>
      <w:r>
        <w:rPr>
          <w:rFonts w:ascii="Times New Roman" w:hAnsi="Times New Roman"/>
          <w:sz w:val="20"/>
          <w:u w:val="single"/>
        </w:rPr>
        <w:t> Article VIII</w:t>
      </w:r>
      <w:r>
        <w:rPr>
          <w:rFonts w:ascii="Times New Roman" w:hAnsi="Times New Roman"/>
          <w:sz w:val="20"/>
        </w:rPr>
        <w:t xml:space="preserve"> (including, without limitation, each such portion of this </w:t>
      </w:r>
      <w:r>
        <w:rPr>
          <w:rFonts w:ascii="Times New Roman" w:hAnsi="Times New Roman"/>
          <w:sz w:val="20"/>
          <w:u w:val="single"/>
        </w:rPr>
        <w:t>Article VIII</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 Lock-Up </w:t>
      </w:r>
    </w:p>
    <w:p>
      <w:pPr>
        <w:pStyle w:val="TextBody"/>
        <w:bidi w:val="0"/>
        <w:spacing w:before="120" w:after="0"/>
        <w:jc w:val="left"/>
        <w:rPr>
          <w:rFonts w:ascii="Times New Roman" w:hAnsi="Times New Roman"/>
          <w:sz w:val="20"/>
        </w:rPr>
      </w:pPr>
      <w:r>
        <w:rPr>
          <w:rFonts w:ascii="Times New Roman" w:hAnsi="Times New Roman"/>
          <w:sz w:val="20"/>
        </w:rPr>
        <w:t xml:space="preserve">(a) Each Lock-Up Holder may not effect any Transfer of any Lock-Up Securities Beneficially Owned or otherwise held by such Lock-Up Holder during the Lock-Up Period (as defined below); provided, that such prohibition shall not apply to Transfers permitted pursuant to </w:t>
      </w:r>
      <w:r>
        <w:rPr>
          <w:rFonts w:ascii="Times New Roman" w:hAnsi="Times New Roman"/>
          <w:sz w:val="20"/>
          <w:u w:val="single"/>
        </w:rPr>
        <w:t>Section 9.2</w:t>
      </w:r>
      <w:r>
        <w:rPr>
          <w:rFonts w:ascii="Times New Roman" w:hAnsi="Times New Roman"/>
          <w:sz w:val="20"/>
        </w:rPr>
        <w:t>. The “</w:t>
      </w:r>
      <w:r>
        <w:rPr>
          <w:rFonts w:ascii="Times New Roman" w:hAnsi="Times New Roman"/>
          <w:b/>
          <w:i/>
          <w:sz w:val="20"/>
        </w:rPr>
        <w:t>Lock-Up Period</w:t>
      </w:r>
      <w:r>
        <w:rPr>
          <w:rFonts w:ascii="Times New Roman" w:hAnsi="Times New Roman"/>
          <w:sz w:val="20"/>
        </w:rPr>
        <w:t>” shall be the period commencing on the Closing Date and ending on the date that is the earlier to occur of: (a) six (6) months following the Closing Date; (b) subsequent to the Closing, the date on which the reported closing price of one share of Common Stock quoted on The Nasdaq Stock Market LLC, the New York Stock Exchange or the NYSE American (or the exchange on which the shares of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the Corporation completes a liquidation, merger, stock exchange or other similar transaction that results in all of the Corporation’s stockholders having the right to exchange their Securities for cash, securities or other property. “</w:t>
      </w:r>
      <w:r>
        <w:rPr>
          <w:rFonts w:ascii="Times New Roman" w:hAnsi="Times New Roman"/>
          <w:b/>
          <w:i/>
          <w:sz w:val="20"/>
        </w:rPr>
        <w:t>Trading Day</w:t>
      </w:r>
      <w:r>
        <w:rPr>
          <w:rFonts w:ascii="Times New Roman" w:hAnsi="Times New Roman"/>
          <w:sz w:val="20"/>
        </w:rPr>
        <w:t xml:space="preserve">” means a day on which shares of Common Stock are actually traded on the principal securities exchange or securities market on which shares of Common Stock are then traded; provided, however, that if the Common Stock is not so listed or admitted for trading, Trading Day means a business say. For the avoidance of any doubt, each Lock-Up Holder shall retain all of his, her or its rights as a stockholder of the Corporation during the Lock-Up Period, including the right to vote, and to receive any dividends and distributions in respect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(b) Where used in this Article IX, the following terms in all of their tenses, cases and correlative forms shall have the meanings assigned to them in this </w:t>
      </w:r>
      <w:r>
        <w:rPr>
          <w:rFonts w:ascii="Times New Roman" w:hAnsi="Times New Roman"/>
          <w:sz w:val="20"/>
          <w:u w:val="single"/>
        </w:rPr>
        <w:t>Section 9.1(b)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of a specified person means a Person who, directly or indirectly through one or more intermediaries, controls, is controlled by, or is under common control with, such specified Person (</w:t>
      </w:r>
      <w:r>
        <w:rPr>
          <w:rFonts w:ascii="Times New Roman" w:hAnsi="Times New Roman"/>
          <w:i/>
          <w:sz w:val="20"/>
        </w:rPr>
        <w:t>provided</w:t>
      </w:r>
      <w:r>
        <w:rPr>
          <w:rFonts w:ascii="Times New Roman" w:hAnsi="Times New Roman"/>
          <w:sz w:val="20"/>
        </w:rPr>
        <w:t xml:space="preserve"> that if a Lock-Up Holder is a venture capital, private equity or angel fund, no portfolio company of such Lock-Up Holder will be deemed an Affiliate of such Lock-Up Holder). </w:t>
      </w:r>
    </w:p>
    <w:p>
      <w:pPr>
        <w:pStyle w:val="TextBody"/>
        <w:bidi w:val="0"/>
        <w:spacing w:before="240" w:after="0"/>
        <w:jc w:val="left"/>
        <w:rPr/>
      </w:pPr>
      <w:r>
        <w:rPr/>
        <w:t>“</w:t>
      </w:r>
      <w:r>
        <w:rPr>
          <w:rFonts w:ascii="Times New Roman" w:hAnsi="Times New Roman"/>
          <w:b/>
          <w:i/>
          <w:sz w:val="20"/>
        </w:rPr>
        <w:t>Beneficially Own</w:t>
      </w:r>
      <w:r>
        <w:rPr>
          <w:rFonts w:ascii="Times New Roman" w:hAnsi="Times New Roman"/>
          <w:sz w:val="20"/>
        </w:rPr>
        <w:t xml:space="preserve">” means, with regard to any securities, having “beneficial ownership” of such securities for purposes of Rule 13d-3 or 13d-5 under the Exchange Act. Similar terms such as “Beneficial Ownership” and “Beneficial Owner” have the corresponding meanings. </w:t>
      </w:r>
    </w:p>
    <w:p>
      <w:pPr>
        <w:pStyle w:val="TextBody"/>
        <w:bidi w:val="0"/>
        <w:spacing w:before="240" w:after="0"/>
        <w:jc w:val="left"/>
        <w:rPr/>
      </w:pPr>
      <w:r>
        <w:rPr/>
        <w:t>“</w:t>
      </w:r>
      <w:r>
        <w:rPr>
          <w:rFonts w:ascii="Times New Roman" w:hAnsi="Times New Roman"/>
          <w:b/>
          <w:i/>
          <w:sz w:val="20"/>
        </w:rPr>
        <w:t>Business Combination Agreement</w:t>
      </w:r>
      <w:r>
        <w:rPr>
          <w:rFonts w:ascii="Times New Roman" w:hAnsi="Times New Roman"/>
          <w:sz w:val="20"/>
        </w:rPr>
        <w:t xml:space="preserve">” means that certain Business Combination Agreement by and between GigCapital7 Corp. (a predecessor to the Corporation), MMR Merger Sub, Inc. a Delaware corporation, and Hadron Energy, dated as of September 27, 2025, as amended from time to time.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shall mean the date that the closing of the Merger contemplated by the Business Combination Agreement. </w:t>
      </w:r>
    </w:p>
    <w:p>
      <w:pPr>
        <w:pStyle w:val="TextBody"/>
        <w:bidi w:val="0"/>
        <w:spacing w:before="240" w:after="0"/>
        <w:jc w:val="left"/>
        <w:rPr/>
      </w:pPr>
      <w:r>
        <w:rPr/>
        <w:t>“</w:t>
      </w:r>
      <w:r>
        <w:rPr>
          <w:rFonts w:ascii="Times New Roman" w:hAnsi="Times New Roman"/>
          <w:b/>
          <w:i/>
          <w:sz w:val="20"/>
        </w:rPr>
        <w:t>Family Member</w:t>
      </w:r>
      <w:r>
        <w:rPr>
          <w:rFonts w:ascii="Times New Roman" w:hAnsi="Times New Roman"/>
          <w:sz w:val="20"/>
        </w:rPr>
        <w:t xml:space="preserve">” means with respect to any individual, a spouse, lineal descendant (whether natural or adopted) or spouse of a lineal descendant of such individual or any trust created for the benefit of such individual or of which any of the foregoing is a beneficiary.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par value $0.0001 per share. </w:t>
      </w:r>
    </w:p>
    <w:p>
      <w:pPr>
        <w:pStyle w:val="TextBody"/>
        <w:bidi w:val="0"/>
        <w:spacing w:before="240" w:after="0"/>
        <w:jc w:val="left"/>
        <w:rPr/>
      </w:pPr>
      <w:r>
        <w:rPr/>
        <w:t>“</w:t>
      </w:r>
      <w:r>
        <w:rPr>
          <w:rFonts w:ascii="Times New Roman" w:hAnsi="Times New Roman"/>
          <w:b/>
          <w:i/>
          <w:sz w:val="20"/>
        </w:rPr>
        <w:t>Hadron Energy</w:t>
      </w:r>
      <w:r>
        <w:rPr>
          <w:rFonts w:ascii="Times New Roman" w:hAnsi="Times New Roman"/>
          <w:sz w:val="20"/>
        </w:rPr>
        <w:t xml:space="preserve">” means Hadron Energy, Inc., a Delaware corporation, prior to its Merger into MMR Merger Sub,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Lock-Up Holder</w:t>
      </w:r>
      <w:r>
        <w:rPr>
          <w:rFonts w:ascii="Times New Roman" w:hAnsi="Times New Roman"/>
          <w:sz w:val="20"/>
        </w:rPr>
        <w:t>” means a holder of shares of Common Stock issued (i) as consideration pursuant to the merger of MMR Merger Sub, Inc., a Delaware corporation, with and into Hadron Energy (the “</w:t>
      </w:r>
      <w:r>
        <w:rPr>
          <w:rFonts w:ascii="Times New Roman" w:hAnsi="Times New Roman"/>
          <w:b/>
          <w:i/>
          <w:sz w:val="20"/>
        </w:rPr>
        <w:t>Merger</w:t>
      </w:r>
      <w:r>
        <w:rPr>
          <w:rFonts w:ascii="Times New Roman" w:hAnsi="Times New Roman"/>
          <w:sz w:val="20"/>
        </w:rPr>
        <w:t xml:space="preserve">”), and (ii) to directors, officers and employees of the Corporation upon the settlement or exercise of stock options or other equity awards outstanding as of immediately following the closing of the Merger in respect of awards of Hadron Energy outstanding immediately prior to the closing of the Merger. </w:t>
      </w:r>
    </w:p>
    <w:p>
      <w:pPr>
        <w:pStyle w:val="TextBody"/>
        <w:bidi w:val="0"/>
        <w:spacing w:before="240" w:after="0"/>
        <w:jc w:val="left"/>
        <w:rPr/>
      </w:pPr>
      <w:r>
        <w:rPr/>
        <w:t>“</w:t>
      </w:r>
      <w:r>
        <w:rPr>
          <w:rFonts w:ascii="Times New Roman" w:hAnsi="Times New Roman"/>
          <w:b/>
          <w:i/>
          <w:sz w:val="20"/>
        </w:rPr>
        <w:t>Lock-Up</w:t>
      </w:r>
      <w:r>
        <w:rPr>
          <w:rFonts w:ascii="Times New Roman" w:hAnsi="Times New Roman"/>
          <w:sz w:val="20"/>
        </w:rPr>
        <w:t> </w:t>
      </w:r>
      <w:r>
        <w:rPr>
          <w:rFonts w:ascii="Times New Roman" w:hAnsi="Times New Roman"/>
          <w:b/>
          <w:i/>
          <w:sz w:val="20"/>
        </w:rPr>
        <w:t>Securities</w:t>
      </w:r>
      <w:r>
        <w:rPr>
          <w:rFonts w:ascii="Times New Roman" w:hAnsi="Times New Roman"/>
          <w:sz w:val="20"/>
        </w:rPr>
        <w:t xml:space="preserve">” means any Securities Beneficially Owned by a Lock-Up Holder as of immediately following the Closing Date, other than (i) any security received pursuant to an incentive plan adopted by the Corporation on or after the Closing Date, or (ii) any Securities acquired in open market transactions.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Corporation in connection with the repurchase of shares of Common Stock issued pursuant to equity awards granted under a stock incentive plan or other equity award plan.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corporation, partnership, limited partnership, limited liability company, syndicate, person (including a “person” as defined in Section 13(d)(3) of the Exchange Act), trust, association or entity or government, political subdivision, agency or instrumentality of a government.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means (a) any shares of capital stock of the Corporation, (b) any shares of capital stock issued or issuable upon the exercise of any warrant or other right to acquire shares of such capital stock and (c) any equity securities of the Corporation that may be issued or distributed or be issuable with respect to the securities referred to in clauses (a) or (b) by way of conversion, dividend, stock split or other distribution, merger, consolidation, exchange, recapitalization or reclassification or similar transaction.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xml:space="preserve">” means, excluding entry into the Business Combination Agreement and the consummation of the transactions contemplated thereby, including entry into any lock-up agreements therewith,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9.2 Permitted Transfers. </w:t>
      </w:r>
      <w:r>
        <w:rPr>
          <w:rFonts w:ascii="Times New Roman" w:hAnsi="Times New Roman"/>
          <w:sz w:val="20"/>
        </w:rPr>
        <w:t xml:space="preserve">Notwithstanding anything to the contrary contained in this Article IX, during the Lock-Up Period, each Lock-Up Holder may Transfer, without the consent of the Corporation, any of such Lock-Up Holder’s Lock-Up Securities (a) to any of such Lock-Up Holder’s Permitted Transferees, upon written notice to the Corporation or (b) pursuant to any liquidation, merger, stock exchange or other similar transaction which results in all of the Corporation’s stockholders having the right to exchange their Securities for cash, securities or other property; provided, that in connection with any Transfer of such Lock-Up Securities, the restrictions and obligations contained in </w:t>
      </w:r>
      <w:r>
        <w:rPr>
          <w:rFonts w:ascii="Times New Roman" w:hAnsi="Times New Roman"/>
          <w:sz w:val="20"/>
          <w:u w:val="single"/>
        </w:rPr>
        <w:t>Section 9.1</w:t>
      </w:r>
      <w:r>
        <w:rPr>
          <w:rFonts w:ascii="Times New Roman" w:hAnsi="Times New Roman"/>
          <w:sz w:val="20"/>
        </w:rPr>
        <w:t xml:space="preserve"> and this </w:t>
      </w:r>
      <w:r>
        <w:rPr>
          <w:rFonts w:ascii="Times New Roman" w:hAnsi="Times New Roman"/>
          <w:sz w:val="20"/>
          <w:u w:val="single"/>
        </w:rPr>
        <w:t>Section 9.2</w:t>
      </w:r>
      <w:r>
        <w:rPr>
          <w:rFonts w:ascii="Times New Roman" w:hAnsi="Times New Roman"/>
          <w:sz w:val="20"/>
        </w:rPr>
        <w:t xml:space="preserve"> will continue to apply to such Lock-Up Securities after any Transfer of such Lock-Up Securities. Notwithstanding the foregoing provisions of this Article IX, a Lock-Up Holder may enter into a written plan meeting the requirements of Rule 10b5-1 under the Exchange Act relating to the sale of Lock-Up Holder’s Lock-Up Securities, provided that (A) the securities subject to such plan may not be sold until after the expiration of the Lock-Up Period and (B) the Corporation shall not be required to effect, and the Lock-Up Holder shall not effect or cause to be effected, any public filing, report or other public announcement regarding the establishment of the trading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48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 Place of Meetings</w:t>
      </w:r>
      <w:r>
        <w:rPr>
          <w:rFonts w:ascii="Times New Roman" w:hAnsi="Times New Roman"/>
          <w:sz w:val="20"/>
        </w:rPr>
        <w:t>.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w:t>
      </w:r>
      <w:r>
        <w:rPr>
          <w:rFonts w:ascii="Times New Roman" w:hAnsi="Times New Roman"/>
          <w:sz w:val="20"/>
          <w:u w:val="single"/>
        </w:rPr>
        <w:t> Section 10.5</w:t>
      </w:r>
      <w:r>
        <w:rPr>
          <w:rFonts w:ascii="Times New Roman" w:hAnsi="Times New Roman"/>
          <w:sz w:val="20"/>
        </w:rPr>
        <w:t xml:space="preserve"> hereof, then such meeting shall not be held at any place.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 Fixing Record 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w:t>
      </w:r>
      <w:r>
        <w:rPr>
          <w:rFonts w:ascii="Times New Roman" w:hAnsi="Times New Roman"/>
          <w:sz w:val="20"/>
          <w:u w:val="single"/>
        </w:rPr>
        <w:t> Section 10.2(a)</w:t>
      </w:r>
      <w:r>
        <w:rPr>
          <w:rFonts w:ascii="Times New Roman" w:hAnsi="Times New Roman"/>
          <w:sz w:val="20"/>
        </w:rPr>
        <w:t xml:space="preserve"> at the adjourned meeting. </w:t>
      </w:r>
    </w:p>
    <w:p>
      <w:pPr>
        <w:pStyle w:val="TextBody"/>
        <w:bidi w:val="0"/>
        <w:spacing w:before="12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 Means of Giving 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Directors</w:t>
      </w:r>
      <w:r>
        <w:rPr>
          <w:rFonts w:ascii="Times New Roman" w:hAnsi="Times New Roman"/>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to Stockholders</w:t>
      </w:r>
      <w:r>
        <w:rPr>
          <w:rFonts w:ascii="Times New Roman" w:hAnsi="Times New Roman"/>
          <w:sz w:val="20"/>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Electronic Transmission</w:t>
      </w:r>
      <w:r>
        <w:rPr>
          <w:rFonts w:ascii="Times New Roman" w:hAnsi="Times New Roman"/>
          <w:sz w:val="20"/>
        </w:rPr>
        <w:t>. “</w:t>
      </w:r>
      <w:r>
        <w:rPr>
          <w:rFonts w:ascii="Times New Roman" w:hAnsi="Times New Roman"/>
          <w:b/>
          <w:i/>
          <w:sz w:val="20"/>
        </w:rPr>
        <w:t>Electronic transmission</w:t>
      </w:r>
      <w:r>
        <w:rPr>
          <w:rFonts w:ascii="Times New Roman" w:hAnsi="Times New Roman"/>
          <w:sz w:val="20"/>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Exceptions to Notice Requirements</w:t>
      </w:r>
      <w:r>
        <w:rPr>
          <w:rFonts w:ascii="Times New Roman" w:hAnsi="Times New Roman"/>
          <w:sz w:val="20"/>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 Waiver of Notice</w:t>
      </w:r>
      <w:r>
        <w:rPr>
          <w:rFonts w:ascii="Times New Roman" w:hAnsi="Times New Roman"/>
          <w:sz w:val="20"/>
        </w:rPr>
        <w:t xml:space="preserve">.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10.5. Meeting Attendance via Remote Communication Equipment.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Stockholder Meetings</w:t>
      </w:r>
      <w:r>
        <w:rPr>
          <w:rFonts w:ascii="Times New Roman" w:hAnsi="Times New Roman"/>
          <w:sz w:val="20"/>
        </w:rPr>
        <w:t xml:space="preserve">. If authorized by the Board in its sole discretion, and subject to such guidelines and procedures as the Board may adopt, stockholders entitled to vote at such meeting and proxy holders not physically present at a meeting of stockholders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(i) participate in a meeting of stockholders; and </w:t>
      </w:r>
    </w:p>
    <w:p>
      <w:pPr>
        <w:pStyle w:val="TextBody"/>
        <w:bidi w:val="0"/>
        <w:spacing w:before="120" w:after="0"/>
        <w:jc w:val="left"/>
        <w:rPr>
          <w:rFonts w:ascii="Times New Roman" w:hAnsi="Times New Roman"/>
          <w:sz w:val="20"/>
        </w:rPr>
      </w:pPr>
      <w:r>
        <w:rPr>
          <w:rFonts w:ascii="Times New Roman" w:hAnsi="Times New Roman"/>
          <w:sz w:val="20"/>
        </w:rPr>
        <w:t xml:space="preserve">(ii)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Board Meetings</w:t>
      </w:r>
      <w:r>
        <w:rPr>
          <w:rFonts w:ascii="Times New Roman" w:hAnsi="Times New Roman"/>
          <w:sz w:val="20"/>
        </w:rPr>
        <w:t xml:space="preserve">.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 Dividends</w:t>
      </w:r>
      <w:r>
        <w:rPr>
          <w:rFonts w:ascii="Times New Roman" w:hAnsi="Times New Roman"/>
          <w:sz w:val="20"/>
        </w:rPr>
        <w:t xml:space="preserve">. The Board may from time to time declare, and the Corporation may pay, dividends (payable in cash, property or shares of the Corporation’s capital stock) on the Corporation’s outstanding shares of capital stock, subject to applicable law and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 Reserves</w:t>
      </w:r>
      <w:r>
        <w:rPr>
          <w:rFonts w:ascii="Times New Roman" w:hAnsi="Times New Roman"/>
          <w:sz w:val="20"/>
        </w:rPr>
        <w:t xml:space="preserve">. The Board may set apart out of the funds of the Corporation available for dividends a reserve or reserves for any proper purpose and may abolish any such 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 Contracts and Negotiable Instruments</w:t>
      </w:r>
      <w:r>
        <w:rPr>
          <w:rFonts w:ascii="Times New Roman" w:hAnsi="Times New Roman"/>
          <w:sz w:val="20"/>
        </w:rPr>
        <w:t xml:space="preserve">.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 Fiscal Year</w:t>
      </w:r>
      <w:r>
        <w:rPr>
          <w:rFonts w:ascii="Times New Roman" w:hAnsi="Times New Roman"/>
          <w:sz w:val="20"/>
        </w:rPr>
        <w:t xml:space="preserve">. The fiscal year of the Corporation shall be fixed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 Seal</w:t>
      </w:r>
      <w:r>
        <w:rPr>
          <w:rFonts w:ascii="Times New Roman" w:hAnsi="Times New Roman"/>
          <w:sz w:val="20"/>
        </w:rPr>
        <w:t xml:space="preserve">. The Board may adopt a corporate seal, which shall be in such form as the Board determines. The seal may be used by causing it or a facsimile thereof to be impressed, affixed or otherwise reproduced.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 Books and Records</w:t>
      </w:r>
      <w:r>
        <w:rPr>
          <w:rFonts w:ascii="Times New Roman" w:hAnsi="Times New Roman"/>
          <w:sz w:val="20"/>
        </w:rPr>
        <w:t xml:space="preserve">. The books and records of the Corporation may be kept within or outside the State of Delaware at such place or places as may from time to time be designated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 Resignation</w:t>
      </w:r>
      <w:r>
        <w:rPr>
          <w:rFonts w:ascii="Times New Roman" w:hAnsi="Times New Roman"/>
          <w:sz w:val="20"/>
        </w:rPr>
        <w:t xml:space="preserve">. Any director, committee member or officer may resign by giving notice thereof in writing or by electronic transmission to the Chairman of the Board (directors), or the Chief Executive Officer (officers).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 provided, however, that the resignation of any officer should be reviewed and accepted by the Board before it becomes effective.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 Surety Bonds</w:t>
      </w:r>
      <w:r>
        <w:rPr>
          <w:rFonts w:ascii="Times New Roman" w:hAnsi="Times New Roman"/>
          <w:sz w:val="20"/>
        </w:rPr>
        <w:t xml:space="preserve">.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10.14. Securities of Other Corporations</w:t>
      </w:r>
      <w:r>
        <w:rPr>
          <w:rFonts w:ascii="Times New Roman" w:hAnsi="Times New Roman"/>
          <w:sz w:val="20"/>
        </w:rPr>
        <w:t xml:space="preserve">.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10.15. Amendments</w:t>
      </w:r>
      <w:r>
        <w:rPr>
          <w:rFonts w:ascii="Times New Roman" w:hAnsi="Times New Roman"/>
          <w:sz w:val="20"/>
        </w:rPr>
        <w:t xml:space="preserve">. The Board shall have the power to adopt, amend, alter or repeal the Bylaws. The affirmative vote of a majority of 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hAnsi="Times New Roman"/>
          <w:sz w:val="20"/>
          <w:u w:val="single"/>
        </w:rPr>
        <w:t>Section 8.7</w:t>
      </w:r>
      <w:r>
        <w:rPr>
          <w:rFonts w:ascii="Times New Roman" w:hAnsi="Times New Roman"/>
          <w:sz w:val="20"/>
        </w:rPr>
        <w:t xml:space="preserve">) of all outstanding shares of capital stock of the Corporation entitled to vote generally in the election of directors, voting together as a single class, shall be required for the stockholders to adopt, amend, alter or repeal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right"/>
        <w:rPr>
          <w:rFonts w:ascii="Times New Roman" w:hAnsi="Times New Roman"/>
          <w:b/>
          <w:sz w:val="20"/>
        </w:rPr>
      </w:pPr>
      <w:bookmarkStart w:id="6" w:name="d26249dex101.htm"/>
      <w:bookmarkStart w:id="7" w:name="ksd26249dex101"/>
      <w:bookmarkEnd w:id="6"/>
      <w:bookmarkEnd w:id="7"/>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dated May [__], 2026, is made between Hadron Energy, Inc., a Delaware corporation (the “</w:t>
      </w:r>
      <w:r>
        <w:rPr>
          <w:rFonts w:ascii="Times New Roman" w:hAnsi="Times New Roman"/>
          <w:b/>
          <w:i/>
          <w:sz w:val="20"/>
        </w:rPr>
        <w:t>Company</w:t>
      </w:r>
      <w:r>
        <w:rPr>
          <w:rFonts w:ascii="Times New Roman" w:hAnsi="Times New Roman"/>
          <w:sz w:val="20"/>
        </w:rPr>
        <w:t>”), and [______________] (the “</w:t>
      </w:r>
      <w:r>
        <w:rPr>
          <w:rFonts w:ascii="Times New Roman" w:hAnsi="Times New Roman"/>
          <w:b/>
          <w:i/>
          <w:sz w:val="20"/>
        </w:rPr>
        <w:t>Indemnitee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desires to attract and retain the services of talented and experienced individuals, such as Indemnitee, to serve as directors and officers of the Company and its subsidiaries and wishes to indemnify its directors and officers to the maximum extent permitted by law;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Indemnitee recognize that corporate litigation in general has subjected directors and officers to expensive litigation risks;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Section 145 (“</w:t>
      </w:r>
      <w:r>
        <w:rPr>
          <w:rFonts w:ascii="Times New Roman" w:hAnsi="Times New Roman"/>
          <w:b/>
          <w:i/>
          <w:sz w:val="20"/>
        </w:rPr>
        <w:t>Section</w:t>
      </w:r>
      <w:r>
        <w:rPr>
          <w:rFonts w:ascii="Times New Roman" w:hAnsi="Times New Roman"/>
          <w:sz w:val="20"/>
        </w:rPr>
        <w:t> </w:t>
      </w:r>
      <w:r>
        <w:rPr>
          <w:rFonts w:ascii="Times New Roman" w:hAnsi="Times New Roman"/>
          <w:b/>
          <w:i/>
          <w:sz w:val="20"/>
        </w:rPr>
        <w:t>145</w:t>
      </w:r>
      <w:r>
        <w:rPr>
          <w:rFonts w:ascii="Times New Roman" w:hAnsi="Times New Roman"/>
          <w:sz w:val="20"/>
        </w:rPr>
        <w:t>”) of the General Corporation Law of the State of Delaware, as amended (“</w:t>
      </w:r>
      <w:r>
        <w:rPr>
          <w:rFonts w:ascii="Times New Roman" w:hAnsi="Times New Roman"/>
          <w:b/>
          <w:i/>
          <w:sz w:val="20"/>
        </w:rPr>
        <w:t>DGCL</w:t>
      </w:r>
      <w:r>
        <w:rPr>
          <w:rFonts w:ascii="Times New Roman" w:hAnsi="Times New Roman"/>
          <w:sz w:val="20"/>
        </w:rPr>
        <w:t xml:space="preserve">”), under which the Company is organized, empowers the Company to indemnify its directors and officers by agreement and to indemnify persons who serve, at the request of the Company, as the directors and officers of other corporations or enterprises, and expressly provides that the indemnification provided by Section 145 is not exclusive;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Section 145(g) of the DGCL allows for the purchase of director and officer liability insurance (“D&amp;O Insurance”) by the Company, which in theory can cover asserted liabilities without regard to whether they are indemnifiable by the Company or not;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individuals considering service or presently serving expect to be extended market terms of indemnification commensurate with their position, and that entities such as Company will endeavor to maintain appropriate D&amp;O Insurance;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induce Indemnitee to serve or continue to serve as a director or officer of the Company and/or one or more subsidiaries of the Company, or otherwise serve the Company in an indemnifiable capacity as set forth below, the Company and Indemnitee enter into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made herein and other good and valuable consideration, the receipt and sufficiency of which are mutually acknowledged, Indemnitee and the Company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in this Agreement: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Agent</w:t>
      </w:r>
      <w:r>
        <w:rPr>
          <w:rFonts w:ascii="Times New Roman" w:hAnsi="Times New Roman"/>
          <w:sz w:val="20"/>
        </w:rPr>
        <w:t xml:space="preserve">” means any person who is or was a director, officer, employee or other agent of the Company or a direct or indirect subsidiary or parent of the Company; or is or was serving at the request of, for the convenience of, or to represent the interests of the Company, or a direct or indirect subsidiary or parent of the Company, as a director, officer, employee, manager, partner, fiduciary, or agent of another foreign or domestic corporation, limited liability company, employee benefit plan, nonprofit entity, partnership, joint venture, trust or other enterprise; or was a director, officer, employee, manager, partner, fiduciary, or agent of a foreign or domestic entity which was a predecessor of the Company or a direct or indirect parent or subsidiary of the Company, or was a director, officer, employee, manager, partner, fiduciary, or agent of another enterprise at the request of, for the convenience of, or to represent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interests of such predecessor entity. For the purposes of this Agreement, (i) “director, officer, employee, manager, partner, fiduciary, or agent” and “foreign or domestic corporation, limited liability company, employee benefit plan, nonprofit entity, partnership, joint venture, trust or other enterprise” shall be deemed to include foreign equivalents of such positions and such entities, and (ii) “direct or indirect subsidiary or parent” means any degree of ownership or control.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xml:space="preserve">” shall be deemed to have occurred if (i) any “person,” as such term is used in Sections 13(d) and 14(d) of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a majority of the total voting power represented by the Company’s then outstanding voting securities, (ii) during any period of two (2) consecutive years, individuals who at the beginning of such period constituted the Board, together with any new directors whose election by the Board or nomination for election by the Company’s stockholders was approved by a vote of at least two-thirds (2/3) of the directors then still in office who either were directors at the beginning of the period or whose election or nomination was previously so approved, cease for any reason to constitute a majority of the Board, (iii) the stockholders of the Company approve a merger or consolidation or a sale of all or substantially all of the Company’s assets with or to another entity, other than a merger, consolidation or asset sale that would result in the holders of the Company’s outstanding voting securities immediately prior thereto continuing to represent (either by remaining outstanding or by being converted into voting securities of the surviving entity) at least a majority of the total voting power represented by the voting securities of the Company or such surviving or successor entity outstanding immediately thereafter, or (iv) the stockholders of the Company approve a plan of complete liquidation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ERISA</w:t>
      </w:r>
      <w:r>
        <w:rPr>
          <w:rFonts w:ascii="Times New Roman" w:hAnsi="Times New Roman"/>
          <w:sz w:val="20"/>
        </w:rPr>
        <w:t xml:space="preserve">” means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Securities Exchange Act of 1934, as amended.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shall include all out-of-pocket costs of any type or nature whatsoever (including, without limitation, all attorneys’ fees and related costs and disbursements), actually and reasonably incurred by Indemnitee in connection with either the investigation, defense, or appeal of a Proceeding, or establishing or enforcing a right to indemnification under this Agreement, or Section 145 or otherwise; </w:t>
      </w:r>
      <w:r>
        <w:rPr>
          <w:rFonts w:ascii="Times New Roman" w:hAnsi="Times New Roman"/>
          <w:i/>
          <w:sz w:val="20"/>
        </w:rPr>
        <w:t>provided, however</w:t>
      </w:r>
      <w:r>
        <w:rPr>
          <w:rFonts w:ascii="Times New Roman" w:hAnsi="Times New Roman"/>
          <w:sz w:val="20"/>
        </w:rPr>
        <w:t>, that “</w:t>
      </w:r>
      <w:r>
        <w:rPr>
          <w:rFonts w:ascii="Times New Roman" w:hAnsi="Times New Roman"/>
          <w:b/>
          <w:i/>
          <w:sz w:val="20"/>
        </w:rPr>
        <w:t>Expenses</w:t>
      </w:r>
      <w:r>
        <w:rPr>
          <w:rFonts w:ascii="Times New Roman" w:hAnsi="Times New Roman"/>
          <w:sz w:val="20"/>
        </w:rPr>
        <w:t xml:space="preserve">” shall not include any judgments, fines, ERISA excise taxes or penalties, or amounts paid in settlement of a Proceeding.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Final Adjudication</w:t>
      </w:r>
      <w:r>
        <w:rPr>
          <w:rFonts w:ascii="Times New Roman" w:hAnsi="Times New Roman"/>
          <w:sz w:val="20"/>
        </w:rPr>
        <w:t>” and “</w:t>
      </w:r>
      <w:r>
        <w:rPr>
          <w:rFonts w:ascii="Times New Roman" w:hAnsi="Times New Roman"/>
          <w:b/>
          <w:i/>
          <w:sz w:val="20"/>
        </w:rPr>
        <w:t>finally adjudged”</w:t>
      </w:r>
      <w:r>
        <w:rPr>
          <w:rFonts w:ascii="Times New Roman" w:hAnsi="Times New Roman"/>
          <w:sz w:val="20"/>
        </w:rPr>
        <w:t xml:space="preserve"> means a final judgment or other binding determination from which there is no further procedural recourse, including without limitation following exhaustion or expiration of all available appeals.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Independent Counsel</w:t>
      </w:r>
      <w:r>
        <w:rPr>
          <w:rFonts w:ascii="Times New Roman" w:hAnsi="Times New Roman"/>
          <w:sz w:val="20"/>
        </w:rPr>
        <w:t xml:space="preserve">” means a law firm, or a partner (or, if applicable, member) of such a law firm, that is experienced in relevant matters of corporation law and neither currently is, nor in the past five years has been, retained to represent: (i) the Company or Indemnitee in any matter material to either such party or (ii) any other party to or witness in the proceeding giving rise to a claim for indemnification hereunder; </w:t>
      </w:r>
      <w:r>
        <w:rPr>
          <w:rFonts w:ascii="Times New Roman" w:hAnsi="Times New Roman"/>
          <w:i/>
          <w:sz w:val="20"/>
        </w:rPr>
        <w:t>provided however,</w:t>
      </w:r>
      <w:r>
        <w:rPr>
          <w:rFonts w:ascii="Times New Roman" w:hAnsi="Times New Roman"/>
          <w:sz w:val="20"/>
        </w:rPr>
        <w:t xml:space="preserve"> that “Independent Counsel” shall not include any person who, under the applicable standards of professional conduct then prevailing, would have a conflict of interest in representing either the Company or Indemnitee in an action to determine Indemnitee’s rights under this Agreement. Where required by this Agreement, Independent Counsel shall be retained at the Company’s sole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Proceeding</w:t>
      </w:r>
      <w:r>
        <w:rPr>
          <w:rFonts w:ascii="Times New Roman" w:hAnsi="Times New Roman"/>
          <w:sz w:val="20"/>
        </w:rPr>
        <w:t xml:space="preserve">” means any threatened, pending, or completed action, claim, demand, discovery request, subpoena, hearing, suit, arbitration, alternate dispute resolution mechanism, investigation, administrative hearing, or any other proceeding whether formal or informal, civil, criminal, administrative, or investigative, including any such investigation or proceeding instituted by or on behalf of the Company or its Board of Directors, including any appeal of the foregoing, in which Indemnitee is or reasonably may be involved as a party or target, that is associated with Indemnitee’s being an Agent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Agreement to Serve</w:t>
      </w:r>
      <w:r>
        <w:rPr>
          <w:rFonts w:ascii="Times New Roman" w:hAnsi="Times New Roman"/>
          <w:sz w:val="20"/>
        </w:rPr>
        <w:t xml:space="preserve">. Indemnitee agrees to serve and/or continue to serve as an Agent of the Company, at its will (or under separate agreement, if such agreement exists), in the capacity Indemnitee currently serves as an Agent of the Company, or in such additional Agent capacities as Indemnitee may agree in the future to serve, so long as Indemnitee is duly appointed or elected and qualified until such time as Indemnitee tenders his or her resignation in writing; </w:t>
      </w:r>
      <w:r>
        <w:rPr>
          <w:rFonts w:ascii="Times New Roman" w:hAnsi="Times New Roman"/>
          <w:i/>
          <w:sz w:val="20"/>
        </w:rPr>
        <w:t>provided, however</w:t>
      </w:r>
      <w:r>
        <w:rPr>
          <w:rFonts w:ascii="Times New Roman" w:hAnsi="Times New Roman"/>
          <w:sz w:val="20"/>
        </w:rPr>
        <w:t xml:space="preserve">, that nothing contained in this Agreement is intended to create any right to continued employment or other service by Indemnitee.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Liability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Maintenance of D&amp;O Insurance</w:t>
      </w:r>
      <w:r>
        <w:rPr>
          <w:rFonts w:ascii="Times New Roman" w:hAnsi="Times New Roman"/>
          <w:sz w:val="20"/>
        </w:rPr>
        <w:t xml:space="preserve">. The Company covenants and agrees that, so long as Indemnitee shall continue to serve as an Agent of the Company and thereafter so long as Indemnitee shall be subject to any possible Proceeding by reason of the fact that Indemnitee was an Agent of the Company, the Company, subject to </w:t>
      </w:r>
      <w:r>
        <w:rPr>
          <w:rFonts w:ascii="Times New Roman" w:hAnsi="Times New Roman"/>
          <w:sz w:val="20"/>
          <w:u w:val="single"/>
        </w:rPr>
        <w:t>Section 3(c),</w:t>
      </w:r>
      <w:r>
        <w:rPr>
          <w:rFonts w:ascii="Times New Roman" w:hAnsi="Times New Roman"/>
          <w:sz w:val="20"/>
        </w:rPr>
        <w:t xml:space="preserve"> shall promptly obtain and maintain in full force and effect D&amp;O Insurance in reasonable amounts from established and reputable insurers of a minimum A.M. Best rating of A-VII, and as more fully described below. In the event of a Change in Control, the Company shall, as set forth in </w:t>
      </w:r>
      <w:r>
        <w:rPr>
          <w:rFonts w:ascii="Times New Roman" w:hAnsi="Times New Roman"/>
          <w:sz w:val="20"/>
          <w:u w:val="single"/>
        </w:rPr>
        <w:t>Section 3(c)</w:t>
      </w:r>
      <w:r>
        <w:rPr>
          <w:rFonts w:ascii="Times New Roman" w:hAnsi="Times New Roman"/>
          <w:sz w:val="20"/>
        </w:rPr>
        <w:t xml:space="preserve">, either: (i) maintain such D&amp;O Insurance for six (6) years; or (ii) purchase a six (6) year tail for such D&amp;O Insurance.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Rights and Benefits</w:t>
      </w:r>
      <w:r>
        <w:rPr>
          <w:rFonts w:ascii="Times New Roman" w:hAnsi="Times New Roman"/>
          <w:sz w:val="20"/>
        </w:rPr>
        <w:t xml:space="preserve">. In all policies of D&amp;O Insurance, Indemnitee shall qualify as an insured in such a manner as to provide Indemnitee the same rights and benefits as are accorded to the most favorably insured of the Company’s Agents of the same standing as Indemnitee.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Limitation on Required Maintenance of D&amp;O Insurance</w:t>
      </w:r>
      <w:r>
        <w:rPr>
          <w:rFonts w:ascii="Times New Roman" w:hAnsi="Times New Roman"/>
          <w:sz w:val="20"/>
        </w:rPr>
        <w:t xml:space="preserve">. Notwithstanding the foregoing, the Company shall have no obligation to obtain or maintain D&amp;O Insurance at all, or of any type, terms, or amount, if the Company determines in good faith and after using commercially reasonable efforts that: such insurance is not reasonably available; the premium costs for such insurance are disproportionate to the amount of coverage provided; the coverage provided by such insurance is limited so as to provide an insufficient or unreasonable benefit; Indemnitee is covered by similar insurance maintained by a parent, subsidiary, or affiliate of the Company; or the Company is to be acquired and a tail policy of reasonable terms and duration can be purchased for pre-closing acts or omissions by Indemnitee.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Mandatory Indemnification</w:t>
      </w:r>
      <w:r>
        <w:rPr>
          <w:rFonts w:ascii="Times New Roman" w:hAnsi="Times New Roman"/>
          <w:sz w:val="20"/>
        </w:rPr>
        <w:t xml:space="preserve">. Subject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Third Party Actions</w:t>
      </w:r>
      <w:r>
        <w:rPr>
          <w:rFonts w:ascii="Times New Roman" w:hAnsi="Times New Roman"/>
          <w:sz w:val="20"/>
        </w:rPr>
        <w:t xml:space="preserve">. If Indemnitee is a person who was or is a party or is threatened to be made a party to any Proceeding (other than an action by or in the right of the Company) by reason of the fact that Indemnitee is or was an Agent of the Company, or by reason of anything done or not done by Indemnitee in any such capacity, the Company shall indemnify Indemnitee against all Expenses and liabilities of any type whatsoever (including, but not limited to, judgments, fines, ERISA excise taxes and penalties, and amounts paid in settlement) actually and reasonably incurred by Indemnitee in connection with the investigation, defense, settlement or appeal of such Proceeding; </w:t>
      </w:r>
      <w:r>
        <w:rPr>
          <w:rFonts w:ascii="Times New Roman" w:hAnsi="Times New Roman"/>
          <w:i/>
          <w:sz w:val="20"/>
        </w:rPr>
        <w:t>provided</w:t>
      </w:r>
      <w:r>
        <w:rPr>
          <w:rFonts w:ascii="Times New Roman" w:hAnsi="Times New Roman"/>
          <w:sz w:val="20"/>
        </w:rPr>
        <w:t xml:space="preserve"> that Indemnitee acted in good faith and in a manner Indemnitee reasonably believed to be in or not opposed to the best interests of the Company, and, with respect to any criminal action or Proceeding, had no reasonable cause to believe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Actions By or In the Right Of the Company</w:t>
      </w:r>
      <w:r>
        <w:rPr>
          <w:rFonts w:ascii="Times New Roman" w:hAnsi="Times New Roman"/>
          <w:sz w:val="20"/>
        </w:rPr>
        <w:t xml:space="preserve">. If Indemnitee is a person who was or is a party or is threatened to be made a party to any Proceeding by or in the right of the Company by reason of the fact that Indemnitee is or was an Agent of the Company, or by reason of anything done or not done by Indemnitee in any such capacity, the Company shall indemnify Indemnitee against all Expenses actually and reasonably incurred by Indemnitee in connection with the investigation, defense, settlement or appeal of such Proceeding; </w:t>
      </w:r>
      <w:r>
        <w:rPr>
          <w:rFonts w:ascii="Times New Roman" w:hAnsi="Times New Roman"/>
          <w:i/>
          <w:sz w:val="20"/>
        </w:rPr>
        <w:t>provided</w:t>
      </w:r>
      <w:r>
        <w:rPr>
          <w:rFonts w:ascii="Times New Roman" w:hAnsi="Times New Roman"/>
          <w:sz w:val="20"/>
        </w:rPr>
        <w:t xml:space="preserve"> that Indemnitee acted in good faith and in a manner Indemnitee reasonably believed to be in or not opposed to the best interests of the Company; except that no indemnification under this </w:t>
      </w:r>
      <w:r>
        <w:rPr>
          <w:rFonts w:ascii="Times New Roman" w:hAnsi="Times New Roman"/>
          <w:sz w:val="20"/>
          <w:u w:val="single"/>
        </w:rPr>
        <w:t>Section 4(b)</w:t>
      </w:r>
      <w:r>
        <w:rPr>
          <w:rFonts w:ascii="Times New Roman" w:hAnsi="Times New Roman"/>
          <w:sz w:val="20"/>
        </w:rPr>
        <w:t xml:space="preserve"> shall be made in respect to any claim, issue or matter as to which Indemnitee shall have been finally adjudged to be liable to the Company by a court of competent jurisdiction that the Indemnitee is liable to the Company, unless and only to the extent that the Delaware Court of Chancery shall determine upon application that, despite the adjudication of liability but in view of all the circumstances of the case, Indemnitee is fairly and reasonably entitled to indemnity for such amounts which the Delaware Court of Chancery shall deem proper.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Actions where Indemnitee is Deceased</w:t>
      </w:r>
      <w:r>
        <w:rPr>
          <w:rFonts w:ascii="Times New Roman" w:hAnsi="Times New Roman"/>
          <w:sz w:val="20"/>
        </w:rPr>
        <w:t xml:space="preserve">. If Indemnitee is a person who was or is a party or is threatened to be made a party to any Proceeding by reason of the fact that Indemnitee is or was an Agent of the Company, or by reason of anything done or not done by Indemnitee in any such capacity, and if, prior to, during the pendency of or after completion of such Proceeding Indemnitee is deceased, the Company shall indemnify Indemnitee’s heirs, executors and administrators against all Expenses and liabilities of any type whatsoever to the extent Indemnitee would have been entitled to indemnification pursuant to this Agreement were Indemnitee still alive.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Certain Terminations</w:t>
      </w:r>
      <w:r>
        <w:rPr>
          <w:rFonts w:ascii="Times New Roman" w:hAnsi="Times New Roman"/>
          <w:sz w:val="20"/>
        </w:rPr>
        <w:t xml:space="preserve">. The termination of any Proceeding or of any claim, issue, or matter therein by judgment, order, settlement, or conviction, or upon a plea of </w:t>
      </w:r>
      <w:r>
        <w:rPr>
          <w:rFonts w:ascii="Times New Roman" w:hAnsi="Times New Roman"/>
          <w:i/>
          <w:sz w:val="20"/>
        </w:rPr>
        <w:t>nolo contendere</w:t>
      </w:r>
      <w:r>
        <w:rPr>
          <w:rFonts w:ascii="Times New Roman" w:hAnsi="Times New Roman"/>
          <w:sz w:val="20"/>
        </w:rPr>
        <w:t xml:space="preserve"> or its equivalent, shall not (except as otherwise expressly provided in this Agreement) of itself create a presumption that Indemnitee did not act in good faith and in a manner which Indemnitee reasonably believed to be in or not opposed to the best interests of the Company or, with respect to any criminal action or Proceeding, that Indemnitee had reasonable cause to believe that Indemnitee’s conduct was unlawful.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Limitations</w:t>
      </w:r>
      <w:r>
        <w:rPr>
          <w:rFonts w:ascii="Times New Roman" w:hAnsi="Times New Roman"/>
          <w:sz w:val="20"/>
        </w:rPr>
        <w:t xml:space="preserve">. Notwithstanding the foregoing provisions of </w:t>
      </w:r>
      <w:r>
        <w:rPr>
          <w:rFonts w:ascii="Times New Roman" w:hAnsi="Times New Roman"/>
          <w:sz w:val="20"/>
          <w:u w:val="single"/>
        </w:rPr>
        <w:t>Sections 4(a)</w:t>
      </w:r>
      <w:r>
        <w:rPr>
          <w:rFonts w:ascii="Times New Roman" w:hAnsi="Times New Roman"/>
          <w:sz w:val="20"/>
        </w:rPr>
        <w:t xml:space="preserve">, </w:t>
      </w:r>
      <w:r>
        <w:rPr>
          <w:rFonts w:ascii="Times New Roman" w:hAnsi="Times New Roman"/>
          <w:sz w:val="20"/>
          <w:u w:val="single"/>
        </w:rPr>
        <w:t>4(b)</w:t>
      </w:r>
      <w:r>
        <w:rPr>
          <w:rFonts w:ascii="Times New Roman" w:hAnsi="Times New Roman"/>
          <w:sz w:val="20"/>
        </w:rPr>
        <w:t xml:space="preserve">, </w:t>
      </w:r>
      <w:r>
        <w:rPr>
          <w:rFonts w:ascii="Times New Roman" w:hAnsi="Times New Roman"/>
          <w:sz w:val="20"/>
          <w:u w:val="single"/>
        </w:rPr>
        <w:t>4(c)</w:t>
      </w:r>
      <w:r>
        <w:rPr>
          <w:rFonts w:ascii="Times New Roman" w:hAnsi="Times New Roman"/>
          <w:sz w:val="20"/>
        </w:rPr>
        <w:t xml:space="preserve"> and </w:t>
      </w:r>
      <w:r>
        <w:rPr>
          <w:rFonts w:ascii="Times New Roman" w:hAnsi="Times New Roman"/>
          <w:sz w:val="20"/>
          <w:u w:val="single"/>
        </w:rPr>
        <w:t>4(d)</w:t>
      </w:r>
      <w:r>
        <w:rPr>
          <w:rFonts w:ascii="Times New Roman" w:hAnsi="Times New Roman"/>
          <w:sz w:val="20"/>
        </w:rPr>
        <w:t xml:space="preserve">, but subject to the exception set forth in </w:t>
      </w:r>
      <w:r>
        <w:rPr>
          <w:rFonts w:ascii="Times New Roman" w:hAnsi="Times New Roman"/>
          <w:sz w:val="20"/>
          <w:u w:val="single"/>
        </w:rPr>
        <w:t>Section 13</w:t>
      </w:r>
      <w:r>
        <w:rPr>
          <w:rFonts w:ascii="Times New Roman" w:hAnsi="Times New Roman"/>
          <w:sz w:val="20"/>
        </w:rPr>
        <w:t xml:space="preserve"> which shall control, the Company shall not be obligated to indemnify the Indemnitee for Expenses or liabilities of any type whatsoever for which payment (and the Company’s indemnification obligations under this Agreement shall be reduced by such payment) is actually made to or on behalf of Indemnitee, by the Company or otherwise, under a corporate insurance policy, or under a valid and enforceable indemnity clause, right, by-law, or agreement; and, in the event the Company has previously made a payment to Indemnitee for an Expense or liability of any type whatsoever for which payment is actually made to or on behalf of the Indemnitee from any such source, Indemnitee shall return to the Company the amounts subsequently received by the Indemnitee that source.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Witness</w:t>
      </w:r>
      <w:r>
        <w:rPr>
          <w:rFonts w:ascii="Times New Roman" w:hAnsi="Times New Roman"/>
          <w:sz w:val="20"/>
        </w:rPr>
        <w:t xml:space="preserve">. In the event that Indemnitee is not a party or threatened to be made a party to a Proceeding, but is subpoenaed (or given a written request to be interviewed by or provide documents or information to a government authority of any jurisdiction) in such a Proceeding by reason of the fact that the Indemnitee is or was an Agent of the Company, or by reason of anything witnessed or allegedly witnessed by the Indemnitee in that capacity, the Company shall indemnify the Indemnitee against all actually and reasonably incurred out of pocket costs (including without limitation legal fees) incurred by the Indemnitee in responding to such subpoena or written request for an interview. As a condition to this right, Indemnitee must provide notice of such subpoena or request to the Company within 14 days, otherwise the Company’s obligation to pay such costs shall only attach for costs incurred from the date of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Indemnification for Expenses in a Proceeding in Which Indemnitee is Wholly or Partly Successful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Successful Defense</w:t>
      </w:r>
      <w:r>
        <w:rPr>
          <w:rFonts w:ascii="Times New Roman" w:hAnsi="Times New Roman"/>
          <w:sz w:val="20"/>
        </w:rPr>
        <w:t xml:space="preserve">. Notwithstanding any other provisions of this Agreement, to the extent Indemnitee has been successful, on the merits or otherwise, in defense of any Proceeding (including, without limitation, an action by or in the right of the Company) in which Indemnitee was a party by reason of the fact that Indemnitee is or was an Agent of the Company at any time, the Company shall indemnify Indemnitee against all Expenses actually and reasonably incurred by or on behalf of Indemnitee in connection with the investigation, defense or appeal of such Proceeding.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Partially Successful Defense</w:t>
      </w:r>
      <w:r>
        <w:rPr>
          <w:rFonts w:ascii="Times New Roman" w:hAnsi="Times New Roman"/>
          <w:sz w:val="20"/>
        </w:rPr>
        <w:t xml:space="preserve">. Notwithstanding any other provisions of this Agreement, to the extent that Indemnitee is a party to any Proceeding (including, without limitation, an action by or in the right of the Company) in which Indemnitee was a party by reason of the fact that Indemnitee is or was an Agent of the Company at any time and is successful, on the merits or otherwise, as to one or more but less than all claims, issues or matters in such Proceeding, the Company shall indemnify Indemnitee against all Expenses actually and reasonably incurred by or on behalf of Indemnitee in connection with each successfully resolved claim, issue or matter.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Dismissal</w:t>
      </w:r>
      <w:r>
        <w:rPr>
          <w:rFonts w:ascii="Times New Roman" w:hAnsi="Times New Roman"/>
          <w:sz w:val="20"/>
        </w:rPr>
        <w:t xml:space="preserve">.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If the indemnification provided in this Agreement is unavailable and may not be paid to Indemnitee, then to the extent allowed by law, in respect of any Proceeding in which the Company is jointly liable with Indemnitee (or would be if joined in such Proceeding), the Company shall in lieu of indemnifying Indemnitee contribute to the amount of expenses (including attorneys’ fees), judgments, fines and amounts paid in settlement actually and reasonably incurred and paid or payable by Indemnitee in such proportion as is appropriate to reflect (i) the relative benefits received by the Company on the one hand and Indemnitee on the other hand from the transaction from which such Proceeding arose, and (ii) the relative fault of Company on the one hand and of Indemnitee on the other in connection with the events which resulted in such Expenses, judgments, fines or settlement amounts, as well as any other relevant equitable considerations. The relative fault of the Company on the one hand and of Indemnitee on the other shall be determined by reference to, among other things, the parties’ relative intent, knowledge, access to information, active or passive conduct, and opportunity to correct or prevent the circumstances resulting in such expenses, judgments, fines or settlement amounts. The Company agrees that it would not be just and equitable if contribution pursuant to this section were determined by pro rata allocation or any other method of allocation which does not take account of the foregoing equitable considerations.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Settlements by Company</w:t>
      </w:r>
      <w:r>
        <w:rPr>
          <w:rFonts w:ascii="Times New Roman" w:hAnsi="Times New Roman"/>
          <w:sz w:val="20"/>
        </w:rPr>
        <w:t xml:space="preserve">. The Company may not settle any claim held by Indemnitee without express written consent of Indemnitee, which may be given or withheld in Indemnitee’s sole discretion; </w:t>
      </w:r>
      <w:r>
        <w:rPr>
          <w:rFonts w:ascii="Times New Roman" w:hAnsi="Times New Roman"/>
          <w:i/>
          <w:sz w:val="20"/>
        </w:rPr>
        <w:t xml:space="preserve">provided, </w:t>
      </w:r>
      <w:r>
        <w:rPr>
          <w:rFonts w:ascii="Times New Roman" w:hAnsi="Times New Roman"/>
          <w:sz w:val="20"/>
        </w:rPr>
        <w:t xml:space="preserve">the foregoing provision shall not apply to any claim held by Indemnitee for which Indemnitee has been indemnified or held harmless by the Company, in which case consent of the Indemnitee to such settlement shall be given on reasonable request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Mandatory Advancement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terms of this Agreement and following notice pursuant to </w:t>
      </w:r>
      <w:r>
        <w:rPr>
          <w:rFonts w:ascii="Times New Roman" w:hAnsi="Times New Roman"/>
          <w:sz w:val="20"/>
          <w:u w:val="single"/>
        </w:rPr>
        <w:t>Section 7(a)</w:t>
      </w:r>
      <w:r>
        <w:rPr>
          <w:rFonts w:ascii="Times New Roman" w:hAnsi="Times New Roman"/>
          <w:sz w:val="20"/>
        </w:rPr>
        <w:t xml:space="preserve"> below, the Company shall advance, interest free, all Expenses reasonably incurred by Indemnitee in connection with the investigation, defense, settlement or appeal of any Proceeding to which Indemnitee is a party or is threatened to be made a party by reason of the fact that Indemnitee is or was an Agent of the Company (unless there has been a Final Adjudication such that Indemnitee is not entitled to indemnification for such Expenses) upon receipt satisfactory documentation supporting such Expenses. Such advances are intended to be an obligation of the Company to Indemnitee hereunder and shall in no event be deemed to be a personal loan. Such advancement of Expenses shall otherwise be unsecured and without regard to Indemnitee’s ability to repay. The advances to be made hereunder shall be paid by the Company to Indemnitee within 30 days following delivery of a written request therefore by Indemnitee to the Company, along with such documentation and information as is reasonably available to the Indemnitee and is reasonably necessary to determine whether and to what extent the Indemnitee is entitled to advancement (which shall include without limitation reasonably detailed invoices for legal services, but with disclosure of confidential work product not required if that would work a waiver of privilege as to an adverse party). The Company shall discharge its advancement duty by, at its option, (a) paying such Expenses on behalf of Indemnitee, (b) advancing to Indemnitee funds in an amount sufficient to pay such Expenses, or (c) reimbursing Indemnitee for Expenses already paid by Indemnitee. In the event that the Company fails to pay Expenses as incurred by Indemnitee as required by this paragraph, Indemnitee may seek mandatory injunctive relief (including without limitation specific performance) from any court having jurisdiction to require the Company to pay Expenses as set forth in this paragraph. If Indemnitee seeks mandatory injunctive relief pursuant to this paragraph, it shall not be a defense to enforcement of the Company’s obligations set forth in this paragraph that Indemnitee has an adequate remedy at law for damages. This Section 6 shall not apply to any claim made by Indemnitee for which indemnity is excluded pursuant to Section 9.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Undertakings</w:t>
      </w:r>
      <w:r>
        <w:rPr>
          <w:rFonts w:ascii="Times New Roman" w:hAnsi="Times New Roman"/>
          <w:sz w:val="20"/>
        </w:rPr>
        <w:t xml:space="preserve">. Indemnitee shall qualify for advances upon the execution and delivery to the Company of this Agreement, which constitutes an undertaking whereby Indemnitee promises to repay any amounts advanced if and to the extent that it shall ultimately be determined that Indemnitee is not entitled to indemnification by the Company.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Notice and Other Indemnification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Notice by Indemnitee</w:t>
      </w:r>
      <w:r>
        <w:rPr>
          <w:rFonts w:ascii="Times New Roman" w:hAnsi="Times New Roman"/>
          <w:sz w:val="20"/>
        </w:rPr>
        <w:t xml:space="preserve">. Promptly after receipt by Indemnitee of notice of the commencement of or the threat of commencement of any Proceeding, Indemnitee shall, if Indemnitee believes that indemnification with respect thereto may be sought from the Company under this Agreement, notify the Company in writing of the commencement or threat of commencement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delay in giving such notice will not deprive Indemnitee of any right to be indemnified under this Agreement unless, and then only to the extent that, the Company did not otherwise learn of the Proceeding and such delay is materially prejudicial to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notice will be deemed to have been given without any action on the part of Indemnitee in the event the Company is a party to the same Proceeding and already has notice of all the matters for which Indemnitee is demanding indemnification and advancement.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If the Company receives notice pursuant to </w:t>
      </w:r>
      <w:r>
        <w:rPr>
          <w:rFonts w:ascii="Times New Roman" w:hAnsi="Times New Roman"/>
          <w:sz w:val="20"/>
          <w:u w:val="single"/>
        </w:rPr>
        <w:t>Section 7(a)</w:t>
      </w:r>
      <w:r>
        <w:rPr>
          <w:rFonts w:ascii="Times New Roman" w:hAnsi="Times New Roman"/>
          <w:sz w:val="20"/>
        </w:rPr>
        <w:t xml:space="preserve"> of the commencement of a Proceeding that may be covered under D&amp;O Insurance then in effect, the Company shall give prompt notice of the commencement of such Proceeding to the insurers in accordance with the procedures set forth in the respective policies.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Defense</w:t>
      </w:r>
      <w:r>
        <w:rPr>
          <w:rFonts w:ascii="Times New Roman" w:hAnsi="Times New Roman"/>
          <w:sz w:val="20"/>
        </w:rPr>
        <w:t xml:space="preserve">. In the event the Company shall be obligated to pay the Expenses of any Proceeding against Indemnitee, the Company shall be entitled to assume the defense of such Proceeding, with counsel selected by the Company and approved by Indemnitee (which approval shall not be unreasonably withheld), upon the delivery to Indemnitee of written notice of the Company’s election so to do. After delivery of such notice, and the retention of such counsel by the Company, the Company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liable to Indemnitee under this Agreement for any fees of counsel subsequently incurred by Indemnitee with respect to the same Proceeding; </w:t>
      </w:r>
      <w:r>
        <w:rPr>
          <w:rFonts w:ascii="Times New Roman" w:hAnsi="Times New Roman"/>
          <w:i/>
          <w:sz w:val="20"/>
        </w:rPr>
        <w:t>provided</w:t>
      </w:r>
      <w:r>
        <w:rPr>
          <w:rFonts w:ascii="Times New Roman" w:hAnsi="Times New Roman"/>
          <w:sz w:val="20"/>
        </w:rPr>
        <w:t xml:space="preserve"> that (i) Indemnitee shall have the right to employ his or her own counsel in any such Proceeding at Indemnitee’s expense; and (ii) Indemnitee shall have the right to employ his or her own counsel in any such Proceeding at the Company’s expense if (A) the Company has authorized the employment of counsel by Indemnitee at the expense of the Company; (B) Indemnitee shall have reasonably concluded based on the written advice of Indemnitee’s legal counsel that there may be a conflict of interest between the Company and Indemnitee in the conduct of any such defense; or (C) the Company shall not, in fact, have employed counsel to assume the defense of such Proceeding. In addition to all the requirements above, if the Company has D&amp;O Insurance, or other insurance, with a panel counsel requirement that may cover the matter for which indemnity is claimed by Indemnitee, then Indemnitee shall use such panel counsel or other counsel approved by the insurers, unless there is an actual conflict of interest posed by representation by all such counsel, or unless and to the extent Company waives such requirement in writing. Indemnitee and his or her counsel shall provide reasonable cooperation with such insurer on request of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Right to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Right to Indemnification</w:t>
      </w:r>
      <w:r>
        <w:rPr>
          <w:rFonts w:ascii="Times New Roman" w:hAnsi="Times New Roman"/>
          <w:sz w:val="20"/>
        </w:rPr>
        <w:t xml:space="preserve">. In the event that </w:t>
      </w:r>
      <w:r>
        <w:rPr>
          <w:rFonts w:ascii="Times New Roman" w:hAnsi="Times New Roman"/>
          <w:sz w:val="20"/>
          <w:u w:val="single"/>
        </w:rPr>
        <w:t>Section 5(a)</w:t>
      </w:r>
      <w:r>
        <w:rPr>
          <w:rFonts w:ascii="Times New Roman" w:hAnsi="Times New Roman"/>
          <w:sz w:val="20"/>
        </w:rPr>
        <w:t xml:space="preserve"> is inapplicable, the Company shall indemnify Indemnitee pursuant to this Agreement unless, and except to the extent that, it shall have been determined by one of the methods listed in </w:t>
      </w:r>
      <w:r>
        <w:rPr>
          <w:rFonts w:ascii="Times New Roman" w:hAnsi="Times New Roman"/>
          <w:sz w:val="20"/>
          <w:u w:val="single"/>
        </w:rPr>
        <w:t>Section 8(b)</w:t>
      </w:r>
      <w:r>
        <w:rPr>
          <w:rFonts w:ascii="Times New Roman" w:hAnsi="Times New Roman"/>
          <w:sz w:val="20"/>
        </w:rPr>
        <w:t xml:space="preserve"> that Indemnitee has not met the applicable standard of conduct required to entitle Indemnitee to such indemnification.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Determination of Right to Indemnification</w:t>
      </w:r>
      <w:r>
        <w:rPr>
          <w:rFonts w:ascii="Times New Roman" w:hAnsi="Times New Roman"/>
          <w:sz w:val="20"/>
        </w:rPr>
        <w:t xml:space="preserve">. A determination of Indemnitee’s right to indemnification under this </w:t>
      </w:r>
      <w:r>
        <w:rPr>
          <w:rFonts w:ascii="Times New Roman" w:hAnsi="Times New Roman"/>
          <w:sz w:val="20"/>
          <w:u w:val="single"/>
        </w:rPr>
        <w:t>Section 8</w:t>
      </w:r>
      <w:r>
        <w:rPr>
          <w:rFonts w:ascii="Times New Roman" w:hAnsi="Times New Roman"/>
          <w:sz w:val="20"/>
        </w:rPr>
        <w:t xml:space="preserve"> shall be made at the election: (i) by a majority vote of directors who are not parties to the Proceeding for which indemnification is being sought, even though less than a quorum; (ii) by a committee of the Board consisting of directors who are not parties to the Proceeding for which indemnification is being sought, who, even though less than a quorum, have been designated by a majority vote of the disinterested directors; (iii) if there are no such disinterested directors or if the disinterested directors so direct, by Independent Counsel chosen by the Company in a written opinion to the Board, a copy of which shall be delivered to Indemnitee; or (iv) by the Company’s stockholders. However, in the event there has been a Change in Control, then the determination shall, at Indemnitee’s sole option, be made by Independent Counsel as in (b)(iii) above, with Company choosing the Independent Counsel subject to Indemnitee’s consent, such consent not to be unreasonably withheld.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Submission for Decision</w:t>
      </w:r>
      <w:r>
        <w:rPr>
          <w:rFonts w:ascii="Times New Roman" w:hAnsi="Times New Roman"/>
          <w:sz w:val="20"/>
        </w:rPr>
        <w:t xml:space="preserve">. As soon as practicable, and in no event later than 30 days after Indemnitee’s written request for indemnification, the Board shall select the method for determining Indemnitee’s right to indemnification. Indemnitee shall cooperate with the person or persons or entity making such determination with respect to Indemnitee’s right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shall act reasonably and in good faith in making a determination regarding Indemnitee’s entitlement to indemnification under this Agreement.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Application to Court</w:t>
      </w:r>
      <w:r>
        <w:rPr>
          <w:rFonts w:ascii="Times New Roman" w:hAnsi="Times New Roman"/>
          <w:sz w:val="20"/>
        </w:rPr>
        <w:t xml:space="preserve">. If (i) a claim for indemnification or advancement of Expenses is denied, in whole or in part, (ii) no disposition of such claim is made by the Company within 60 days after the request therefore, (iii) the advancement of Expenses is not timely made pursuant to </w:t>
      </w:r>
      <w:r>
        <w:rPr>
          <w:rFonts w:ascii="Times New Roman" w:hAnsi="Times New Roman"/>
          <w:sz w:val="20"/>
          <w:u w:val="single"/>
        </w:rPr>
        <w:t>Section 6</w:t>
      </w:r>
      <w:r>
        <w:rPr>
          <w:rFonts w:ascii="Times New Roman" w:hAnsi="Times New Roman"/>
          <w:sz w:val="20"/>
        </w:rPr>
        <w:t xml:space="preserve"> of this Agreement or (iv) payment of indemnification is not made pursuant to </w:t>
      </w:r>
      <w:r>
        <w:rPr>
          <w:rFonts w:ascii="Times New Roman" w:hAnsi="Times New Roman"/>
          <w:sz w:val="20"/>
          <w:u w:val="single"/>
        </w:rPr>
        <w:t>Section 5</w:t>
      </w:r>
      <w:r>
        <w:rPr>
          <w:rFonts w:ascii="Times New Roman" w:hAnsi="Times New Roman"/>
          <w:sz w:val="20"/>
        </w:rPr>
        <w:t xml:space="preserve"> of this Agreement, Indemnitee shall have the right at his or her option to apply to the Delaware Court of Chancery, for the purpose of enforcing Indemnitee’s right to indemnification (including the advancement of Expenses) pursuant to this Agreement. Upon written request by Indemnitee, the Company shall consent to service of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Expenses Related to the Enforcement or Interpretation of this Agreement</w:t>
      </w:r>
      <w:r>
        <w:rPr>
          <w:rFonts w:ascii="Times New Roman" w:hAnsi="Times New Roman"/>
          <w:sz w:val="20"/>
        </w:rPr>
        <w:t xml:space="preserve">. The Company shall indemnify Indemnitee against all reasonable Expenses incurred by Indemnitee in connection with any hearing or proceeding under this </w:t>
      </w:r>
      <w:r>
        <w:rPr>
          <w:rFonts w:ascii="Times New Roman" w:hAnsi="Times New Roman"/>
          <w:sz w:val="20"/>
          <w:u w:val="single"/>
        </w:rPr>
        <w:t>Section 8</w:t>
      </w:r>
      <w:r>
        <w:rPr>
          <w:rFonts w:ascii="Times New Roman" w:hAnsi="Times New Roman"/>
          <w:sz w:val="20"/>
        </w:rPr>
        <w:t xml:space="preserve"> involving Indemnitee, and against all reasonable Expenses incurred by Indemnitee in connection with any other proceeding between the Company and Indemnitee to the extent involving the interpretation or enforcement of the rights of Indemnitee under this Agreement, if and to the extent Indemnitee is successful.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Determination of Final Adjudication</w:t>
      </w:r>
      <w:r>
        <w:rPr>
          <w:rFonts w:ascii="Times New Roman" w:hAnsi="Times New Roman"/>
          <w:sz w:val="20"/>
        </w:rPr>
        <w:t xml:space="preserve">. In no event shall Indemnitee’s right to indemnification (apart from advancement of Expenses) be determined prior to a Final Adjudication in a Proceeding at issue if the Proceeding is both ongoing, and of the nature to have a Final Adjudication, unless a Final Adjudication in another Proceeding establishes that Indemnitee is not entitled to indemnification in the first Proceeding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Standard</w:t>
      </w:r>
      <w:r>
        <w:rPr>
          <w:rFonts w:ascii="Times New Roman" w:hAnsi="Times New Roman"/>
          <w:sz w:val="20"/>
        </w:rPr>
        <w:t xml:space="preserve">. In any proceeding to determine Indemnitee’s right to indemnification or advancement, Indemnitee shall be presumed to be entitled to indemnification or advancement, with the burden of proof on the Company to prove, by a preponderance of the evidence (or higher standard if required by relevant law) that Indemnitee is not so entitled.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Good Faith</w:t>
      </w:r>
      <w:r>
        <w:rPr>
          <w:rFonts w:ascii="Times New Roman" w:hAnsi="Times New Roman"/>
          <w:sz w:val="20"/>
        </w:rPr>
        <w:t xml:space="preserve">. Indemnitee shall be fully indemnified for those matters where, in the performance of his or her duties for the Company, he or she relied in good faith upon the records of the Company and upon such information, opinions, reports or statements presented to the Company by any of the Company’s officers or employees, or committees of the board of directors, or by any other person as to matters Indemnitee reasonably believed were within such other person’s professional or expert competence and who was selected with reasonable care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Exceptions</w:t>
      </w:r>
      <w:r>
        <w:rPr>
          <w:rFonts w:ascii="Times New Roman" w:hAnsi="Times New Roman"/>
          <w:sz w:val="20"/>
        </w:rPr>
        <w:t xml:space="preserve">. Any other provision herein to the contrary notwithstanding, the Company shall not be obligated: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Claims Initiated by Indemnitee</w:t>
      </w:r>
      <w:r>
        <w:rPr>
          <w:rFonts w:ascii="Times New Roman" w:hAnsi="Times New Roman"/>
          <w:sz w:val="20"/>
        </w:rPr>
        <w:t xml:space="preserve">. To indemnify or advance Expenses to Indemnitee with respect to Proceedings or claims initiated or brought voluntarily by Indemnitee (including cross actions), with a reasonable allocation where appropriate, unless (i) such indemnification is expressly required to be made by law, (ii) the Proceeding was authorized by the Board, (iii) such indemnification is provided by the Company, in its sole discretion, pursuant to the powers vested in the Company under the DGCL or (iv) the Proceeding is brought pursuant to </w:t>
      </w:r>
      <w:r>
        <w:rPr>
          <w:rFonts w:ascii="Times New Roman" w:hAnsi="Times New Roman"/>
          <w:sz w:val="20"/>
          <w:u w:val="single"/>
        </w:rPr>
        <w:t>Section 8</w:t>
      </w:r>
      <w:r>
        <w:rPr>
          <w:rFonts w:ascii="Times New Roman" w:hAnsi="Times New Roman"/>
          <w:sz w:val="20"/>
        </w:rPr>
        <w:t xml:space="preserve"> specifically to establish or enforce a right to indemnification under this Agreement or any other statute or law or otherwise as required under Section 145 in advance of a Final Adjudication, in which case </w:t>
      </w:r>
      <w:r>
        <w:rPr>
          <w:rFonts w:ascii="Times New Roman" w:hAnsi="Times New Roman"/>
          <w:sz w:val="20"/>
          <w:u w:val="single"/>
        </w:rPr>
        <w:t>Section 8(e)</w:t>
      </w:r>
      <w:r>
        <w:rPr>
          <w:rFonts w:ascii="Times New Roman" w:hAnsi="Times New Roman"/>
          <w:sz w:val="20"/>
        </w:rPr>
        <w:t xml:space="preserve"> provision shall control. For clarity, the raising of defenses by the Company by way of argument or affirmative defenses in an Indemnitee-initiated Proceeding against the Company shall not themselves be deemed to be a Proceeding.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Fees on Fees</w:t>
      </w:r>
      <w:r>
        <w:rPr>
          <w:rFonts w:ascii="Times New Roman" w:hAnsi="Times New Roman"/>
          <w:sz w:val="20"/>
        </w:rPr>
        <w:t xml:space="preserve">. To indemnify Indemnitee for any Expenses incurred by Indemnitee with respect to any Proceeding instituted by Indemnitee to enforce or interpret this Agreement, to the extent Indemnitee is not successful in such a Proceeding.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Unauthorized Settlements</w:t>
      </w:r>
      <w:r>
        <w:rPr>
          <w:rFonts w:ascii="Times New Roman" w:hAnsi="Times New Roman"/>
          <w:sz w:val="20"/>
        </w:rPr>
        <w:t xml:space="preserve">. To indemnify Indemnitee under this Agreement for any amounts paid in settlement of a Proceeding unless the Company consents to such settlement, which consent shall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Claims Under Section</w:t>
      </w:r>
      <w:r>
        <w:rPr>
          <w:rFonts w:ascii="Times New Roman" w:hAnsi="Times New Roman"/>
          <w:sz w:val="20"/>
        </w:rPr>
        <w:t> </w:t>
      </w:r>
      <w:r>
        <w:rPr>
          <w:rFonts w:ascii="Times New Roman" w:hAnsi="Times New Roman"/>
          <w:b/>
          <w:sz w:val="20"/>
        </w:rPr>
        <w:t>16(b)</w:t>
      </w:r>
      <w:r>
        <w:rPr>
          <w:rFonts w:ascii="Times New Roman" w:hAnsi="Times New Roman"/>
          <w:sz w:val="20"/>
        </w:rPr>
        <w:t xml:space="preserve">. To indemnify Indemnitee for Expenses associated with any Proceeding related to, or the payment of profits made from the purchase and sale (or sale and purchase) by Indemnitee of securities of the Company within the meaning of Section 16(b) of the Exchange Act, or similar provisions of state statutory law or common law (provided, however, that the Company must advance Expenses for such matters as otherwise permissible under this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Payments Contrary to Law</w:t>
      </w:r>
      <w:r>
        <w:rPr>
          <w:rFonts w:ascii="Times New Roman" w:hAnsi="Times New Roman"/>
          <w:sz w:val="20"/>
        </w:rPr>
        <w:t xml:space="preserve">. To indemnify or advance Expenses to Indemnitee for which payment is prohibited by applicable law.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Required Reimbursement</w:t>
      </w:r>
      <w:r>
        <w:rPr>
          <w:rFonts w:ascii="Times New Roman" w:hAnsi="Times New Roman"/>
          <w:sz w:val="20"/>
        </w:rPr>
        <w:t>. To indemnify Indemnitee for any reimbursement of the Company by Indemnitee of any compensation, including bonus or other incentive-based or equity-based compensation or of any profits realized by Indemnitee from the sale of securities of the Company, as required in each case under the Securities Act or the Exchange Act (including without limitation reimbursements that (i) arise from an accounting restatement of the Company pursuant to Section 304 of the Sarbanes-Oxley Act of 2002, as amended (“</w:t>
      </w:r>
      <w:r>
        <w:rPr>
          <w:rFonts w:ascii="Times New Roman" w:hAnsi="Times New Roman"/>
          <w:b/>
          <w:i/>
          <w:sz w:val="20"/>
        </w:rPr>
        <w:t>Sarbanes-Oxley</w:t>
      </w:r>
      <w:r>
        <w:rPr>
          <w:rFonts w:ascii="Times New Roman" w:hAnsi="Times New Roman"/>
          <w:sz w:val="20"/>
        </w:rPr>
        <w:t xml:space="preserve">”) or the payment to the Company of profits arising from the purchase and sale by Indemnitee of securities in violation of Section 306 of Sarbanes-Oxley, or (ii) arise pursuant to regulations or policies adopted in compliance with Section 954 of the Investor Protection and Securities Reform Act of 2010, as amended).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Non-Exclusivity</w:t>
      </w:r>
      <w:r>
        <w:rPr>
          <w:rFonts w:ascii="Times New Roman" w:hAnsi="Times New Roman"/>
          <w:sz w:val="20"/>
        </w:rPr>
        <w:t xml:space="preserve">.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action in Indemnitee’s official capacity and as to action in another capacity while occupying Indemnitee’s position as an Agent of the Company. Indemnitee’s rights hereunder shall continue after Indemnitee has ceased acting as an Agent of the Company and shall inure to the benefit of the heirs, executors and administrators of Indemnitee. This Agreement shall supersede all prior indemnification agreements with the Company; </w:t>
      </w:r>
      <w:r>
        <w:rPr>
          <w:rFonts w:ascii="Times New Roman" w:hAnsi="Times New Roman"/>
          <w:i/>
          <w:sz w:val="20"/>
        </w:rPr>
        <w:t>provided</w:t>
      </w:r>
      <w:r>
        <w:rPr>
          <w:rFonts w:ascii="Times New Roman" w:hAnsi="Times New Roman"/>
          <w:sz w:val="20"/>
        </w:rPr>
        <w:t xml:space="preserve">, Indemnitee is entitled to any advancement or indemnification rights (pursuant to the Company’s Certificate of Incorporation, Bylaws, a prior indemnification agreement, or other agreement) in effect at the time of Indemnitee’s service that is at issue in the matter potentially subject to indemnification, to the extent such rights are more favorable to Indemnitee than those granted herein.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Permitted Defenses</w:t>
      </w:r>
      <w:r>
        <w:rPr>
          <w:rFonts w:ascii="Times New Roman" w:hAnsi="Times New Roman"/>
          <w:sz w:val="20"/>
        </w:rPr>
        <w:t xml:space="preserve">. It shall be a defense to any action for which a claim for indemnification is made under this Agreement (other than an action brought to enforce a claim for Expenses pursuant to </w:t>
      </w:r>
      <w:r>
        <w:rPr>
          <w:rFonts w:ascii="Times New Roman" w:hAnsi="Times New Roman"/>
          <w:sz w:val="20"/>
          <w:u w:val="single"/>
        </w:rPr>
        <w:t>Section 6</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required documents have been tendered to the Company) that Indemnitee is not entitled to indemnification because of the limitations set forth in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 Neither the failure of the Company or an Independent Counsel to have made a determination prior to the commencement of such enforcement action that indemnification of Indemnitee is proper in the circumstances, nor an actual determination by the Company or an Independent Counsel that such indemnification is improper, shall be a defense to the action or create a presumption that Indemnitee is not entitled to indemnification under this Agreement or otherwise. In making any determination concerning Indemnitee’s right to indemnification, there shall be a presumption that Indemnitee has satisfied the applicable standard of conduct. Any determination by the Company concerning Indemnitee’s right to indemnification that is adverse to Indemnitee may be challenged by the Indemnitee in the Court of Chancery of the State of Delaware.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Subrogation</w:t>
      </w:r>
      <w:r>
        <w:rPr>
          <w:rFonts w:ascii="Times New Roman" w:hAnsi="Times New Roman"/>
          <w:sz w:val="20"/>
        </w:rPr>
        <w:t xml:space="preserve">. Subject to the limitations of </w:t>
      </w:r>
      <w:r>
        <w:rPr>
          <w:rFonts w:ascii="Times New Roman" w:hAnsi="Times New Roman"/>
          <w:sz w:val="20"/>
          <w:u w:val="single"/>
        </w:rPr>
        <w:t>Section 13</w:t>
      </w:r>
      <w:r>
        <w:rPr>
          <w:rFonts w:ascii="Times New Roman" w:hAnsi="Times New Roman"/>
          <w:sz w:val="20"/>
        </w:rPr>
        <w:t xml:space="preserve">, in the event the Company is obligated to make a payment under this Agreement, the Company shall be subrogated to the extent of such payment to all of the rights of recovery of Indemnitee, who shall execute all documents reasonably required and take all action that may be necessary to secure such rights and to enable the Company effectively to bring suit to enforce such rights (provided that the Company pays Indemnitee’s costs and expenses of doing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including without limitation by assigning all such rights to the Company or its designee to the extent of such indemnification or advancement of Expenses. Subject to the limitations of </w:t>
      </w:r>
      <w:r>
        <w:rPr>
          <w:rFonts w:ascii="Times New Roman" w:hAnsi="Times New Roman"/>
          <w:sz w:val="20"/>
          <w:u w:val="single"/>
        </w:rPr>
        <w:t>Section 13</w:t>
      </w:r>
      <w:r>
        <w:rPr>
          <w:rFonts w:ascii="Times New Roman" w:hAnsi="Times New Roman"/>
          <w:sz w:val="20"/>
        </w:rPr>
        <w:t xml:space="preserve">, the Company’s obligation to indemnify or advance expenses under this Agreement shall be reduced by any amount Indemnitee has collected from such other source, and in the event that Company has fully paid such indemnity or expenses, Indemnitee shall return to the Company any amounts subsequently received from such other source of indemnification.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Primacy of Indemnification</w:t>
      </w:r>
      <w:r>
        <w:rPr>
          <w:rFonts w:ascii="Times New Roman" w:hAnsi="Times New Roman"/>
          <w:sz w:val="20"/>
        </w:rPr>
        <w:t>. The Company acknowledges that Indemnitee may have certain rights to indemnification, advancement of expenses, or liability insurance, neither procured or provided by the Company (including for this section any parent, affiliate, or investment vehicle) nor any entity Indemnitee served or is serving at the direction of the Company, from a third party (collectively, the “</w:t>
      </w:r>
      <w:r>
        <w:rPr>
          <w:rFonts w:ascii="Times New Roman" w:hAnsi="Times New Roman"/>
          <w:b/>
          <w:i/>
          <w:sz w:val="20"/>
        </w:rPr>
        <w:t>Third Party Indemnitors</w:t>
      </w:r>
      <w:r>
        <w:rPr>
          <w:rFonts w:ascii="Times New Roman" w:hAnsi="Times New Roman"/>
          <w:sz w:val="20"/>
        </w:rPr>
        <w:t xml:space="preserve">”). The Company agrees that (i) it is the indemnitor of first resort, </w:t>
      </w:r>
      <w:r>
        <w:rPr>
          <w:rFonts w:ascii="Times New Roman" w:hAnsi="Times New Roman"/>
          <w:i/>
          <w:sz w:val="20"/>
        </w:rPr>
        <w:t>i.e.</w:t>
      </w:r>
      <w:r>
        <w:rPr>
          <w:rFonts w:ascii="Times New Roman" w:hAnsi="Times New Roman"/>
          <w:sz w:val="20"/>
        </w:rPr>
        <w:t>, its obligations to Indemnitee under this Agreement and any indemnity provisions set forth in its Certificate of Incorporation, Bylaws or elsewhere (collectively, “</w:t>
      </w:r>
      <w:r>
        <w:rPr>
          <w:rFonts w:ascii="Times New Roman" w:hAnsi="Times New Roman"/>
          <w:b/>
          <w:i/>
          <w:sz w:val="20"/>
        </w:rPr>
        <w:t>Indemnity Arrangements</w:t>
      </w:r>
      <w:r>
        <w:rPr>
          <w:rFonts w:ascii="Times New Roman" w:hAnsi="Times New Roman"/>
          <w:sz w:val="20"/>
        </w:rPr>
        <w:t xml:space="preserve">”) are primary, and any obligation of the Third Party Indemnitors to advance expenses or to provide indemnification for the same expenses or liabilities incurred by Indemnitee is secondary and excess, (ii) it shall advance the full amount of expenses incurred by Indemnitee and shall be liable for the full amount of all expenses, judgments, penalties, fines and amounts paid in settlement by or on behalf of Indemnitee, to the extent legally permitted and as required by any Indemnity Arrangement, without regard to any rights Indemnitee may have against the Third Party Indemnitors, and (iii) it irrevocably waives, relinquishes and releases the Third Party Indemnitors from any claims against the Third Party Indemnitors for contribution, subrogation or any other recovery of any kind arising out of or relating to any Indemnity Arrangement. The Company further agrees that no advancement or indemnification payment by any Third Party Indemnitor on behalf of Indemnitee shall affect the foregoing, and the Third Party Indemnitors shall be subrogated to the extent of such advancement or payment to all of the rights of recovery of Indemnitee against the Company. The Company and Indemnitee agree that the Third Party Indemnitors are express third party beneficiaries of the terms of this </w:t>
      </w:r>
      <w:r>
        <w:rPr>
          <w:rFonts w:ascii="Times New Roman" w:hAnsi="Times New Roman"/>
          <w:sz w:val="20"/>
          <w:u w:val="single"/>
        </w:rPr>
        <w:t>Section 13</w:t>
      </w:r>
      <w:r>
        <w:rPr>
          <w:rFonts w:ascii="Times New Roman" w:hAnsi="Times New Roman"/>
          <w:sz w:val="20"/>
        </w:rPr>
        <w:t xml:space="preserve">. The Company, on its own behalf and on behalf of its insurers to the extent allowed by its insurance policies, waives subrogation rights against Indemnitee and Third Party Indemnitors. Notwithstanding anything in the foregoing, “Third Party Indemnitors” shall not include any subsidiary of the Company nor any entity Indemnitee served or is serving at the request or direction of the Company, nor any joint venture.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No Imputation</w:t>
      </w:r>
      <w:r>
        <w:rPr>
          <w:rFonts w:ascii="Times New Roman" w:hAnsi="Times New Roman"/>
          <w:sz w:val="20"/>
        </w:rPr>
        <w:t xml:space="preserve">. The knowledge or actions, or failure to act, of any director, officer, employee, or agent of the Company, or the Company itself shall not be imputed to Indemnitee for the purpose of determining Indemnitee’s rights hereunder.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Survival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All agreements and obligations of the Company contained herein shall continue during the period Indemnitee is an Agent of the Company and shall continue thereafter so long as Indemnitee shall be subject to any possible claim or threatened, pending or completed Proceeding by reason of the fact that Indemnitee was serving in the capacity referred to herein.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require any successor to the Company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such remaining provisions shall be construed so as to give effect to the intent manifested by the provision held invalid, illegal, or unenforceable.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Modification and Waiver</w:t>
      </w:r>
      <w:r>
        <w:rPr>
          <w:rFonts w:ascii="Times New Roman" w:hAnsi="Times New Roman"/>
          <w:sz w:val="20"/>
        </w:rPr>
        <w:t xml:space="preserve">. No supplement, modification, or amendment of this Agreement shall be binding unless it is in a writing signed by both of the parties hereto. No waiver of any of the provisions of this Agreement shall be deemed or shall constitute a waiver of any other provisions (even if similar) nor shall such waiver constitute a continuing waiver.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All notices, requests, demands and other communications under this Agreement shall be in writing and shall be deemed to have been duly given (a) upon delivery if delivered by hand to the party to whom such notice or other communication shall have been directed, (b) if mailed by certified or registered mail with postage prepaid, return receipt requested, on the third business day after the date on which it is so mailed, (c) one (1) business day after the business day of deposit with a nationally recognized overnight delivery service, specifying next day delivery, with written verification of receipt, or (d) on the same day as delivered by electronic transmission if delivered during business hours or on the next successive business day if delivered by electronic transmission after business hours. Addresses for notice to either party shall be as shown on the signature page of this Agreement, or to such other address as may have been furnished by either party in the manner set forth above.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Governing Law and Consent to Jurisdiction</w:t>
      </w:r>
      <w:r>
        <w:rPr>
          <w:rFonts w:ascii="Times New Roman" w:hAnsi="Times New Roman"/>
          <w:sz w:val="20"/>
        </w:rPr>
        <w:t xml:space="preserve">. This Agreement shall be governed exclusively by and construed according to the laws of the State of Delaware as applied to contracts between Delaware residents entered into and to be performed entirely within Delaware. This Agreement is intended to be an agreement of the type contemplated by Section 145(f) of the DGCL. The Company and Indemnitee hereby irrevocably and unconditionally (i) agree that any action or proceeding arising out of or in connection with this Agreement shall be brought only in the Court of Chancery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and electronically transmitted signatures shall be valid.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entered into this Indemnification Agreement, including the undertaking contained herein, effective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79"/>
        <w:gridCol w:w="184"/>
        <w:gridCol w:w="2619"/>
      </w:tblGrid>
      <w:tr>
        <w:trPr/>
        <w:tc>
          <w:tcPr>
            <w:tcW w:w="1279"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HADRON ENERGY, INC.</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184" w:type="dxa"/>
            <w:tcBorders/>
            <w:vAlign w:val="bottom"/>
          </w:tcPr>
          <w:p>
            <w:pPr>
              <w:pStyle w:val="TableContents"/>
              <w:bidi w:val="0"/>
              <w:spacing w:before="0" w:after="283"/>
              <w:jc w:val="left"/>
              <w:rPr/>
            </w:pPr>
            <w:r>
              <w:rPr/>
              <w:t> </w:t>
            </w:r>
          </w:p>
        </w:tc>
        <w:tc>
          <w:tcPr>
            <w:tcW w:w="261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Samuel Gibson</w:t>
            </w:r>
          </w:p>
        </w:tc>
      </w:tr>
      <w:tr>
        <w:trPr/>
        <w:tc>
          <w:tcPr>
            <w:tcW w:w="4082" w:type="dxa"/>
            <w:gridSpan w:val="3"/>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INDEMNITEE: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Indemnification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26249dex102.htm"/>
      <w:bookmarkStart w:id="9" w:name="ksd26249dex102"/>
      <w:bookmarkEnd w:id="8"/>
      <w:bookmarkEnd w:id="9"/>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
        <w:gridCol w:w="86"/>
        <w:gridCol w:w="9082"/>
        <w:gridCol w:w="142"/>
        <w:gridCol w:w="96"/>
        <w:gridCol w:w="419"/>
        <w:gridCol w:w="64"/>
      </w:tblGrid>
      <w:tr>
        <w:trPr/>
        <w:tc>
          <w:tcPr>
            <w:tcW w:w="31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908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ESTABLISHMENT, PURPOSE AND TERM OF PLAN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Establishment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Purpose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Term of Plan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DEFINITIONS AND CONSTRUCTION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Definitions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Construction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ADMINISTRATION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Administration by the Committee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Authority of Officers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Administration with Respect to Insiders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Powers of the Committee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Option or SAR Repricing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Indemnification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SHARES SUBJECT TO PLAN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Maximum Number of Shares Issuable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Share Counting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Adjustments for Changes in Capital Structure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Assumption or Substitution of Awards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ELIGIBILITY, PARTICIPATION AND AWARD LIMITATIONS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Persons Eligible for Awards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Participation in the Plan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Incentive Stock Option Limitations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Nonemployee Director Award Limit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STOCK OPTIONS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Exercise Price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Exercisability and Term of Options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916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86" w:type="dxa"/>
            <w:tcBorders/>
            <w:vAlign w:val="bottom"/>
          </w:tcPr>
          <w:p>
            <w:pPr>
              <w:pStyle w:val="TableContents"/>
              <w:bidi w:val="0"/>
              <w:spacing w:before="0" w:after="283"/>
              <w:jc w:val="left"/>
              <w:rPr/>
            </w:pPr>
            <w:r>
              <w:rPr/>
              <w:t> </w:t>
            </w:r>
          </w:p>
        </w:tc>
        <w:tc>
          <w:tcPr>
            <w:tcW w:w="9082" w:type="dxa"/>
            <w:tcBorders/>
            <w:vAlign w:val="bottom"/>
          </w:tcPr>
          <w:p>
            <w:pPr>
              <w:pStyle w:val="TableContents"/>
              <w:bidi w:val="0"/>
              <w:spacing w:before="0" w:after="283"/>
              <w:jc w:val="left"/>
              <w:rPr/>
            </w:pPr>
            <w:r>
              <w:rPr/>
              <w:t>Payment of Exercise Price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9"/>
        <w:gridCol w:w="64"/>
        <w:gridCol w:w="9052"/>
        <w:gridCol w:w="123"/>
        <w:gridCol w:w="96"/>
        <w:gridCol w:w="419"/>
        <w:gridCol w:w="62"/>
      </w:tblGrid>
      <w:tr>
        <w:trPr/>
        <w:tc>
          <w:tcPr>
            <w:tcW w:w="389"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05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9"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Effect of Termination of Service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Transferability of Options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STOCK APPRECIATION RIGHTS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Types of SARs Authorized</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Exercise Price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Exercisability and Term of SARs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Exercise of SARs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Deemed Exercise of SARs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Effect of Termination of Service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Transferability of SARs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RESTRICTED STOCK AWARDS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Types of Restricted Stock Awards Authorized</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Purchase Price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Purchase Period</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Payment of Purchase Price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Vesting and Restrictions on Transfer</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Voting Rights; Dividends and Distributions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Effect of Termination of Service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Nontransferability of Restricted Stock Award Rights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RESTRICTED STOCK UNITS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Grant of Restricted Stock Unit Awards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Purchase Price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Vesting</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Voting Rights, Dividend Equivalent Rights and Distributions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Effect of Termination of Service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Settlement of Restricted Stock Unit Awards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Nontransferability of Restricted Stock Unit Awards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PERFORMANCE AWARDS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Types of Performance Awards Authorized</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Initial Value of Performance Shares and Performance Units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Establishment of Performance Period, Performance Goals and Performance Award Formula</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11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4" w:type="dxa"/>
            <w:tcBorders/>
            <w:vAlign w:val="bottom"/>
          </w:tcPr>
          <w:p>
            <w:pPr>
              <w:pStyle w:val="TableContents"/>
              <w:bidi w:val="0"/>
              <w:spacing w:before="0" w:after="283"/>
              <w:jc w:val="left"/>
              <w:rPr/>
            </w:pPr>
            <w:r>
              <w:rPr/>
              <w:t> </w:t>
            </w:r>
          </w:p>
        </w:tc>
        <w:tc>
          <w:tcPr>
            <w:tcW w:w="9052" w:type="dxa"/>
            <w:tcBorders/>
            <w:vAlign w:val="bottom"/>
          </w:tcPr>
          <w:p>
            <w:pPr>
              <w:pStyle w:val="TableContents"/>
              <w:bidi w:val="0"/>
              <w:spacing w:before="0" w:after="283"/>
              <w:jc w:val="left"/>
              <w:rPr/>
            </w:pPr>
            <w:r>
              <w:rPr/>
              <w:t>Measurement of Performance Goals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
        <w:gridCol w:w="77"/>
        <w:gridCol w:w="8995"/>
        <w:gridCol w:w="134"/>
        <w:gridCol w:w="96"/>
        <w:gridCol w:w="419"/>
        <w:gridCol w:w="63"/>
      </w:tblGrid>
      <w:tr>
        <w:trPr/>
        <w:tc>
          <w:tcPr>
            <w:tcW w:w="421"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Settlement of Performance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Voting Rights; Dividend Equivalent Rights and Distributions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Effect of Termination of Service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Nontransferability of Performance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CASH-BASED AWARDS AND OTHER STOCK-BASED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Grant of Cash-Based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Grant of Other Stock-Based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Value of Cash-Based and Other Stock-Based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Payment or Settlement of Cash-Based Awards and Other Stock-Based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Voting Rights; Dividend Equivalent Rights and Distributions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11.6</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Effect of Termination of Service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Nontransferability of Cash-Based Awards and Other Stock-Based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STANDARD FORMS OF AWARD AGREEMENT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Award Agreements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Authority to Vary Terms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CHANGE IN CONTROL</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Effect of Change in Control on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Effect of Change in Control on Nonemployee Director Awards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13.3</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Federal Excise Tax Under Section 4999 of the Code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COMPLIANCE WITH SECURITIES LAW</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COMPLIANCE WITH SECTION 409A</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15.1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Awards Subject to Section 409A</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15.2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Deferral and/or Distribution Elections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15.3</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Subsequent Elections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15.4</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Payment of Section 409A Deferred Compensation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TAX WITHHOLDING</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16.1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Tax Withholding in General</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16.2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Withholding in or Directed Sale of Shares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AMENDMENT, SUSPENSION OR TERMINATION OF PLAN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MISCELLANEOUS PROVISIONS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18.1</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Repurchase Rights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0"/>
              <w:jc w:val="left"/>
              <w:rPr>
                <w:rFonts w:ascii="Times New Roman" w:hAnsi="Times New Roman"/>
                <w:sz w:val="20"/>
              </w:rPr>
            </w:pPr>
            <w:r>
              <w:rPr>
                <w:rFonts w:ascii="Times New Roman" w:hAnsi="Times New Roman"/>
                <w:sz w:val="20"/>
              </w:rPr>
              <w:t>18.2</w:t>
            </w:r>
          </w:p>
        </w:tc>
        <w:tc>
          <w:tcPr>
            <w:tcW w:w="77" w:type="dxa"/>
            <w:tcBorders/>
            <w:vAlign w:val="bottom"/>
          </w:tcPr>
          <w:p>
            <w:pPr>
              <w:pStyle w:val="TableContents"/>
              <w:bidi w:val="0"/>
              <w:spacing w:before="0" w:after="283"/>
              <w:jc w:val="left"/>
              <w:rPr/>
            </w:pPr>
            <w:r>
              <w:rPr/>
              <w:t> </w:t>
            </w:r>
          </w:p>
        </w:tc>
        <w:tc>
          <w:tcPr>
            <w:tcW w:w="8995" w:type="dxa"/>
            <w:tcBorders/>
            <w:vAlign w:val="bottom"/>
          </w:tcPr>
          <w:p>
            <w:pPr>
              <w:pStyle w:val="TableContents"/>
              <w:bidi w:val="0"/>
              <w:spacing w:before="0" w:after="283"/>
              <w:jc w:val="left"/>
              <w:rPr/>
            </w:pPr>
            <w:r>
              <w:rPr/>
              <w:t>Forfeiture Events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5"/>
        <w:gridCol w:w="107"/>
        <w:gridCol w:w="8712"/>
        <w:gridCol w:w="160"/>
        <w:gridCol w:w="96"/>
        <w:gridCol w:w="422"/>
        <w:gridCol w:w="63"/>
      </w:tblGrid>
      <w:tr>
        <w:trPr/>
        <w:tc>
          <w:tcPr>
            <w:tcW w:w="6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18.3</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Provision of Information</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18.4</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Electronic Delivery and Participation</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18.5</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Change in Time Commitment</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18.6</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Rights as Employee, Consultant or Director</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18.7</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Rights as a Stockholder</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18.8</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Delivery of Title to Shares</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18.9</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Fractional Shares</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18.10</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Provisions for Non-U.S</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18.11</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Lock-Up Period</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18.12</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Data Privacy</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18.13</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Retirement and Welfare Plans</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18.14</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Beneficiary Designation</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18.15</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Severability</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18.16</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No Constraint on Corporate Action</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18.17</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Unfunded Obligation</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645" w:type="dxa"/>
            <w:tcBorders/>
            <w:vAlign w:val="center"/>
          </w:tcPr>
          <w:p>
            <w:pPr>
              <w:pStyle w:val="TableContents"/>
              <w:bidi w:val="0"/>
              <w:spacing w:before="0" w:after="283"/>
              <w:jc w:val="left"/>
              <w:rPr>
                <w:sz w:val="4"/>
                <w:szCs w:val="4"/>
              </w:rPr>
            </w:pPr>
            <w:r>
              <w:rPr>
                <w:sz w:val="4"/>
                <w:szCs w:val="4"/>
              </w:rPr>
            </w:r>
          </w:p>
        </w:tc>
        <w:tc>
          <w:tcPr>
            <w:tcW w:w="8819" w:type="dxa"/>
            <w:gridSpan w:val="2"/>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18.18</w:t>
            </w:r>
          </w:p>
        </w:tc>
        <w:tc>
          <w:tcPr>
            <w:tcW w:w="107" w:type="dxa"/>
            <w:tcBorders/>
            <w:vAlign w:val="bottom"/>
          </w:tcPr>
          <w:p>
            <w:pPr>
              <w:pStyle w:val="TableContents"/>
              <w:bidi w:val="0"/>
              <w:spacing w:before="0" w:after="283"/>
              <w:jc w:val="left"/>
              <w:rPr/>
            </w:pPr>
            <w:r>
              <w:rPr/>
              <w:t> </w:t>
            </w:r>
          </w:p>
        </w:tc>
        <w:tc>
          <w:tcPr>
            <w:tcW w:w="8712" w:type="dxa"/>
            <w:tcBorders/>
            <w:vAlign w:val="bottom"/>
          </w:tcPr>
          <w:p>
            <w:pPr>
              <w:pStyle w:val="TableContents"/>
              <w:bidi w:val="0"/>
              <w:spacing w:before="0" w:after="283"/>
              <w:jc w:val="left"/>
              <w:rPr/>
            </w:pPr>
            <w:r>
              <w:rPr/>
              <w:t>Choice of Law</w:t>
            </w:r>
          </w:p>
        </w:tc>
        <w:tc>
          <w:tcPr>
            <w:tcW w:w="1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ESTABLISHMENT, PURPOSE AND 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Establishment.</w:t>
      </w:r>
      <w:r>
        <w:rPr>
          <w:rFonts w:ascii="Times New Roman" w:hAnsi="Times New Roman"/>
          <w:sz w:val="20"/>
        </w:rPr>
        <w:t xml:space="preserve"> The Hadron Energy, Inc. 2026 Equity Incentive Plan (the “</w:t>
      </w:r>
      <w:r>
        <w:rPr>
          <w:rFonts w:ascii="Times New Roman" w:hAnsi="Times New Roman"/>
          <w:b/>
          <w:i/>
          <w:sz w:val="20"/>
        </w:rPr>
        <w:t>Plan</w:t>
      </w:r>
      <w:r>
        <w:rPr>
          <w:rFonts w:ascii="Times New Roman" w:hAnsi="Times New Roman"/>
          <w:sz w:val="20"/>
        </w:rPr>
        <w:t>”) is hereby established effective as of May 22, 2026, the date of the closing of each of the transactions contemplated by that certain Business Combination Agreement entered into by and between GigCapital7 Corp., MMR Merger Sub, Inc., and Hadron Energy, Inc. (the “</w:t>
      </w:r>
      <w:r>
        <w:rPr>
          <w:rFonts w:ascii="Times New Roman" w:hAnsi="Times New Roman"/>
          <w:b/>
          <w:i/>
          <w:sz w:val="20"/>
        </w:rPr>
        <w:t>Business Combination Agreement</w:t>
      </w:r>
      <w:r>
        <w:rPr>
          <w:rFonts w:ascii="Times New Roman" w:hAnsi="Times New Roman"/>
          <w:sz w:val="20"/>
        </w:rPr>
        <w:t>”), following the Plan’s approval by the stockholders of the Company (the “</w:t>
      </w:r>
      <w:r>
        <w:rPr>
          <w:rFonts w:ascii="Times New Roman" w:hAnsi="Times New Roman"/>
          <w:b/>
          <w:i/>
          <w:sz w:val="20"/>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Purpose.</w:t>
      </w:r>
      <w:r>
        <w:rPr>
          <w:rFonts w:ascii="Times New Roman" w:hAnsi="Times New Roman"/>
          <w:sz w:val="20"/>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Term of Plan.</w:t>
      </w:r>
      <w:r>
        <w:rPr>
          <w:rFonts w:ascii="Times New Roman" w:hAnsi="Times New Roman"/>
          <w:sz w:val="20"/>
        </w:rPr>
        <w:t xml:space="preserve"> The Plan shall continue in effect until its termination by the Committee; provided, however, that all Incentive Stock Options shall be granted, if at all, within ten (10) years from the earlier of the date that the Plan was approved by the Board or the stockholders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AND CONSTRUCTION.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Award</w:t>
      </w:r>
      <w:r>
        <w:rPr>
          <w:rFonts w:ascii="Times New Roman" w:hAnsi="Times New Roman"/>
          <w:sz w:val="20"/>
        </w:rPr>
        <w:t xml:space="preserve">” means any Option, Stock Appreciation Right, Restricted Stock Purchase Right, Restricted Stock Bonus, Restricted Stock Unit, Performance Share, Performance Unit, Cash-Based Award or Other Stock-Based Award granted under the Plan.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setting forth the terms, conditions and restrictions applicable to an Award.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i/>
          <w:sz w:val="20"/>
        </w:rPr>
        <w:t>Cash-Based Award</w:t>
      </w:r>
      <w:r>
        <w:rPr>
          <w:rFonts w:ascii="Times New Roman" w:hAnsi="Times New Roman"/>
          <w:sz w:val="20"/>
        </w:rPr>
        <w:t xml:space="preserve">” means an Award denominated in cash and granted pursuant to Section 11.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Cashless Exercise</w:t>
      </w:r>
      <w:r>
        <w:rPr>
          <w:rFonts w:ascii="Times New Roman" w:hAnsi="Times New Roman"/>
          <w:sz w:val="20"/>
        </w:rPr>
        <w:t xml:space="preserve">” means a Cashless Exercise as defined in Section 6.3(b)(i).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 w:hAnsi="Times New Roman"/>
          <w:i/>
          <w:sz w:val="20"/>
        </w:rPr>
        <w:t>nolo contendere</w:t>
      </w:r>
      <w:r>
        <w:rPr>
          <w:rFonts w:ascii="Times New Roman" w:hAnsi="Times New Roman"/>
          <w:sz w:val="20"/>
        </w:rPr>
        <w:t xml:space="preserve">) of any criminal act involving fraud, dishonesty, misappropriation or moral turpitude, or which impairs the Participant’s ability to perform his or her duties with a Participating Company.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the occurrence of any one or a combination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an Ownership Change Event or series of related Ownership Change Events (collectively, a “</w:t>
      </w:r>
      <w:r>
        <w:rPr>
          <w:rFonts w:ascii="Times New Roman" w:hAnsi="Times New Roman"/>
          <w:b/>
          <w:i/>
          <w:sz w:val="20"/>
        </w:rPr>
        <w:t>Transaction</w:t>
      </w:r>
      <w:r>
        <w:rPr>
          <w:rFonts w:ascii="Times New Roman" w:hAnsi="Times New Roman"/>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 w:hAnsi="Times New Roman"/>
          <w:b/>
          <w:i/>
          <w:sz w:val="20"/>
        </w:rPr>
        <w:t>Transferee</w:t>
      </w:r>
      <w:r>
        <w:rPr>
          <w:rFonts w:ascii="Times New Roman" w:hAnsi="Times New Roman"/>
          <w:sz w:val="20"/>
        </w:rPr>
        <w:t xml:space="preserve">”), as the case may be; or </w:t>
      </w:r>
    </w:p>
    <w:p>
      <w:pPr>
        <w:pStyle w:val="TextBody"/>
        <w:bidi w:val="0"/>
        <w:spacing w:before="120" w:after="0"/>
        <w:jc w:val="left"/>
        <w:rPr>
          <w:rFonts w:ascii="Times New Roman" w:hAnsi="Times New Roman"/>
          <w:sz w:val="20"/>
        </w:rPr>
      </w:pPr>
      <w:r>
        <w:rPr>
          <w:rFonts w:ascii="Times New Roman" w:hAnsi="Times New Roman"/>
          <w:sz w:val="20"/>
        </w:rPr>
        <w:t xml:space="preserve">(iii) 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and any applicable regulations and administrative guidelines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i/>
          <w:sz w:val="20"/>
        </w:rPr>
        <w:t>Company</w:t>
      </w:r>
      <w:r>
        <w:rPr>
          <w:rFonts w:ascii="Times New Roman" w:hAnsi="Times New Roman"/>
          <w:sz w:val="20"/>
        </w:rPr>
        <w:t xml:space="preserve">” means GigCapital7 Corp., a Cayman Islands exempted company (which shall transfer by way of continuation and domesticate as a Delaware corporation prior to the Effective Date and be renamed “Hadron Energy, Inc.” upon the completion of the merger contemplated by the Business Combination Agreement), and any successor corporation thereto.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i/>
          <w:sz w:val="20"/>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i/>
          <w:sz w:val="20"/>
        </w:rPr>
        <w:t>Disability</w:t>
      </w:r>
      <w:r>
        <w:rPr>
          <w:rFonts w:ascii="Times New Roman" w:hAnsi="Times New Roman"/>
          <w:sz w:val="20"/>
        </w:rPr>
        <w:t xml:space="preserve">” 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i/>
          <w:sz w:val="20"/>
        </w:rPr>
        <w:t>Dividend Equivalent Right</w:t>
      </w:r>
      <w:r>
        <w:rPr>
          <w:rFonts w:ascii="Times New Roman" w:hAnsi="Times New Roman"/>
          <w:sz w:val="20"/>
        </w:rPr>
        <w:t xml:space="preserve">”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i/>
          <w:sz w:val="20"/>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i/>
          <w:sz w:val="20"/>
        </w:rPr>
        <w:t>Fair Market Value</w:t>
      </w:r>
      <w:r>
        <w:rPr>
          <w:rFonts w:ascii="Times New Roman" w:hAnsi="Times New Roman"/>
          <w:sz w:val="20"/>
        </w:rPr>
        <w:t xml:space="preserve">” means, as of any date, the value of a share of Stock or other property as determined by the Committee, in its discretion, or by the Company, in its discretion, if such determination is expressly allocated to the Company herein,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hAnsi="Times New Roman"/>
          <w:i/>
          <w:sz w:val="20"/>
        </w:rPr>
        <w:t>The Wall Street Journal</w:t>
      </w:r>
      <w:r>
        <w:rPr>
          <w:rFonts w:ascii="Times New Roman" w:hAnsi="Times New Roman"/>
          <w:sz w:val="20"/>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(ii)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i/>
          <w:sz w:val="20"/>
        </w:rPr>
        <w:t>Full Value Award</w:t>
      </w:r>
      <w:r>
        <w:rPr>
          <w:rFonts w:ascii="Times New Roman" w:hAnsi="Times New Roman"/>
          <w:sz w:val="20"/>
        </w:rPr>
        <w:t xml:space="preserve">”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i/>
          <w:sz w:val="20"/>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 “</w:t>
      </w:r>
      <w:r>
        <w:rPr>
          <w:rFonts w:ascii="Times New Roman" w:hAnsi="Times New Roman"/>
          <w:b/>
          <w:i/>
          <w:sz w:val="20"/>
        </w:rPr>
        <w:t>Incumbent Director</w:t>
      </w:r>
      <w:r>
        <w:rPr>
          <w:rFonts w:ascii="Times New Roman" w:hAnsi="Times New Roman"/>
          <w:sz w:val="20"/>
        </w:rPr>
        <w:t xml:space="preserve">”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i/>
          <w:sz w:val="20"/>
        </w:rPr>
        <w:t>Net Exercise</w:t>
      </w:r>
      <w:r>
        <w:rPr>
          <w:rFonts w:ascii="Times New Roman" w:hAnsi="Times New Roman"/>
          <w:sz w:val="20"/>
        </w:rPr>
        <w:t xml:space="preserve">” means a Net Exercise as defined in Section 6.3(b)(iii).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i/>
          <w:sz w:val="20"/>
        </w:rPr>
        <w:t>Nonemployee Director</w:t>
      </w:r>
      <w:r>
        <w:rPr>
          <w:rFonts w:ascii="Times New Roman" w:hAnsi="Times New Roman"/>
          <w:sz w:val="20"/>
        </w:rPr>
        <w:t xml:space="preserve">” means a Director who is not an Employee.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i/>
          <w:sz w:val="20"/>
        </w:rPr>
        <w:t>Nonemployee Director Award</w:t>
      </w:r>
      <w:r>
        <w:rPr>
          <w:rFonts w:ascii="Times New Roman" w:hAnsi="Times New Roman"/>
          <w:sz w:val="20"/>
        </w:rPr>
        <w:t xml:space="preserve">” means any Award granted to a Nonemployee Director.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i/>
          <w:sz w:val="20"/>
        </w:rPr>
        <w:t>Nonstatutory Stock Option</w:t>
      </w:r>
      <w:r>
        <w:rPr>
          <w:rFonts w:ascii="Times New Roman" w:hAnsi="Times New Roman"/>
          <w:sz w:val="20"/>
        </w:rPr>
        <w:t xml:space="preserve">” means an Option not intended to be (as set forth in the Award Agreement) or which does not qualify as an incentive stock option within the meaning of Section 422(b) of the Code.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i/>
          <w:sz w:val="20"/>
        </w:rPr>
        <w:t>Officer</w:t>
      </w:r>
      <w:r>
        <w:rPr>
          <w:rFonts w:ascii="Times New Roman" w:hAnsi="Times New Roman"/>
          <w:sz w:val="20"/>
        </w:rPr>
        <w:t xml:space="preserve">” means any person designated by the Board as an officer of the Company.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i/>
          <w:sz w:val="20"/>
        </w:rPr>
        <w:t>Option</w:t>
      </w:r>
      <w:r>
        <w:rPr>
          <w:rFonts w:ascii="Times New Roman" w:hAnsi="Times New Roman"/>
          <w:sz w:val="20"/>
        </w:rPr>
        <w:t xml:space="preserve">” means an Incentive Stock Option or a Nonstatutory Stock Option granted pursuant to the Plan.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i/>
          <w:sz w:val="20"/>
        </w:rPr>
        <w:t>Other Stock-Based Award</w:t>
      </w:r>
      <w:r>
        <w:rPr>
          <w:rFonts w:ascii="Times New Roman" w:hAnsi="Times New Roman"/>
          <w:sz w:val="20"/>
        </w:rPr>
        <w:t xml:space="preserve">” means an Award denominated in shares of Stock and granted pursuant to Section 11.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i/>
          <w:sz w:val="20"/>
        </w:rPr>
        <w:t>Ownership Change Event</w:t>
      </w:r>
      <w:r>
        <w:rPr>
          <w:rFonts w:ascii="Times New Roman" w:hAnsi="Times New Roman"/>
          <w:sz w:val="20"/>
        </w:rPr>
        <w:t xml:space="preserve">”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 “</w:t>
      </w:r>
      <w:r>
        <w:rPr>
          <w:rFonts w:ascii="Times New Roman" w:hAnsi="Times New Roman"/>
          <w:b/>
          <w:i/>
          <w:sz w:val="20"/>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b/>
          <w:i/>
          <w:sz w:val="20"/>
        </w:rPr>
        <w:t>Participant</w:t>
      </w:r>
      <w:r>
        <w:rPr>
          <w:rFonts w:ascii="Times New Roman" w:hAnsi="Times New Roman"/>
          <w:sz w:val="20"/>
        </w:rPr>
        <w:t xml:space="preserve">” means any eligible person who has been granted one or more Awards.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i/>
          <w:sz w:val="20"/>
        </w:rPr>
        <w:t>Participating Company</w:t>
      </w:r>
      <w:r>
        <w:rPr>
          <w:rFonts w:ascii="Times New Roman" w:hAnsi="Times New Roman"/>
          <w:sz w:val="20"/>
        </w:rPr>
        <w:t xml:space="preserve">” means the Company or any Parent Corporation, Subsidiary Corporation or Affiliate.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Participating Company Group</w:t>
      </w:r>
      <w:r>
        <w:rPr>
          <w:rFonts w:ascii="Times New Roman" w:hAnsi="Times New Roman"/>
          <w:sz w:val="20"/>
        </w:rPr>
        <w:t xml:space="preserve">” means, at any point in time, the Company and all other entities collectively which are then Participating Companies.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i/>
          <w:sz w:val="20"/>
        </w:rPr>
        <w:t>Performance Award</w:t>
      </w:r>
      <w:r>
        <w:rPr>
          <w:rFonts w:ascii="Times New Roman" w:hAnsi="Times New Roman"/>
          <w:sz w:val="20"/>
        </w:rPr>
        <w:t xml:space="preserve">” means an Award of Performance Shares or Performance Units.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b/>
          <w:i/>
          <w:sz w:val="20"/>
        </w:rPr>
        <w:t>Performance Award Formula</w:t>
      </w:r>
      <w:r>
        <w:rPr>
          <w:rFonts w:ascii="Times New Roman" w:hAnsi="Times New Roman"/>
          <w:sz w:val="20"/>
        </w:rPr>
        <w:t xml:space="preserve">”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b/>
          <w:i/>
          <w:sz w:val="20"/>
        </w:rPr>
        <w:t>Performance Goal</w:t>
      </w:r>
      <w:r>
        <w:rPr>
          <w:rFonts w:ascii="Times New Roman" w:hAnsi="Times New Roman"/>
          <w:sz w:val="20"/>
        </w:rPr>
        <w:t xml:space="preserve">” means a performance goal established by the Committee pursuant to Section 10.3.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b/>
          <w:i/>
          <w:sz w:val="20"/>
        </w:rPr>
        <w:t>Performance Period</w:t>
      </w:r>
      <w:r>
        <w:rPr>
          <w:rFonts w:ascii="Times New Roman" w:hAnsi="Times New Roman"/>
          <w:sz w:val="20"/>
        </w:rPr>
        <w:t xml:space="preserve">” means a period established by the Committee pursuant to Section 10.3 at the end of which one or more Performance Goals are to be measured.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b/>
          <w:i/>
          <w:sz w:val="20"/>
        </w:rPr>
        <w:t>Performance Share</w:t>
      </w:r>
      <w:r>
        <w:rPr>
          <w:rFonts w:ascii="Times New Roman" w:hAnsi="Times New Roman"/>
          <w:sz w:val="20"/>
        </w:rPr>
        <w:t xml:space="preserve">” means a right granted to a Participant pursuant to Section 10 to receive a payment equal to the value of a Performance Share, as determined by the Committee, based upon attainment of applicable Performance Goal(s).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b/>
          <w:i/>
          <w:sz w:val="20"/>
        </w:rPr>
        <w:t>Performance Unit</w:t>
      </w:r>
      <w:r>
        <w:rPr>
          <w:rFonts w:ascii="Times New Roman" w:hAnsi="Times New Roman"/>
          <w:sz w:val="20"/>
        </w:rPr>
        <w:t xml:space="preserve">” means a right granted to a Participant pursuant to Section 10 to receive a payment equal to the value of a Performance Unit, as determined by the Committee, based upon attainment of applicable Performance Goal(s).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6.4(a).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(rr) “</w:t>
      </w:r>
      <w:r>
        <w:rPr>
          <w:rFonts w:ascii="Times New Roman" w:hAnsi="Times New Roman"/>
          <w:b/>
          <w:i/>
          <w:sz w:val="20"/>
        </w:rPr>
        <w:t>Restricted Stock Award</w:t>
      </w:r>
      <w:r>
        <w:rPr>
          <w:rFonts w:ascii="Times New Roman" w:hAnsi="Times New Roman"/>
          <w:sz w:val="20"/>
        </w:rPr>
        <w:t xml:space="preserve">” means an Award of a Restricted Stock Bonus or a Restricted Stock Purchase Right.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b/>
          <w:i/>
          <w:sz w:val="20"/>
        </w:rPr>
        <w:t>Restricted Stock Bonus</w:t>
      </w:r>
      <w:r>
        <w:rPr>
          <w:rFonts w:ascii="Times New Roman" w:hAnsi="Times New Roman"/>
          <w:sz w:val="20"/>
        </w:rPr>
        <w:t xml:space="preserve">” means Stock granted to a Participant pursuant to Section 8.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b/>
          <w:i/>
          <w:sz w:val="20"/>
        </w:rPr>
        <w:t>Restricted Stock Purchase Right</w:t>
      </w:r>
      <w:r>
        <w:rPr>
          <w:rFonts w:ascii="Times New Roman" w:hAnsi="Times New Roman"/>
          <w:sz w:val="20"/>
        </w:rPr>
        <w:t xml:space="preserve">” means a right to purchase Stock granted to a Participant pursuant to Section 8.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b/>
          <w:i/>
          <w:sz w:val="20"/>
        </w:rPr>
        <w:t>Restricted Stock Unit</w:t>
      </w:r>
      <w:r>
        <w:rPr>
          <w:rFonts w:ascii="Times New Roman" w:hAnsi="Times New Roman"/>
          <w:sz w:val="20"/>
        </w:rPr>
        <w:t xml:space="preserve">” means a right granted to a Participant pursuant to Section 9 to receive on a future date or occurrence of a future event a share of Stock or cash in lieu thereof, as determined by the Committee.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b/>
          <w:i/>
          <w:sz w:val="20"/>
        </w:rPr>
        <w:t>Rule 16b-3</w:t>
      </w:r>
      <w:r>
        <w:rPr>
          <w:rFonts w:ascii="Times New Roman" w:hAnsi="Times New Roman"/>
          <w:sz w:val="20"/>
        </w:rPr>
        <w:t xml:space="preserve">” means Rule 16b-3 under the Exchange Act, as amended from time to time, or any successor rule or regulation.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b/>
          <w:i/>
          <w:sz w:val="20"/>
        </w:rPr>
        <w:t>SAR</w:t>
      </w:r>
      <w:r>
        <w:rPr>
          <w:rFonts w:ascii="Times New Roman" w:hAnsi="Times New Roman"/>
          <w:sz w:val="20"/>
        </w:rPr>
        <w:t>” or “</w:t>
      </w:r>
      <w:r>
        <w:rPr>
          <w:rFonts w:ascii="Times New Roman" w:hAnsi="Times New Roman"/>
          <w:b/>
          <w:i/>
          <w:sz w:val="20"/>
        </w:rPr>
        <w:t>Stock Appreciation Right</w:t>
      </w:r>
      <w:r>
        <w:rPr>
          <w:rFonts w:ascii="Times New Roman" w:hAnsi="Times New Roman"/>
          <w:sz w:val="20"/>
        </w:rPr>
        <w:t xml:space="preserve">”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b/>
          <w:i/>
          <w:sz w:val="20"/>
        </w:rPr>
        <w:t>Section</w:t>
      </w:r>
      <w:r>
        <w:rPr>
          <w:rFonts w:ascii="Times New Roman" w:hAnsi="Times New Roman"/>
          <w:sz w:val="20"/>
        </w:rPr>
        <w:t> </w:t>
      </w:r>
      <w:r>
        <w:rPr>
          <w:rFonts w:ascii="Times New Roman" w:hAnsi="Times New Roman"/>
          <w:b/>
          <w:i/>
          <w:sz w:val="20"/>
        </w:rPr>
        <w:t>409A Deferred Compensation</w:t>
      </w:r>
      <w:r>
        <w:rPr>
          <w:rFonts w:ascii="Times New Roman" w:hAnsi="Times New Roman"/>
          <w:sz w:val="20"/>
        </w:rPr>
        <w:t xml:space="preserve">” means compensation provided pursuant to an Award that constitutes nonqualified deferred compensation within the meaning of Section 409A.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b/>
          <w:i/>
          <w:sz w:val="20"/>
        </w:rPr>
        <w:t>Service</w:t>
      </w:r>
      <w:r>
        <w:rPr>
          <w:rFonts w:ascii="Times New Roman" w:hAnsi="Times New Roman"/>
          <w:sz w:val="20"/>
        </w:rPr>
        <w:t xml:space="preserve">”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(bbb) “</w:t>
      </w:r>
      <w:r>
        <w:rPr>
          <w:rFonts w:ascii="Times New Roman" w:hAnsi="Times New Roman"/>
          <w:b/>
          <w:i/>
          <w:sz w:val="20"/>
        </w:rPr>
        <w:t>Stock</w:t>
      </w:r>
      <w:r>
        <w:rPr>
          <w:rFonts w:ascii="Times New Roman" w:hAnsi="Times New Roman"/>
          <w:sz w:val="20"/>
        </w:rPr>
        <w:t xml:space="preserve">” means the common stock of the Company, as adjusted from time to time in accordance with Section 4.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b/>
          <w:i/>
          <w:sz w:val="20"/>
        </w:rPr>
        <w:t>Stock Tender Exercise</w:t>
      </w:r>
      <w:r>
        <w:rPr>
          <w:rFonts w:ascii="Times New Roman" w:hAnsi="Times New Roman"/>
          <w:sz w:val="20"/>
        </w:rPr>
        <w:t xml:space="preserve">” means a Stock Tender Exercise as defined in Section 6.3(b)(ii).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b/>
          <w:i/>
          <w:sz w:val="20"/>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b/>
          <w:i/>
          <w:sz w:val="20"/>
        </w:rPr>
        <w:t>Ten Percent Owner</w:t>
      </w:r>
      <w:r>
        <w:rPr>
          <w:rFonts w:ascii="Times New Roman" w:hAnsi="Times New Roman"/>
          <w:sz w:val="20"/>
        </w:rPr>
        <w:t xml:space="preserve">”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 </w:t>
      </w:r>
    </w:p>
    <w:p>
      <w:pPr>
        <w:pStyle w:val="TextBody"/>
        <w:bidi w:val="0"/>
        <w:spacing w:before="120" w:after="0"/>
        <w:jc w:val="left"/>
        <w:rPr>
          <w:rFonts w:ascii="Times New Roman" w:hAnsi="Times New Roman"/>
          <w:sz w:val="20"/>
        </w:rPr>
      </w:pPr>
      <w:r>
        <w:rPr>
          <w:rFonts w:ascii="Times New Roman" w:hAnsi="Times New Roman"/>
          <w:sz w:val="20"/>
        </w:rPr>
        <w:t>(fff) “</w:t>
      </w:r>
      <w:r>
        <w:rPr>
          <w:rFonts w:ascii="Times New Roman" w:hAnsi="Times New Roman"/>
          <w:b/>
          <w:i/>
          <w:sz w:val="20"/>
        </w:rPr>
        <w:t>Trading Compliance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120" w:after="0"/>
        <w:jc w:val="left"/>
        <w:rPr>
          <w:rFonts w:ascii="Times New Roman" w:hAnsi="Times New Roman"/>
          <w:sz w:val="20"/>
        </w:rPr>
      </w:pPr>
      <w:r>
        <w:rPr>
          <w:rFonts w:ascii="Times New Roman" w:hAnsi="Times New Roman"/>
          <w:sz w:val="20"/>
        </w:rPr>
        <w:t>(ggg) “</w:t>
      </w:r>
      <w:r>
        <w:rPr>
          <w:rFonts w:ascii="Times New Roman" w:hAnsi="Times New Roman"/>
          <w:b/>
          <w:i/>
          <w:sz w:val="20"/>
        </w:rPr>
        <w:t>Vesting Conditions</w:t>
      </w:r>
      <w:r>
        <w:rPr>
          <w:rFonts w:ascii="Times New Roman" w:hAnsi="Times New Roman"/>
          <w:sz w:val="20"/>
        </w:rPr>
        <w:t xml:space="preserve">”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Administration by the Committee.</w:t>
      </w:r>
      <w:r>
        <w:rPr>
          <w:rFonts w:ascii="Times New Roman" w:hAnsi="Times New Roman"/>
          <w:sz w:val="20"/>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Authority of Officers.</w:t>
      </w:r>
      <w:r>
        <w:rPr>
          <w:rFonts w:ascii="Times New Roman" w:hAnsi="Times New Roman"/>
          <w:sz w:val="20"/>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Administration with Respect to Insiders.</w:t>
      </w:r>
      <w:r>
        <w:rPr>
          <w:rFonts w:ascii="Times New Roman" w:hAnsi="Times New Roman"/>
          <w:sz w:val="20"/>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Powers of the Committee</w:t>
      </w:r>
      <w:r>
        <w:rPr>
          <w:rFonts w:ascii="Times New Roman" w:hAnsi="Times New Roman"/>
          <w:b/>
          <w:i/>
          <w:sz w:val="20"/>
        </w:rPr>
        <w:t>.</w:t>
      </w:r>
      <w:r>
        <w:rPr>
          <w:rFonts w:ascii="Times New Roman" w:hAnsi="Times New Roman"/>
          <w:sz w:val="20"/>
        </w:rPr>
        <w:t xml:space="preserve"> In addition to any other powers set forth in the Plan and subject to the provisions of the Plan, the Committee shall have the full and final power and authority,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(a) to determine the persons to whom, and the time or times at which, Awards shall be granted and the number of shares of Stock, units or monetary value to be subject to each Award; </w:t>
      </w:r>
    </w:p>
    <w:p>
      <w:pPr>
        <w:pStyle w:val="TextBody"/>
        <w:bidi w:val="0"/>
        <w:spacing w:before="120" w:after="0"/>
        <w:jc w:val="left"/>
        <w:rPr>
          <w:rFonts w:ascii="Times New Roman" w:hAnsi="Times New Roman"/>
          <w:sz w:val="20"/>
        </w:rPr>
      </w:pPr>
      <w:r>
        <w:rPr>
          <w:rFonts w:ascii="Times New Roman" w:hAnsi="Times New Roman"/>
          <w:sz w:val="20"/>
        </w:rPr>
        <w:t xml:space="preserve">(b) to determine the type of Award granted; </w:t>
      </w:r>
    </w:p>
    <w:p>
      <w:pPr>
        <w:pStyle w:val="TextBody"/>
        <w:bidi w:val="0"/>
        <w:spacing w:before="120" w:after="0"/>
        <w:jc w:val="left"/>
        <w:rPr>
          <w:rFonts w:ascii="Times New Roman" w:hAnsi="Times New Roman"/>
          <w:sz w:val="20"/>
        </w:rPr>
      </w:pPr>
      <w:r>
        <w:rPr>
          <w:rFonts w:ascii="Times New Roman" w:hAnsi="Times New Roman"/>
          <w:sz w:val="20"/>
        </w:rPr>
        <w:t xml:space="preserve">(c) to determine the Fair Market Value of shares of Stock or other property; </w:t>
      </w:r>
    </w:p>
    <w:p>
      <w:pPr>
        <w:pStyle w:val="TextBody"/>
        <w:bidi w:val="0"/>
        <w:spacing w:before="120" w:after="0"/>
        <w:jc w:val="left"/>
        <w:rPr>
          <w:rFonts w:ascii="Times New Roman" w:hAnsi="Times New Roman"/>
          <w:sz w:val="20"/>
        </w:rPr>
      </w:pPr>
      <w:r>
        <w:rPr>
          <w:rFonts w:ascii="Times New Roman" w:hAnsi="Times New Roman"/>
          <w:sz w:val="20"/>
        </w:rPr>
        <w:t xml:space="preserve">(d)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determine whether an Award will be settled in shares of Stock, cash, other property or in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(f) to approve one or more forms of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(g) to amend, modify, extend, cancel or renew any Award or to waive any restrictions or conditions applicable to any Award or any shares acquired pursuant thereto;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(i) the Company requests the consent of the affected Participant, and (ii) such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(h) to accelerate, continue, extend or defer the exercisability or vesting of any Award or any shares acquired pursuant thereto, including with respect to the period following a Participant’s termination of Service;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action unless (i) the Company requests the consent of the affected Participant, and (ii) such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w:t>
      </w:r>
    </w:p>
    <w:p>
      <w:pPr>
        <w:pStyle w:val="TextBody"/>
        <w:bidi w:val="0"/>
        <w:spacing w:before="120" w:after="0"/>
        <w:jc w:val="left"/>
        <w:rPr>
          <w:rFonts w:ascii="Times New Roman" w:hAnsi="Times New Roman"/>
          <w:sz w:val="20"/>
        </w:rPr>
      </w:pPr>
      <w:r>
        <w:rPr>
          <w:rFonts w:ascii="Times New Roman" w:hAnsi="Times New Roman"/>
          <w:sz w:val="20"/>
        </w:rPr>
        <w:t xml:space="preserve">(j)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w:t>
      </w:r>
    </w:p>
    <w:p>
      <w:pPr>
        <w:pStyle w:val="TextBody"/>
        <w:bidi w:val="0"/>
        <w:spacing w:before="120" w:after="0"/>
        <w:jc w:val="left"/>
        <w:rPr>
          <w:rFonts w:ascii="Times New Roman" w:hAnsi="Times New Roman"/>
          <w:sz w:val="20"/>
        </w:rPr>
      </w:pPr>
      <w:r>
        <w:rPr>
          <w:rFonts w:ascii="Times New Roman" w:hAnsi="Times New Roman"/>
          <w:sz w:val="20"/>
        </w:rPr>
        <w:t xml:space="preserve">(k) to effect, at any time and from time to time, subject to the consent of any Participant whose Award is Materially Impaired by such action, (i) 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(l)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Option or SAR Repricing.</w:t>
      </w:r>
      <w:r>
        <w:rPr>
          <w:rFonts w:ascii="Times New Roman" w:hAnsi="Times New Roman"/>
          <w:sz w:val="20"/>
        </w:rPr>
        <w:t xml:space="preserve">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rFonts w:ascii="Times New Roman" w:hAnsi="Times New Roman"/>
          <w:b/>
          <w:i/>
          <w:sz w:val="20"/>
        </w:rPr>
        <w:t>Underwater Awards</w:t>
      </w:r>
      <w:r>
        <w:rPr>
          <w:rFonts w:ascii="Times New Roman" w:hAnsi="Times New Roman"/>
          <w:sz w:val="20"/>
        </w:rPr>
        <w:t xml:space="preserve">”) and the grant in substitution therefor of new Options or SARs covering the same or a 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Indemnification.</w:t>
      </w:r>
      <w:r>
        <w:rPr>
          <w:rFonts w:ascii="Times New Roman" w:hAnsi="Times New Roman"/>
          <w:sz w:val="20"/>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Maximum Number of Shares Issuable.</w:t>
      </w:r>
      <w:r>
        <w:rPr>
          <w:rFonts w:ascii="Times New Roman" w:hAnsi="Times New Roman"/>
          <w:sz w:val="20"/>
        </w:rPr>
        <w:t xml:space="preserve"> Subject to adjustment as provided in Sections 4.2 and 4.3, the maximum aggregate number of shares of Stock that may be issued under the Plan shall be equal to 10,021,784 shares, plus an annual increase, effective as of the first day of the calendar year beginning in the year following the calendar year in which the Effective Date occurs and the first day of each subsequent calendar year through and including the first day of the calendar year beginning on the ninth (9th) anniversary of the commencement of such annual increase, by a number of shares equal to the lesser of (i) 5% of the number of shares of Stock outstanding as of such date of the annual increase, or (ii) such amount, if any, as the Board may determine, and such shares shall consist of authorized but unissued or reacquired shares of Stock or any combination thereof; provided, however that in no event shall any such annual increase occur on any date that is on or later than the tenth (10th) anniversary of the date the stockholders of the Company approved the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Share Counting.</w:t>
      </w:r>
      <w:r>
        <w:rPr>
          <w:rFonts w:ascii="Times New Roman" w:hAnsi="Times New Roman"/>
          <w:sz w:val="20"/>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Adjustments for Changes in Capital Structure.</w:t>
      </w:r>
      <w:r>
        <w:rPr>
          <w:rFonts w:ascii="Times New Roman" w:hAnsi="Times New Roman"/>
          <w:sz w:val="20"/>
        </w:rPr>
        <w:t xml:space="preserve">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hAnsi="Times New Roman"/>
          <w:b/>
          <w:i/>
          <w:sz w:val="20"/>
        </w:rPr>
        <w:t>New Shares</w:t>
      </w:r>
      <w:r>
        <w:rPr>
          <w:rFonts w:ascii="Times New Roman" w:hAnsi="Times New Roman"/>
          <w:sz w:val="20"/>
        </w:rPr>
        <w:t xml:space="preserve">”),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Assumption or Substitution of Awards.</w:t>
      </w:r>
      <w:r>
        <w:rPr>
          <w:rFonts w:ascii="Times New Roman" w:hAnsi="Times New Roman"/>
          <w:sz w:val="20"/>
        </w:rPr>
        <w:t xml:space="preserve">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PARTICIPATION AND AWARD LIMITATIONS.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Participation in the Plan.</w:t>
      </w:r>
      <w:r>
        <w:rPr>
          <w:rFonts w:ascii="Times New Roman" w:hAnsi="Times New Roman"/>
          <w:sz w:val="20"/>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Incentive Stock Option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Maximum Number of Shares Issuable Pursuant to Incentive Stock Options.</w:t>
      </w:r>
      <w:r>
        <w:rPr>
          <w:rFonts w:ascii="Times New Roman" w:hAnsi="Times New Roman"/>
          <w:sz w:val="20"/>
        </w:rPr>
        <w:t xml:space="preserve"> Subject to adjustment as provided in Section 4.3, the maximum aggregate number of shares of Stock that may be issued under the Plan pursuant to the exercise of Incentive Stock Options shall not exceed 10,021,784 shares. The maximum aggregate number of shares of Stock that may be issued under the Plan pursuant to all Awards other than Incentive Stock Options shall be the number of shares determined in accordance with Section 4.1, subject to adjustment as provided in Sections 4.2 and 4.3.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Persons Eligible.</w:t>
      </w:r>
      <w:r>
        <w:rPr>
          <w:rFonts w:ascii="Times New Roman" w:hAnsi="Times New Roman"/>
          <w:sz w:val="20"/>
        </w:rPr>
        <w:t xml:space="preserve"> An Incentive Stock Option may be granted only to a person who, on the effective date of grant, is an Employee of the Company, a Parent Corporation or a Subsidiary Corporation (each being an “</w:t>
      </w:r>
      <w:r>
        <w:rPr>
          <w:rFonts w:ascii="Times New Roman" w:hAnsi="Times New Roman"/>
          <w:b/>
          <w:i/>
          <w:sz w:val="20"/>
        </w:rPr>
        <w:t>ISO-Qualifying Corporation</w:t>
      </w:r>
      <w:r>
        <w:rPr>
          <w:rFonts w:ascii="Times New Roman" w:hAnsi="Times New Roman"/>
          <w:sz w:val="20"/>
        </w:rPr>
        <w:t xml:space="preserve">”). Any person who is not an Employee of an ISO-Qualifying Corporation on the effective date of the grant of an Option to such person may be granted only a Nonstatutory Stock Option.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Fair Market Value Limitation.</w:t>
      </w:r>
      <w:r>
        <w:rPr>
          <w:rFonts w:ascii="Times New Roman" w:hAnsi="Times New Roman"/>
          <w:sz w:val="20"/>
        </w:rPr>
        <w:t xml:space="preserve">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Nonemployee Director Award Limit.</w:t>
      </w:r>
      <w:r>
        <w:rPr>
          <w:rFonts w:ascii="Times New Roman" w:hAnsi="Times New Roman"/>
          <w:sz w:val="20"/>
        </w:rPr>
        <w:t xml:space="preserve">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Exercise Price.</w:t>
      </w:r>
      <w:r>
        <w:rPr>
          <w:rFonts w:ascii="Times New Roman" w:hAnsi="Times New Roman"/>
          <w:sz w:val="20"/>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Payment of 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Limitations on Forms of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Cashless Exercise.</w:t>
      </w:r>
      <w:r>
        <w:rPr>
          <w:rFonts w:ascii="Times New Roman" w:hAnsi="Times New Roman"/>
          <w:sz w:val="20"/>
        </w:rPr>
        <w:t xml:space="preserve"> A “</w:t>
      </w:r>
      <w:r>
        <w:rPr>
          <w:rFonts w:ascii="Times New Roman" w:hAnsi="Times New Roman"/>
          <w:b/>
          <w:i/>
          <w:sz w:val="20"/>
        </w:rPr>
        <w:t>Cashless Exercise</w:t>
      </w:r>
      <w:r>
        <w:rPr>
          <w:rFonts w:ascii="Times New Roman" w:hAnsi="Times New Roman"/>
          <w:sz w:val="20"/>
        </w:rPr>
        <w:t xml:space="preserve">” 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Stock Tender Exercise.</w:t>
      </w:r>
      <w:r>
        <w:rPr>
          <w:rFonts w:ascii="Times New Roman" w:hAnsi="Times New Roman"/>
          <w:sz w:val="20"/>
        </w:rPr>
        <w:t xml:space="preserve"> A “</w:t>
      </w:r>
      <w:r>
        <w:rPr>
          <w:rFonts w:ascii="Times New Roman" w:hAnsi="Times New Roman"/>
          <w:b/>
          <w:i/>
          <w:sz w:val="20"/>
        </w:rPr>
        <w:t>Stock Tender Exercise</w:t>
      </w:r>
      <w:r>
        <w:rPr>
          <w:rFonts w:ascii="Times New Roman" w:hAnsi="Times New Roman"/>
          <w:sz w:val="20"/>
        </w:rPr>
        <w:t xml:space="preserve">”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Net Exercise.</w:t>
      </w:r>
      <w:r>
        <w:rPr>
          <w:rFonts w:ascii="Times New Roman" w:hAnsi="Times New Roman"/>
          <w:sz w:val="20"/>
        </w:rPr>
        <w:t xml:space="preserve"> A “</w:t>
      </w:r>
      <w:r>
        <w:rPr>
          <w:rFonts w:ascii="Times New Roman" w:hAnsi="Times New Roman"/>
          <w:b/>
          <w:i/>
          <w:sz w:val="20"/>
        </w:rPr>
        <w:t>Net Exercise</w:t>
      </w:r>
      <w:r>
        <w:rPr>
          <w:rFonts w:ascii="Times New Roman" w:hAnsi="Times New Roman"/>
          <w:sz w:val="20"/>
        </w:rPr>
        <w:t xml:space="preserve">”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Effect of Termination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Option Exercisability.</w:t>
      </w:r>
      <w:r>
        <w:rPr>
          <w:rFonts w:ascii="Times New Roman" w:hAnsi="Times New Roman"/>
          <w:sz w:val="20"/>
        </w:rPr>
        <w:t xml:space="preserve"> Subject to earlier termination of the Option as otherwise provided 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 w:hAnsi="Times New Roman"/>
          <w:b/>
          <w:i/>
          <w:sz w:val="20"/>
        </w:rPr>
        <w:t>Option Expiration Date</w:t>
      </w:r>
      <w:r>
        <w:rPr>
          <w:rFonts w:ascii="Times New Roman" w:hAnsi="Times New Roman"/>
          <w:sz w:val="20"/>
        </w:rPr>
        <w:t xml:space="preserve">”), and thereafter shall terminate if not exercised during such period. Notwithstanding anything herein to the contrary, if an Incentive Stock Option is exercisable following the date that is three (3) months following the date as of which a Participant ceases to be an Employee for any reason other than death or Disability, such Option shall be deemed to be a Nonstatutory Stock Option.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Termination for Cause.</w:t>
      </w:r>
      <w:r>
        <w:rPr>
          <w:rFonts w:ascii="Times New Roman" w:hAnsi="Times New Roman"/>
          <w:sz w:val="20"/>
        </w:rPr>
        <w:t xml:space="preserve">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Extension if Exercise Prevented by Law.</w:t>
      </w:r>
      <w:r>
        <w:rPr>
          <w:rFonts w:ascii="Times New Roman" w:hAnsi="Times New Roman"/>
          <w:sz w:val="20"/>
        </w:rPr>
        <w:t xml:space="preserve"> Notwithstanding the foregoing, other than termination of Service for Cause, if the exercise of an Option within the Post-Termination Exercise Period is prevented by the 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Types of SARs Authorized.</w:t>
      </w:r>
      <w:r>
        <w:rPr>
          <w:rFonts w:ascii="Times New Roman" w:hAnsi="Times New Roman"/>
          <w:sz w:val="20"/>
        </w:rPr>
        <w:t xml:space="preserve"> SARs may be granted in tandem with all or any portion of a related Option (a “</w:t>
      </w:r>
      <w:r>
        <w:rPr>
          <w:rFonts w:ascii="Times New Roman" w:hAnsi="Times New Roman"/>
          <w:b/>
          <w:i/>
          <w:sz w:val="20"/>
        </w:rPr>
        <w:t>Tandem SAR</w:t>
      </w:r>
      <w:r>
        <w:rPr>
          <w:rFonts w:ascii="Times New Roman" w:hAnsi="Times New Roman"/>
          <w:sz w:val="20"/>
        </w:rPr>
        <w:t>”) or may be granted independently of any Option (a “</w:t>
      </w:r>
      <w:r>
        <w:rPr>
          <w:rFonts w:ascii="Times New Roman" w:hAnsi="Times New Roman"/>
          <w:b/>
          <w:i/>
          <w:sz w:val="20"/>
        </w:rPr>
        <w:t>Freestanding SAR</w:t>
      </w:r>
      <w:r>
        <w:rPr>
          <w:rFonts w:ascii="Times New Roman" w:hAnsi="Times New Roman"/>
          <w:sz w:val="20"/>
        </w:rPr>
        <w:t xml:space="preserve">”). A Tandem SAR may only be granted concurrently with the grant of the related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Exercise Price.</w:t>
      </w:r>
      <w:r>
        <w:rPr>
          <w:rFonts w:ascii="Times New Roman" w:hAnsi="Times New Roman"/>
          <w:sz w:val="20"/>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Exercisability and Term of SARs.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Tandem SARs.</w:t>
      </w:r>
      <w:r>
        <w:rPr>
          <w:rFonts w:ascii="Times New Roman" w:hAnsi="Times New Roman"/>
          <w:sz w:val="20"/>
        </w:rPr>
        <w:t xml:space="preserve">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Freestanding SARs.</w:t>
      </w:r>
      <w:r>
        <w:rPr>
          <w:rFonts w:ascii="Times New Roman" w:hAnsi="Times New Roman"/>
          <w:sz w:val="20"/>
        </w:rPr>
        <w:t xml:space="preserve">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unless otherwise specified by the Committee in the grant of a Freestanding SAR, each Freestanding SAR shall terminate ten (10) years after the effective date of grant of the SAR,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Exercise of SARs.</w:t>
      </w:r>
      <w:r>
        <w:rPr>
          <w:rFonts w:ascii="Times New Roman" w:hAnsi="Times New Roman"/>
          <w:sz w:val="20"/>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Deemed Exercise of SARs.</w:t>
      </w:r>
      <w:r>
        <w:rPr>
          <w:rFonts w:ascii="Times New Roman" w:hAnsi="Times New Roman"/>
          <w:sz w:val="20"/>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Effect of Termination of Service.</w:t>
      </w:r>
      <w:r>
        <w:rPr>
          <w:rFonts w:ascii="Times New Roman" w:hAnsi="Times New Roman"/>
          <w:sz w:val="20"/>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Transferability of SARs.</w:t>
      </w:r>
      <w:r>
        <w:rPr>
          <w:rFonts w:ascii="Times New Roman" w:hAnsi="Times New Roman"/>
          <w:sz w:val="20"/>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Types of Restricted Stock Awards Authorized.</w:t>
      </w:r>
      <w:r>
        <w:rPr>
          <w:rFonts w:ascii="Times New Roman" w:hAnsi="Times New Roman"/>
          <w:sz w:val="20"/>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Purchase Price.</w:t>
      </w:r>
      <w:r>
        <w:rPr>
          <w:rFonts w:ascii="Times New Roman" w:hAnsi="Times New Roman"/>
          <w:sz w:val="20"/>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Purchase Period.</w:t>
      </w:r>
      <w:r>
        <w:rPr>
          <w:rFonts w:ascii="Times New Roman" w:hAnsi="Times New Roman"/>
          <w:sz w:val="20"/>
        </w:rPr>
        <w:t xml:space="preserve"> A Restricted Stock Purchase Right shall be exercisable within a period established by the Committee, which shall in no event exceed thirty (30) days from the effective date of the grant of the Restricted Stock Purchase Right.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Payment of Purchase Price.</w:t>
      </w:r>
      <w:r>
        <w:rPr>
          <w:rFonts w:ascii="Times New Roman" w:hAnsi="Times New Roman"/>
          <w:sz w:val="20"/>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Voting Rights; Dividends and Distributions.</w:t>
      </w:r>
      <w:r>
        <w:rPr>
          <w:rFonts w:ascii="Times New Roman" w:hAnsi="Times New Roman"/>
          <w:sz w:val="20"/>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Effect of Termination of Service.</w:t>
      </w:r>
      <w:r>
        <w:rPr>
          <w:rFonts w:ascii="Times New Roman" w:hAnsi="Times New Roman"/>
          <w:sz w:val="20"/>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rPr>
        <w:t>Nontransferability</w:t>
      </w:r>
      <w:r>
        <w:rPr>
          <w:rFonts w:ascii="Times New Roman" w:hAnsi="Times New Roman"/>
          <w:sz w:val="20"/>
        </w:rPr>
        <w:t xml:space="preserve"> </w:t>
      </w:r>
      <w:r>
        <w:rPr>
          <w:rFonts w:ascii="Times New Roman" w:hAnsi="Times New Roman"/>
          <w:b/>
          <w:sz w:val="20"/>
        </w:rPr>
        <w:t>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Grant of Restricted Stock Unit Awards.</w:t>
      </w:r>
      <w:r>
        <w:rPr>
          <w:rFonts w:ascii="Times New Roman" w:hAnsi="Times New Roman"/>
          <w:sz w:val="20"/>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Purchase Price.</w:t>
      </w:r>
      <w:r>
        <w:rPr>
          <w:rFonts w:ascii="Times New Roman" w:hAnsi="Times New Roman"/>
          <w:sz w:val="20"/>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Vesting.</w:t>
      </w:r>
      <w:r>
        <w:rPr>
          <w:rFonts w:ascii="Times New Roman" w:hAnsi="Times New Roman"/>
          <w:sz w:val="20"/>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Effect of Termination of Service.</w:t>
      </w:r>
      <w:r>
        <w:rPr>
          <w:rFonts w:ascii="Times New Roman" w:hAnsi="Times New Roman"/>
          <w:sz w:val="20"/>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b/>
          <w:sz w:val="20"/>
        </w:rPr>
        <w:t>Settlement of Restricted Stock Unit Awards.</w:t>
      </w:r>
      <w:r>
        <w:rPr>
          <w:rFonts w:ascii="Times New Roman" w:hAnsi="Times New Roman"/>
          <w:sz w:val="20"/>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b/>
          <w:sz w:val="20"/>
        </w:rPr>
        <w:t>Nontransferability</w:t>
      </w:r>
      <w:r>
        <w:rPr>
          <w:rFonts w:ascii="Times New Roman" w:hAnsi="Times New Roman"/>
          <w:sz w:val="20"/>
        </w:rPr>
        <w:t xml:space="preserve"> </w:t>
      </w:r>
      <w:r>
        <w:rPr>
          <w:rFonts w:ascii="Times New Roman" w:hAnsi="Times New Roman"/>
          <w:b/>
          <w:sz w:val="20"/>
        </w:rPr>
        <w:t>of Restricted Stock Unit Awards.</w:t>
      </w:r>
      <w:r>
        <w:rPr>
          <w:rFonts w:ascii="Times New Roman" w:hAnsi="Times New Roman"/>
          <w:sz w:val="20"/>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Performance Awards shall be evidenced by Award Agreements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Types of Performance Awards Authorized.</w:t>
      </w:r>
      <w:r>
        <w:rPr>
          <w:rFonts w:ascii="Times New Roman" w:hAnsi="Times New Roman"/>
          <w:sz w:val="20"/>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Initial Value of Performance Shares and Performance Units.</w:t>
      </w:r>
      <w:r>
        <w:rPr>
          <w:rFonts w:ascii="Times New Roman" w:hAnsi="Times New Roman"/>
          <w:sz w:val="20"/>
        </w:rPr>
        <w:t xml:space="preserve">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Establishment of Performance Period, Performance Goals and Performance Award Formula.</w:t>
      </w:r>
      <w:r>
        <w:rPr>
          <w:rFonts w:ascii="Times New Roman" w:hAnsi="Times New Roman"/>
          <w:sz w:val="20"/>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Measurement of Performance Goals.</w:t>
      </w:r>
      <w:r>
        <w:rPr>
          <w:rFonts w:ascii="Times New Roman" w:hAnsi="Times New Roman"/>
          <w:sz w:val="20"/>
        </w:rPr>
        <w:t xml:space="preserve"> Performance Goals shall be established by the Committee on the basis of targets to be attained (“</w:t>
      </w:r>
      <w:r>
        <w:rPr>
          <w:rFonts w:ascii="Times New Roman" w:hAnsi="Times New Roman"/>
          <w:b/>
          <w:i/>
          <w:sz w:val="20"/>
        </w:rPr>
        <w:t>Performance Targets</w:t>
      </w:r>
      <w:r>
        <w:rPr>
          <w:rFonts w:ascii="Times New Roman" w:hAnsi="Times New Roman"/>
          <w:sz w:val="20"/>
        </w:rPr>
        <w:t>”) with respect to one or more measures of objective or subjective business, financial or individual performance or other performance criteria established by the Committee in its discretion (each, a “</w:t>
      </w:r>
      <w:r>
        <w:rPr>
          <w:rFonts w:ascii="Times New Roman" w:hAnsi="Times New Roman"/>
          <w:b/>
          <w:i/>
          <w:sz w:val="20"/>
        </w:rPr>
        <w:t>Performance Measure</w:t>
      </w:r>
      <w:r>
        <w:rPr>
          <w:rFonts w:ascii="Times New Roman" w:hAnsi="Times New Roman"/>
          <w:sz w:val="20"/>
        </w:rPr>
        <w:t xml:space="preserve">”),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Performance Measures.</w:t>
      </w:r>
      <w:r>
        <w:rPr>
          <w:rFonts w:ascii="Times New Roman" w:hAnsi="Times New Roman"/>
          <w:sz w:val="20"/>
        </w:rPr>
        <w:t xml:space="preserve"> Unless otherwise determined by the Committee no later than the grant of the Performance Award,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Performance Targets.</w:t>
      </w:r>
      <w:r>
        <w:rPr>
          <w:rFonts w:ascii="Times New Roman" w:hAnsi="Times New Roman"/>
          <w:sz w:val="20"/>
        </w:rPr>
        <w:t xml:space="preserve">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Settlement of Performance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Determination of Final Value.</w:t>
      </w:r>
      <w:r>
        <w:rPr>
          <w:rFonts w:ascii="Times New Roman" w:hAnsi="Times New Roman"/>
          <w:sz w:val="20"/>
        </w:rPr>
        <w:t xml:space="preserve">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Discretionary Adjustment of Award Formula.</w:t>
      </w:r>
      <w:r>
        <w:rPr>
          <w:rFonts w:ascii="Times New Roman" w:hAnsi="Times New Roman"/>
          <w:sz w:val="20"/>
        </w:rPr>
        <w:t xml:space="preserve">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Effect of Leaves of Absence.</w:t>
      </w:r>
      <w:r>
        <w:rPr>
          <w:rFonts w:ascii="Times New Roman" w:hAnsi="Times New Roman"/>
          <w:sz w:val="20"/>
        </w:rPr>
        <w:t xml:space="preserve">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Notice to Participants.</w:t>
      </w:r>
      <w:r>
        <w:rPr>
          <w:rFonts w:ascii="Times New Roman" w:hAnsi="Times New Roman"/>
          <w:sz w:val="20"/>
        </w:rPr>
        <w:t xml:space="preserve"> As soon as practicable following the Committee’s determination in accordance with Sections 10.5(a) and (b), the Company shall notify each Participant of the determination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Payment in Settlement of Performance Awards.</w:t>
      </w:r>
      <w:r>
        <w:rPr>
          <w:rFonts w:ascii="Times New Roman" w:hAnsi="Times New Roman"/>
          <w:sz w:val="20"/>
        </w:rPr>
        <w:t xml:space="preserve"> As soon as practicable following the Committee’s 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Provisions Applicable to Payment in Shares.</w:t>
      </w:r>
      <w:r>
        <w:rPr>
          <w:rFonts w:ascii="Times New Roman" w:hAnsi="Times New Roman"/>
          <w:sz w:val="20"/>
        </w:rPr>
        <w:t xml:space="preserve">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b/>
          <w:sz w:val="20"/>
        </w:rPr>
        <w:t>Effect of Termination of Service.</w:t>
      </w:r>
      <w:r>
        <w:rPr>
          <w:rFonts w:ascii="Times New Roman" w:hAnsi="Times New Roman"/>
          <w:sz w:val="20"/>
        </w:rPr>
        <w:t xml:space="preserve"> Unless otherwise provided by the Committee and set forth in the Award Agreement evidencing a Performance Award, the effect of a Participant’s termination of Service on the Performance Award shall be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Death or Disability.</w:t>
      </w:r>
      <w:r>
        <w:rPr>
          <w:rFonts w:ascii="Times New Roman" w:hAnsi="Times New Roman"/>
          <w:sz w:val="20"/>
        </w:rPr>
        <w:t xml:space="preserve">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Other Termination of Service.</w:t>
      </w:r>
      <w:r>
        <w:rPr>
          <w:rFonts w:ascii="Times New Roman" w:hAnsi="Times New Roman"/>
          <w:sz w:val="20"/>
        </w:rPr>
        <w:t xml:space="preserve">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b/>
          <w:sz w:val="20"/>
        </w:rPr>
        <w:t>Nontransferability</w:t>
      </w:r>
      <w:r>
        <w:rPr>
          <w:rFonts w:ascii="Times New Roman" w:hAnsi="Times New Roman"/>
          <w:sz w:val="20"/>
        </w:rPr>
        <w:t xml:space="preserve"> </w:t>
      </w:r>
      <w:r>
        <w:rPr>
          <w:rFonts w:ascii="Times New Roman" w:hAnsi="Times New Roman"/>
          <w:b/>
          <w:sz w:val="20"/>
        </w:rPr>
        <w:t>of Performance Awards.</w:t>
      </w:r>
      <w:r>
        <w:rPr>
          <w:rFonts w:ascii="Times New Roman" w:hAnsi="Times New Roman"/>
          <w:sz w:val="20"/>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CASH-BASED AWARDS AND 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Grant of Cash-Based Awards.</w:t>
      </w:r>
      <w:r>
        <w:rPr>
          <w:rFonts w:ascii="Times New Roman" w:hAnsi="Times New Roman"/>
          <w:sz w:val="20"/>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Grant of Other Stock-Based Awards.</w:t>
      </w:r>
      <w:r>
        <w:rPr>
          <w:rFonts w:ascii="Times New Roman" w:hAnsi="Times New Roman"/>
          <w:sz w:val="20"/>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Value of Cash-Based and Other Stock-Based Awards.</w:t>
      </w:r>
      <w:r>
        <w:rPr>
          <w:rFonts w:ascii="Times New Roman" w:hAnsi="Times New Roman"/>
          <w:sz w:val="20"/>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Payment or Settlement of Cash-Based Awards and Other Stock-Based Awards</w:t>
      </w:r>
      <w:r>
        <w:rPr>
          <w:rFonts w:ascii="Times New Roman" w:hAnsi="Times New Roman"/>
          <w:sz w:val="20"/>
        </w:rPr>
        <w:t xml:space="preserve">.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b/>
          <w:sz w:val="20"/>
        </w:rPr>
        <w:t>Effect of Termination of Service</w:t>
      </w:r>
      <w:r>
        <w:rPr>
          <w:rFonts w:ascii="Times New Roman" w:hAnsi="Times New Roman"/>
          <w:sz w:val="20"/>
        </w:rPr>
        <w:t xml:space="preserve">.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11.7 </w:t>
      </w:r>
      <w:r>
        <w:rPr>
          <w:rFonts w:ascii="Times New Roman" w:hAnsi="Times New Roman"/>
          <w:b/>
          <w:sz w:val="20"/>
        </w:rPr>
        <w:t>Nontransferability</w:t>
      </w:r>
      <w:r>
        <w:rPr>
          <w:rFonts w:ascii="Times New Roman" w:hAnsi="Times New Roman"/>
          <w:sz w:val="20"/>
        </w:rPr>
        <w:t xml:space="preserve"> </w:t>
      </w:r>
      <w:r>
        <w:rPr>
          <w:rFonts w:ascii="Times New Roman" w:hAnsi="Times New Roman"/>
          <w:b/>
          <w:sz w:val="20"/>
        </w:rPr>
        <w:t>of Cash-Based Awards and Other Stock-Based Awards.</w:t>
      </w:r>
      <w:r>
        <w:rPr>
          <w:rFonts w:ascii="Times New Roman" w:hAnsi="Times New Roman"/>
          <w:sz w:val="20"/>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STANDARD FORMS OF AWARD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Award Agreements.</w:t>
      </w:r>
      <w:r>
        <w:rPr>
          <w:rFonts w:ascii="Times New Roman" w:hAnsi="Times New Roman"/>
          <w:sz w:val="20"/>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Authority to Vary Terms.</w:t>
      </w:r>
      <w:r>
        <w:rPr>
          <w:rFonts w:ascii="Times New Roman" w:hAnsi="Times New Roman"/>
          <w:sz w:val="20"/>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CONTROL. </w:t>
            </w:r>
          </w:p>
        </w:tc>
      </w:tr>
    </w:tbl>
    <w:p>
      <w:pPr>
        <w:pStyle w:val="TextBody"/>
        <w:bidi w:val="0"/>
        <w:spacing w:before="12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Effect of Change in Control on Awards.</w:t>
      </w:r>
      <w:r>
        <w:rPr>
          <w:rFonts w:ascii="Times New Roman" w:hAnsi="Times New Roman"/>
          <w:sz w:val="20"/>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Accelerated Vesting.</w:t>
      </w:r>
      <w:r>
        <w:rPr>
          <w:rFonts w:ascii="Times New Roman" w:hAnsi="Times New Roman"/>
          <w:sz w:val="20"/>
        </w:rPr>
        <w:t xml:space="preserve"> 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Assumption, Continuation or Substitution.</w:t>
      </w:r>
      <w:r>
        <w:rPr>
          <w:rFonts w:ascii="Times New Roman" w:hAnsi="Times New Roman"/>
          <w:sz w:val="20"/>
        </w:rPr>
        <w:t xml:space="preserve"> The Committee may arrange for the surviving, continuing, successor, or purchasing corporation or other business entity or parent thereof, as the case may be (the “</w:t>
      </w:r>
      <w:r>
        <w:rPr>
          <w:rFonts w:ascii="Times New Roman" w:hAnsi="Times New Roman"/>
          <w:b/>
          <w:i/>
          <w:sz w:val="20"/>
        </w:rPr>
        <w:t>Acquiror</w:t>
      </w:r>
      <w:r>
        <w:rPr>
          <w:rFonts w:ascii="Times New Roman" w:hAnsi="Times New Roman"/>
          <w:sz w:val="20"/>
        </w:rPr>
        <w:t xml:space="preserve">”)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Assignment or Lapse of Reacquisition or Repurchase Rights.</w:t>
      </w:r>
      <w:r>
        <w:rPr>
          <w:rFonts w:ascii="Times New Roman" w:hAnsi="Times New Roman"/>
          <w:sz w:val="20"/>
        </w:rPr>
        <w:t xml:space="preserve"> The Committee may 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Cancellation.</w:t>
      </w:r>
      <w:r>
        <w:rPr>
          <w:rFonts w:ascii="Times New Roman" w:hAnsi="Times New Roman"/>
          <w:sz w:val="20"/>
        </w:rPr>
        <w:t xml:space="preserve"> In its discretion, the Committee may cancel or arrange for the cancellation of the Award, to the extent not vested or not exercised prior to the effective time of the Change in Control, in exchange for no consideration ($0) or such consideration, if any, as determined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Cash-Out of Outstanding Stock-Based Awards.</w:t>
      </w:r>
      <w:r>
        <w:rPr>
          <w:rFonts w:ascii="Times New Roman" w:hAnsi="Times New Roman"/>
          <w:sz w:val="20"/>
        </w:rPr>
        <w:t xml:space="preserve"> 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Adjustments and Earnouts.</w:t>
      </w:r>
      <w:r>
        <w:rPr>
          <w:rFonts w:ascii="Times New Roman" w:hAnsi="Times New Roman"/>
          <w:sz w:val="20"/>
        </w:rPr>
        <w:t xml:space="preserve"> 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Effect of Change in Control on Nonemployee Director Awards.</w:t>
      </w:r>
      <w:r>
        <w:rPr>
          <w:rFonts w:ascii="Times New Roman" w:hAnsi="Times New Roman"/>
          <w:sz w:val="20"/>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Federal Excise Tax Under Section</w:t>
      </w:r>
      <w:r>
        <w:rPr>
          <w:rFonts w:ascii="Times New Roman" w:hAnsi="Times New Roman"/>
          <w:sz w:val="20"/>
        </w:rPr>
        <w:t> </w:t>
      </w:r>
      <w:r>
        <w:rPr>
          <w:rFonts w:ascii="Times New Roman" w:hAnsi="Times New Roman"/>
          <w:b/>
          <w:sz w:val="20"/>
        </w:rPr>
        <w:t>4999 of the Code.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Excess Parachute Payment.</w:t>
      </w:r>
      <w:r>
        <w:rPr>
          <w:rFonts w:ascii="Times New Roman" w:hAnsi="Times New Roman"/>
          <w:sz w:val="20"/>
        </w:rPr>
        <w:t xml:space="preserve">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Determination by Tax Firm.</w:t>
      </w:r>
      <w:r>
        <w:rPr>
          <w:rFonts w:ascii="Times New Roman" w:hAnsi="Times New Roman"/>
          <w:sz w:val="20"/>
        </w:rPr>
        <w:t xml:space="preserve"> To aid the Participant in making any election called for under 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hAnsi="Times New Roman"/>
          <w:b/>
          <w:i/>
          <w:sz w:val="20"/>
        </w:rPr>
        <w:t>Tax Firm</w:t>
      </w:r>
      <w:r>
        <w:rPr>
          <w:rFonts w:ascii="Times New Roman" w:hAnsi="Times New Roman"/>
          <w:sz w:val="20"/>
        </w:rPr>
        <w:t xml:space="preserve">”).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SECURITIES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SECTION 409A. </w:t>
            </w:r>
          </w:p>
        </w:tc>
      </w:tr>
    </w:tbl>
    <w:p>
      <w:pPr>
        <w:pStyle w:val="TextBody"/>
        <w:bidi w:val="0"/>
        <w:spacing w:before="120" w:after="0"/>
        <w:jc w:val="left"/>
        <w:rPr>
          <w:rFonts w:ascii="Times New Roman" w:hAnsi="Times New Roman"/>
          <w:sz w:val="20"/>
        </w:rPr>
      </w:pPr>
      <w:r>
        <w:rPr>
          <w:rFonts w:ascii="Times New Roman" w:hAnsi="Times New Roman"/>
          <w:sz w:val="20"/>
        </w:rPr>
        <w:t xml:space="preserve">15.1 </w:t>
      </w:r>
      <w:r>
        <w:rPr>
          <w:rFonts w:ascii="Times New Roman" w:hAnsi="Times New Roman"/>
          <w:b/>
          <w:sz w:val="20"/>
        </w:rPr>
        <w:t>Awards Subject to 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 </w:t>
      </w:r>
    </w:p>
    <w:p>
      <w:pPr>
        <w:pStyle w:val="TextBody"/>
        <w:bidi w:val="0"/>
        <w:spacing w:before="240" w:after="0"/>
        <w:jc w:val="left"/>
        <w:rPr>
          <w:rFonts w:ascii="Times New Roman" w:hAnsi="Times New Roman"/>
          <w:sz w:val="20"/>
        </w:rPr>
      </w:pPr>
      <w:r>
        <w:rPr>
          <w:rFonts w:ascii="Times New Roman" w:hAnsi="Times New Roman"/>
          <w:sz w:val="20"/>
        </w:rPr>
        <w:t>Subject to the provisions of Section 409A, the term “</w:t>
      </w:r>
      <w:r>
        <w:rPr>
          <w:rFonts w:ascii="Times New Roman" w:hAnsi="Times New Roman"/>
          <w:b/>
          <w:i/>
          <w:sz w:val="20"/>
        </w:rPr>
        <w:t>Short-Term Deferral Period</w:t>
      </w:r>
      <w:r>
        <w:rPr>
          <w:rFonts w:ascii="Times New Roman" w:hAnsi="Times New Roman"/>
          <w:sz w:val="20"/>
        </w:rPr>
        <w:t xml:space="preserve">”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 </w:t>
      </w:r>
    </w:p>
    <w:p>
      <w:pPr>
        <w:pStyle w:val="TextBody"/>
        <w:bidi w:val="0"/>
        <w:spacing w:before="240" w:after="0"/>
        <w:jc w:val="left"/>
        <w:rPr>
          <w:rFonts w:ascii="Times New Roman" w:hAnsi="Times New Roman"/>
          <w:sz w:val="20"/>
        </w:rPr>
      </w:pPr>
      <w:r>
        <w:rPr>
          <w:rFonts w:ascii="Times New Roman" w:hAnsi="Times New Roman"/>
          <w:sz w:val="20"/>
        </w:rPr>
        <w:t xml:space="preserve">15.2 </w:t>
      </w:r>
      <w:r>
        <w:rPr>
          <w:rFonts w:ascii="Times New Roman" w:hAnsi="Times New Roman"/>
          <w:b/>
          <w:sz w:val="20"/>
        </w:rPr>
        <w:t>Deferral and/or Distribution Elections.</w:t>
      </w:r>
      <w:r>
        <w:rPr>
          <w:rFonts w:ascii="Times New Roman" w:hAnsi="Times New Roman"/>
          <w:sz w:val="20"/>
        </w:rPr>
        <w:t xml:space="preserve"> Except as otherwise permitted or required by Section 409A and the Company, the following rules shall apply to any compensation deferral and/or payment elections (each, an “</w:t>
      </w:r>
      <w:r>
        <w:rPr>
          <w:rFonts w:ascii="Times New Roman" w:hAnsi="Times New Roman"/>
          <w:b/>
          <w:i/>
          <w:sz w:val="20"/>
        </w:rPr>
        <w:t>Election</w:t>
      </w:r>
      <w:r>
        <w:rPr>
          <w:rFonts w:ascii="Times New Roman" w:hAnsi="Times New Roman"/>
          <w:sz w:val="20"/>
        </w:rPr>
        <w:t xml:space="preserve">”) that may be permitted or required by the Committee pursuant to an Award providing Section 409A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 Elections must be in writing and specify the amount of the payment in settlement of an Award being deferred, as well as the time and form of payment as permitted by this Plan. </w:t>
      </w:r>
    </w:p>
    <w:p>
      <w:pPr>
        <w:pStyle w:val="TextBody"/>
        <w:bidi w:val="0"/>
        <w:spacing w:before="120" w:after="0"/>
        <w:jc w:val="left"/>
        <w:rPr>
          <w:rFonts w:ascii="Times New Roman" w:hAnsi="Times New Roman"/>
          <w:sz w:val="20"/>
        </w:rPr>
      </w:pPr>
      <w:r>
        <w:rPr>
          <w:rFonts w:ascii="Times New Roman" w:hAnsi="Times New Roman"/>
          <w:sz w:val="20"/>
        </w:rPr>
        <w:t xml:space="preserve">(b) Elections shall be made by the end of the Participant’s taxable year prior to the year in which services commence for which an Award may be granted to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 </w:t>
      </w:r>
    </w:p>
    <w:p>
      <w:pPr>
        <w:pStyle w:val="TextBody"/>
        <w:bidi w:val="0"/>
        <w:spacing w:before="240" w:after="0"/>
        <w:jc w:val="left"/>
        <w:rPr>
          <w:rFonts w:ascii="Times New Roman" w:hAnsi="Times New Roman"/>
          <w:sz w:val="20"/>
        </w:rPr>
      </w:pPr>
      <w:r>
        <w:rPr>
          <w:rFonts w:ascii="Times New Roman" w:hAnsi="Times New Roman"/>
          <w:sz w:val="20"/>
        </w:rPr>
        <w:t xml:space="preserve">15.3 </w:t>
      </w:r>
      <w:r>
        <w:rPr>
          <w:rFonts w:ascii="Times New Roman" w:hAnsi="Times New Roman"/>
          <w:b/>
          <w:sz w:val="20"/>
        </w:rPr>
        <w:t>Subsequent Elections.</w:t>
      </w:r>
      <w:r>
        <w:rPr>
          <w:rFonts w:ascii="Times New Roman" w:hAnsi="Times New Roman"/>
          <w:sz w:val="20"/>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No subsequent Election may take effect until at least twelve (12) months after the date on which the subsequent Election is made. </w:t>
      </w:r>
    </w:p>
    <w:p>
      <w:pPr>
        <w:pStyle w:val="TextBody"/>
        <w:bidi w:val="0"/>
        <w:spacing w:before="120" w:after="0"/>
        <w:jc w:val="left"/>
        <w:rPr>
          <w:rFonts w:ascii="Times New Roman" w:hAnsi="Times New Roman"/>
          <w:sz w:val="20"/>
        </w:rPr>
      </w:pPr>
      <w:r>
        <w:rPr>
          <w:rFonts w:ascii="Times New Roman" w:hAnsi="Times New Roman"/>
          <w:sz w:val="20"/>
        </w:rPr>
        <w:t xml:space="preserve">(b) Each subsequent Election related to a payment in settlement of an Award not described in Section 15.4(a)(ii), 15.4(a)(iii) or 15.4(a)(vi) must result in a delay of the payment for a period of not less than five (5) years from the date on which such payment would otherwise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subsequent Election related to a payment pursuant to Section 15.4(a)(vi) shall be made less than twelve (12) months before the date on which such payment would otherwise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 </w:t>
      </w:r>
    </w:p>
    <w:p>
      <w:pPr>
        <w:pStyle w:val="TextBody"/>
        <w:bidi w:val="0"/>
        <w:spacing w:before="240" w:after="0"/>
        <w:jc w:val="left"/>
        <w:rPr>
          <w:rFonts w:ascii="Times New Roman" w:hAnsi="Times New Roman"/>
          <w:sz w:val="20"/>
        </w:rPr>
      </w:pPr>
      <w:r>
        <w:rPr>
          <w:rFonts w:ascii="Times New Roman" w:hAnsi="Times New Roman"/>
          <w:sz w:val="20"/>
        </w:rPr>
        <w:t xml:space="preserve">15.4 </w:t>
      </w:r>
      <w:r>
        <w:rPr>
          <w:rFonts w:ascii="Times New Roman" w:hAnsi="Times New Roman"/>
          <w:b/>
          <w:sz w:val="20"/>
        </w:rPr>
        <w:t>Payment of Section</w:t>
      </w:r>
      <w:r>
        <w:rPr>
          <w:rFonts w:ascii="Times New Roman" w:hAnsi="Times New Roman"/>
          <w:sz w:val="20"/>
        </w:rPr>
        <w:t> </w:t>
      </w:r>
      <w:r>
        <w:rPr>
          <w:rFonts w:ascii="Times New Roman" w:hAnsi="Times New Roman"/>
          <w:b/>
          <w:sz w:val="20"/>
        </w:rPr>
        <w:t>409A Deferred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Permissible Payments.</w:t>
      </w:r>
      <w:r>
        <w:rPr>
          <w:rFonts w:ascii="Times New Roman" w:hAnsi="Times New Roman"/>
          <w:sz w:val="20"/>
        </w:rPr>
        <w:t xml:space="preserve"> Except as otherwise permitted or required by Section 409A, an Award providing Section 409A Deferred Compensation must provide for payment in settlement of the Award only upon one or more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Participant’s “separation from service” (as defined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(ii) The Participant’s becoming “disabled” (as defined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(iii) The Participant’s death; </w:t>
      </w:r>
    </w:p>
    <w:p>
      <w:pPr>
        <w:pStyle w:val="TextBody"/>
        <w:bidi w:val="0"/>
        <w:spacing w:before="120" w:after="0"/>
        <w:jc w:val="left"/>
        <w:rPr>
          <w:rFonts w:ascii="Times New Roman" w:hAnsi="Times New Roman"/>
          <w:sz w:val="20"/>
        </w:rPr>
      </w:pPr>
      <w:r>
        <w:rPr>
          <w:rFonts w:ascii="Times New Roman" w:hAnsi="Times New Roman"/>
          <w:sz w:val="20"/>
        </w:rPr>
        <w:t xml:space="preserve">(iv) A time or fixed schedule that is either (i) specified by the Committee upon the grant of an Award and set forth in the Award Agreement evidencing such Award or (ii) specified by the Participant in an Election complying with the requirements of Section 15.2 or 15.3,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 A change in the ownership or effective control or the Company or in the ownership of a substantial portion of the assets of the Company determined in accordance with Section 409A; or </w:t>
      </w:r>
    </w:p>
    <w:p>
      <w:pPr>
        <w:pStyle w:val="TextBody"/>
        <w:bidi w:val="0"/>
        <w:spacing w:before="120" w:after="0"/>
        <w:jc w:val="left"/>
        <w:rPr>
          <w:rFonts w:ascii="Times New Roman" w:hAnsi="Times New Roman"/>
          <w:sz w:val="20"/>
        </w:rPr>
      </w:pPr>
      <w:r>
        <w:rPr>
          <w:rFonts w:ascii="Times New Roman" w:hAnsi="Times New Roman"/>
          <w:sz w:val="20"/>
        </w:rPr>
        <w:t xml:space="preserve">(vi) The occurrence of an “unforeseeable emergency” (as defined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Installment Payments</w:t>
      </w:r>
      <w:r>
        <w:rPr>
          <w:rFonts w:ascii="Times New Roman" w:hAnsi="Times New Roman"/>
          <w:sz w:val="20"/>
        </w:rPr>
        <w:t xml:space="preserve">. It is the intent of this Plan that any right of a Participant to receive installment payments (within the meaning of Section 409A) shall, for all purposes of Section 409A, be treated as a right to a series of separate payments.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Required Delay in Payment to Specified Employee Pursuant to Separation from Service.</w:t>
      </w:r>
      <w:r>
        <w:rPr>
          <w:rFonts w:ascii="Times New Roman" w:hAnsi="Times New Roman"/>
          <w:sz w:val="20"/>
        </w:rPr>
        <w:t xml:space="preserve"> 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hAnsi="Times New Roman"/>
          <w:b/>
          <w:i/>
          <w:sz w:val="20"/>
        </w:rPr>
        <w:t>Delayed Payment Date</w:t>
      </w:r>
      <w:r>
        <w:rPr>
          <w:rFonts w:ascii="Times New Roman" w:hAnsi="Times New Roman"/>
          <w:sz w:val="20"/>
        </w:rPr>
        <w:t xml:space="preserve">”)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Payment Upon Disability.</w:t>
      </w:r>
      <w:r>
        <w:rPr>
          <w:rFonts w:ascii="Times New Roman" w:hAnsi="Times New Roman"/>
          <w:sz w:val="20"/>
        </w:rPr>
        <w:t xml:space="preserve">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Payment Upon Death</w:t>
      </w:r>
      <w:r>
        <w:rPr>
          <w:rFonts w:ascii="Times New Roman" w:hAnsi="Times New Roman"/>
          <w:b/>
          <w:sz w:val="20"/>
        </w:rPr>
        <w:t>.</w:t>
      </w:r>
      <w:r>
        <w:rPr>
          <w:rFonts w:ascii="Times New Roman" w:hAnsi="Times New Roman"/>
          <w:sz w:val="20"/>
        </w:rPr>
        <w:t xml:space="preserve">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Payment Upon Change in Control.</w:t>
      </w:r>
      <w:r>
        <w:rPr>
          <w:rFonts w:ascii="Times New Roman" w:hAnsi="Times New Roman"/>
          <w:sz w:val="20"/>
        </w:rPr>
        <w:t xml:space="preserve">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Payment Upon Unforeseeable Emergency.</w:t>
      </w:r>
      <w:r>
        <w:rPr>
          <w:rFonts w:ascii="Times New Roman" w:hAnsi="Times New Roman"/>
          <w:sz w:val="20"/>
        </w:rPr>
        <w:t xml:space="preserve">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Prohibition of Acceleration of Payments.</w:t>
      </w:r>
      <w:r>
        <w:rPr>
          <w:rFonts w:ascii="Times New Roman" w:hAnsi="Times New Roman"/>
          <w:sz w:val="20"/>
        </w:rPr>
        <w:t xml:space="preserve"> 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No Representation Regarding Section</w:t>
      </w:r>
      <w:r>
        <w:rPr>
          <w:rFonts w:ascii="Times New Roman" w:hAnsi="Times New Roman"/>
          <w:sz w:val="20"/>
        </w:rPr>
        <w:t> </w:t>
      </w:r>
      <w:r>
        <w:rPr>
          <w:rFonts w:ascii="Times New Roman" w:hAnsi="Times New Roman"/>
          <w:b/>
          <w:i/>
          <w:sz w:val="20"/>
        </w:rPr>
        <w:t>409A Compliance.</w:t>
      </w:r>
      <w:r>
        <w:rPr>
          <w:rFonts w:ascii="Times New Roman" w:hAnsi="Times New Roman"/>
          <w:sz w:val="20"/>
        </w:rPr>
        <w:t xml:space="preserve"> Notwithstanding any other provision of the Plan, the Company makes no representation that Awards shall be exempt from or comply with Section 409A. No Participating Company shall be liable for any tax, penalty or interest imposed on a Participant by Section 409A.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16.1 </w:t>
      </w:r>
      <w:r>
        <w:rPr>
          <w:rFonts w:ascii="Times New Roman" w:hAnsi="Times New Roman"/>
          <w:b/>
          <w:sz w:val="20"/>
        </w:rPr>
        <w:t>Tax Withholding in General.</w:t>
      </w:r>
      <w:r>
        <w:rPr>
          <w:rFonts w:ascii="Times New Roman" w:hAnsi="Times New Roman"/>
          <w:sz w:val="20"/>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16.2 </w:t>
      </w:r>
      <w:r>
        <w:rPr>
          <w:rFonts w:ascii="Times New Roman" w:hAnsi="Times New Roman"/>
          <w:b/>
          <w:sz w:val="20"/>
        </w:rPr>
        <w:t>Withholding in or Directed Sale of Shares.</w:t>
      </w:r>
      <w:r>
        <w:rPr>
          <w:rFonts w:ascii="Times New Roman" w:hAnsi="Times New Roman"/>
          <w:sz w:val="20"/>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SUSPENSION OR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18.1 </w:t>
      </w:r>
      <w:r>
        <w:rPr>
          <w:rFonts w:ascii="Times New Roman" w:hAnsi="Times New Roman"/>
          <w:b/>
          <w:sz w:val="20"/>
        </w:rPr>
        <w:t>Repurchase Rights</w:t>
      </w:r>
      <w:r>
        <w:rPr>
          <w:rFonts w:ascii="Times New Roman" w:hAnsi="Times New Roman"/>
          <w:b/>
          <w:i/>
          <w:sz w:val="20"/>
        </w:rPr>
        <w:t>.</w:t>
      </w:r>
      <w:r>
        <w:rPr>
          <w:rFonts w:ascii="Times New Roman" w:hAnsi="Times New Roman"/>
          <w:sz w:val="20"/>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18.2 </w:t>
      </w:r>
      <w:r>
        <w:rPr>
          <w:rFonts w:ascii="Times New Roman" w:hAnsi="Times New Roman"/>
          <w:b/>
          <w:sz w:val="20"/>
        </w:rPr>
        <w:t>Forfeiture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18.3 </w:t>
      </w:r>
      <w:r>
        <w:rPr>
          <w:rFonts w:ascii="Times New Roman" w:hAnsi="Times New Roman"/>
          <w:b/>
          <w:sz w:val="20"/>
        </w:rPr>
        <w:t>Provision of Information.</w:t>
      </w:r>
      <w:r>
        <w:rPr>
          <w:rFonts w:ascii="Times New Roman" w:hAnsi="Times New Roman"/>
          <w:sz w:val="20"/>
        </w:rPr>
        <w:t xml:space="preserve"> Each Participant shall be given access to information concerning the Company equivalent to that information generally made available to the Company’s common stockholders. </w:t>
      </w:r>
    </w:p>
    <w:p>
      <w:pPr>
        <w:pStyle w:val="TextBody"/>
        <w:bidi w:val="0"/>
        <w:spacing w:before="240" w:after="0"/>
        <w:jc w:val="left"/>
        <w:rPr>
          <w:rFonts w:ascii="Times New Roman" w:hAnsi="Times New Roman"/>
          <w:sz w:val="20"/>
        </w:rPr>
      </w:pPr>
      <w:r>
        <w:rPr>
          <w:rFonts w:ascii="Times New Roman" w:hAnsi="Times New Roman"/>
          <w:sz w:val="20"/>
        </w:rPr>
        <w:t xml:space="preserve">18.4 </w:t>
      </w:r>
      <w:r>
        <w:rPr>
          <w:rFonts w:ascii="Times New Roman" w:hAnsi="Times New Roman"/>
          <w:b/>
          <w:sz w:val="20"/>
        </w:rPr>
        <w:t>Electronic Delivery</w:t>
      </w:r>
      <w:r>
        <w:rPr>
          <w:rFonts w:ascii="Times New Roman" w:hAnsi="Times New Roman"/>
          <w:sz w:val="20"/>
        </w:rPr>
        <w:t> </w:t>
      </w:r>
      <w:r>
        <w:rPr>
          <w:rFonts w:ascii="Times New Roman" w:hAnsi="Times New Roman"/>
          <w:b/>
          <w:sz w:val="20"/>
        </w:rPr>
        <w:t>and Participation.</w:t>
      </w:r>
      <w:r>
        <w:rPr>
          <w:rFonts w:ascii="Times New Roman" w:hAnsi="Times New Roman"/>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 w:hAnsi="Times New Roman"/>
          <w:i/>
          <w:sz w:val="20"/>
        </w:rPr>
        <w:t>e.g.</w:t>
      </w:r>
      <w:r>
        <w:rPr>
          <w:rFonts w:ascii="Times New Roman" w:hAnsi="Times New Roman"/>
          <w:sz w:val="20"/>
        </w:rPr>
        <w:t xml:space="preserve">,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18.5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18.6 </w:t>
      </w:r>
      <w:r>
        <w:rPr>
          <w:rFonts w:ascii="Times New Roman" w:hAnsi="Times New Roman"/>
          <w:b/>
          <w:sz w:val="20"/>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18.7 </w:t>
      </w:r>
      <w:r>
        <w:rPr>
          <w:rFonts w:ascii="Times New Roman" w:hAnsi="Times New Roman"/>
          <w:b/>
          <w:sz w:val="20"/>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18.8 </w:t>
      </w:r>
      <w:r>
        <w:rPr>
          <w:rFonts w:ascii="Times New Roman" w:hAnsi="Times New Roman"/>
          <w:b/>
          <w:sz w:val="20"/>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240" w:after="0"/>
        <w:jc w:val="left"/>
        <w:rPr>
          <w:rFonts w:ascii="Times New Roman" w:hAnsi="Times New Roman"/>
          <w:sz w:val="20"/>
        </w:rPr>
      </w:pPr>
      <w:r>
        <w:rPr>
          <w:rFonts w:ascii="Times New Roman" w:hAnsi="Times New Roman"/>
          <w:sz w:val="20"/>
        </w:rPr>
        <w:t xml:space="preserve">18.9 </w:t>
      </w:r>
      <w:r>
        <w:rPr>
          <w:rFonts w:ascii="Times New Roman" w:hAnsi="Times New Roman"/>
          <w:b/>
          <w:sz w:val="20"/>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18.10 </w:t>
      </w:r>
      <w:r>
        <w:rPr>
          <w:rFonts w:ascii="Times New Roman" w:hAnsi="Times New Roman"/>
          <w:b/>
          <w:sz w:val="20"/>
        </w:rPr>
        <w:t>Provisions for Non-U.S. Participants</w:t>
      </w:r>
      <w:r>
        <w:rPr>
          <w:rFonts w:ascii="Times New Roman" w:hAnsi="Times New Roman"/>
          <w:sz w:val="20"/>
        </w:rPr>
        <w:t xml:space="preserve">.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p>
    <w:p>
      <w:pPr>
        <w:pStyle w:val="TextBody"/>
        <w:bidi w:val="0"/>
        <w:spacing w:before="240" w:after="0"/>
        <w:jc w:val="left"/>
        <w:rPr>
          <w:rFonts w:ascii="Times New Roman" w:hAnsi="Times New Roman"/>
          <w:sz w:val="20"/>
        </w:rPr>
      </w:pPr>
      <w:r>
        <w:rPr>
          <w:rFonts w:ascii="Times New Roman" w:hAnsi="Times New Roman"/>
          <w:sz w:val="20"/>
        </w:rPr>
        <w:t xml:space="preserve">18.11 </w:t>
      </w:r>
      <w:r>
        <w:rPr>
          <w:rFonts w:ascii="Times New Roman" w:hAnsi="Times New Roman"/>
          <w:b/>
          <w:sz w:val="20"/>
        </w:rPr>
        <w:t>Lock-Up Period</w:t>
      </w:r>
      <w:r>
        <w:rPr>
          <w:rFonts w:ascii="Times New Roman" w:hAnsi="Times New Roman"/>
          <w:sz w:val="20"/>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18.12 </w:t>
      </w:r>
      <w:r>
        <w:rPr>
          <w:rFonts w:ascii="Times New Roman" w:hAnsi="Times New Roman"/>
          <w:b/>
          <w:sz w:val="20"/>
        </w:rPr>
        <w:t>Data Privacy</w:t>
      </w:r>
      <w:r>
        <w:rPr>
          <w:rFonts w:ascii="Times New Roman" w:hAnsi="Times New Roman"/>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and its Subsidiaries and affiliates may transfer the Data amongst themselves as necessary to implement,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18.13 </w:t>
      </w:r>
      <w:r>
        <w:rPr>
          <w:rFonts w:ascii="Times New Roman" w:hAnsi="Times New Roman"/>
          <w:b/>
          <w:sz w:val="20"/>
        </w:rPr>
        <w:t>Retirement and Welfare Plans</w:t>
      </w:r>
      <w:r>
        <w:rPr>
          <w:rFonts w:ascii="Times New Roman" w:hAnsi="Times New Roman"/>
          <w:sz w:val="20"/>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18.14 </w:t>
      </w:r>
      <w:r>
        <w:rPr>
          <w:rFonts w:ascii="Times New Roman" w:hAnsi="Times New Roman"/>
          <w:b/>
          <w:sz w:val="20"/>
        </w:rPr>
        <w:t>Beneficiary Designation.</w:t>
      </w:r>
      <w:r>
        <w:rPr>
          <w:rFonts w:ascii="Times New Roman" w:hAnsi="Times New Roman"/>
          <w:sz w:val="20"/>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18.15 </w:t>
      </w:r>
      <w:r>
        <w:rPr>
          <w:rFonts w:ascii="Times New Roman" w:hAnsi="Times New Roman"/>
          <w:b/>
          <w:sz w:val="20"/>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18.16 </w:t>
      </w:r>
      <w:r>
        <w:rPr>
          <w:rFonts w:ascii="Times New Roman" w:hAnsi="Times New Roman"/>
          <w:b/>
          <w:sz w:val="20"/>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18.17 </w:t>
      </w:r>
      <w:r>
        <w:rPr>
          <w:rFonts w:ascii="Times New Roman" w:hAnsi="Times New Roman"/>
          <w:b/>
          <w:sz w:val="20"/>
        </w:rPr>
        <w:t>Unfunded Obligation.</w:t>
      </w:r>
      <w:r>
        <w:rPr>
          <w:rFonts w:ascii="Times New Roman" w:hAnsi="Times New Roman"/>
          <w:sz w:val="20"/>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 </w:t>
      </w:r>
    </w:p>
    <w:p>
      <w:pPr>
        <w:pStyle w:val="TextBody"/>
        <w:bidi w:val="0"/>
        <w:spacing w:before="240" w:after="0"/>
        <w:jc w:val="left"/>
        <w:rPr>
          <w:rFonts w:ascii="Times New Roman" w:hAnsi="Times New Roman"/>
          <w:sz w:val="20"/>
        </w:rPr>
      </w:pPr>
      <w:r>
        <w:rPr>
          <w:rFonts w:ascii="Times New Roman" w:hAnsi="Times New Roman"/>
          <w:sz w:val="20"/>
        </w:rPr>
        <w:t xml:space="preserve">18.18 </w:t>
      </w:r>
      <w:r>
        <w:rPr>
          <w:rFonts w:ascii="Times New Roman" w:hAnsi="Times New Roman"/>
          <w:b/>
          <w:sz w:val="20"/>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Delaware, without regard to its conflict of law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right"/>
        <w:rPr>
          <w:rFonts w:ascii="Times New Roman" w:hAnsi="Times New Roman"/>
          <w:b/>
          <w:sz w:val="20"/>
        </w:rPr>
      </w:pPr>
      <w:bookmarkStart w:id="10" w:name="d26249dex161.htm"/>
      <w:bookmarkStart w:id="11" w:name="ksd26249dex161"/>
      <w:bookmarkEnd w:id="10"/>
      <w:bookmarkEnd w:id="11"/>
      <w:r>
        <w:rPr>
          <w:rFonts w:ascii="Times New Roman" w:hAnsi="Times New Roman"/>
          <w:b/>
          <w:sz w:val="20"/>
        </w:rPr>
        <w:t xml:space="preserve">Exhibit 16.1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May 29, 2026 </w:t>
      </w:r>
    </w:p>
    <w:p>
      <w:pPr>
        <w:pStyle w:val="TextBody"/>
        <w:bidi w:val="0"/>
        <w:spacing w:before="240" w:after="0"/>
        <w:jc w:val="left"/>
        <w:rPr>
          <w:rFonts w:ascii="Times New Roman" w:hAnsi="Times New Roman"/>
          <w:sz w:val="20"/>
        </w:rPr>
      </w:pPr>
      <w:r>
        <w:rPr>
          <w:rFonts w:ascii="Times New Roman" w:hAnsi="Times New Roman"/>
          <w:sz w:val="20"/>
        </w:rPr>
        <w:t xml:space="preserve">Office of the Chief Accountant </w:t>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read the statements included under Item 4.01 of the Form 8-K dated May 29, 2026 to be filed by our former client Hadron Energy, Inc. We agree with the statements under Item 4.01 insofar as they relate to our Firm. We are not in a position to agree or disagree with other statements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right"/>
        <w:rPr>
          <w:rFonts w:ascii="Times New Roman" w:hAnsi="Times New Roman"/>
          <w:b/>
          <w:sz w:val="20"/>
        </w:rPr>
      </w:pPr>
      <w:bookmarkStart w:id="12" w:name="d26249dex991.htm"/>
      <w:bookmarkStart w:id="13" w:name="ksd26249dex991"/>
      <w:bookmarkEnd w:id="12"/>
      <w:bookmarkEnd w:id="1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HADRON ENERGY, INC.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5"/>
        <w:gridCol w:w="153"/>
        <w:gridCol w:w="60"/>
        <w:gridCol w:w="364"/>
        <w:gridCol w:w="63"/>
      </w:tblGrid>
      <w:tr>
        <w:trPr/>
        <w:tc>
          <w:tcPr>
            <w:tcW w:w="956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5" w:type="dxa"/>
            <w:tcBorders/>
          </w:tcPr>
          <w:p>
            <w:pPr>
              <w:pStyle w:val="TableContents"/>
              <w:bidi w:val="0"/>
              <w:spacing w:before="0" w:after="283"/>
              <w:jc w:val="left"/>
              <w:rPr/>
            </w:pPr>
            <w:r>
              <w:rPr/>
              <w:t>Unaudited Condensed Balance Sheets as of March 31, 2026 (Unaudited) and December 31, 2025</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565" w:type="dxa"/>
            <w:tcBorders/>
          </w:tcPr>
          <w:p>
            <w:pPr>
              <w:pStyle w:val="TableContents"/>
              <w:bidi w:val="0"/>
              <w:spacing w:before="0" w:after="283"/>
              <w:jc w:val="left"/>
              <w:rPr/>
            </w:pPr>
            <w:r>
              <w:rPr/>
              <w:t>Unaudited Condensed Statements of Operations and Comprehensive Income (Loss) for the three months ended March 31, 2026 and 2025</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565" w:type="dxa"/>
            <w:tcBorders/>
          </w:tcPr>
          <w:p>
            <w:pPr>
              <w:pStyle w:val="TableContents"/>
              <w:bidi w:val="0"/>
              <w:spacing w:before="0" w:after="283"/>
              <w:jc w:val="left"/>
              <w:rPr/>
            </w:pPr>
            <w:r>
              <w:rPr/>
              <w:t>Unaudited Condensed Statements of Stockholders’ Deficit for the three months ended March 31, 2026 and 2025</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565" w:type="dxa"/>
            <w:tcBorders/>
          </w:tcPr>
          <w:p>
            <w:pPr>
              <w:pStyle w:val="TableContents"/>
              <w:bidi w:val="0"/>
              <w:spacing w:before="0" w:after="283"/>
              <w:jc w:val="left"/>
              <w:rPr/>
            </w:pPr>
            <w:r>
              <w:rPr/>
              <w:t>Unaudited Condensed Statements of Cash Flows for the three months ended March 31, 2026 and 2025</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565" w:type="dxa"/>
            <w:tcBorders/>
          </w:tcPr>
          <w:p>
            <w:pPr>
              <w:pStyle w:val="TableContents"/>
              <w:bidi w:val="0"/>
              <w:spacing w:before="0" w:after="283"/>
              <w:jc w:val="left"/>
              <w:rPr/>
            </w:pPr>
            <w:r>
              <w:rPr/>
              <w:t>Notes to the Unaudited Financial 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3"/>
        <w:gridCol w:w="227"/>
        <w:gridCol w:w="140"/>
        <w:gridCol w:w="1223"/>
        <w:gridCol w:w="155"/>
        <w:gridCol w:w="187"/>
        <w:gridCol w:w="150"/>
        <w:gridCol w:w="1282"/>
        <w:gridCol w:w="158"/>
      </w:tblGrid>
      <w:tr>
        <w:trPr/>
        <w:tc>
          <w:tcPr>
            <w:tcW w:w="668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2,129,451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1,757,241</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81,134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333,403</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2,210,585</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2,090,644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35,419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37,364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60,611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81,607</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6,006</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transaction costs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2,290,926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1,874,924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3" w:type="dxa"/>
            <w:tcBorders/>
            <w:vAlign w:val="bottom"/>
          </w:tcPr>
          <w:p>
            <w:pPr>
              <w:pStyle w:val="TableContents"/>
              <w:bidi w:val="0"/>
              <w:spacing w:before="0" w:after="283"/>
              <w:jc w:val="right"/>
              <w:rPr>
                <w:b/>
              </w:rPr>
            </w:pPr>
            <w:r>
              <w:rPr>
                <w:b/>
              </w:rPr>
              <w:t>4,597,541</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b/>
              </w:rPr>
            </w:pPr>
            <w:r>
              <w:rPr>
                <w:b/>
              </w:rPr>
              <w:t>$</w:t>
            </w:r>
          </w:p>
        </w:tc>
        <w:tc>
          <w:tcPr>
            <w:tcW w:w="1282" w:type="dxa"/>
            <w:tcBorders/>
            <w:vAlign w:val="bottom"/>
          </w:tcPr>
          <w:p>
            <w:pPr>
              <w:pStyle w:val="TableContents"/>
              <w:bidi w:val="0"/>
              <w:spacing w:before="0" w:after="283"/>
              <w:jc w:val="right"/>
              <w:rPr>
                <w:b/>
              </w:rPr>
            </w:pPr>
            <w:r>
              <w:rPr>
                <w:b/>
              </w:rPr>
              <w:t>4,090,545</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1,832,384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97,937</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11,908,228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17,383,394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20,946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37,731</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13,761,558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17,519,062</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10,023</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12,499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Simple Agreements for Future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34,524,160</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46,358,393</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48,295,741</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b/>
              </w:rPr>
            </w:pPr>
            <w:r>
              <w:rPr>
                <w:b/>
              </w:rPr>
              <w:t>63,889,954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2,000,000 shares authorized as of March 31, 2026 and December 31, 2025; 924,167 and 921,354 shares issued and outstanding as of March 31, 2026 and December 31, 2025, respectively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255</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15,302,584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12,568,471</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(59,001,039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(72,368,135</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(43,698,200</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(59,799,409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3" w:type="dxa"/>
            <w:tcBorders/>
            <w:vAlign w:val="bottom"/>
          </w:tcPr>
          <w:p>
            <w:pPr>
              <w:pStyle w:val="TableContents"/>
              <w:bidi w:val="0"/>
              <w:spacing w:before="0" w:after="283"/>
              <w:jc w:val="right"/>
              <w:rPr>
                <w:b/>
              </w:rPr>
            </w:pPr>
            <w:r>
              <w:rPr>
                <w:b/>
              </w:rPr>
              <w:t>4,597,541</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b/>
              </w:rPr>
            </w:pPr>
            <w:r>
              <w:rPr>
                <w:b/>
              </w:rPr>
              <w:t>$</w:t>
            </w:r>
          </w:p>
        </w:tc>
        <w:tc>
          <w:tcPr>
            <w:tcW w:w="1282" w:type="dxa"/>
            <w:tcBorders/>
            <w:vAlign w:val="bottom"/>
          </w:tcPr>
          <w:p>
            <w:pPr>
              <w:pStyle w:val="TableContents"/>
              <w:bidi w:val="0"/>
              <w:spacing w:before="0" w:after="283"/>
              <w:jc w:val="right"/>
              <w:rPr>
                <w:b/>
              </w:rPr>
            </w:pPr>
            <w:r>
              <w:rPr>
                <w:b/>
              </w:rPr>
              <w:t>4,090,545</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6"/>
        <w:gridCol w:w="154"/>
        <w:gridCol w:w="179"/>
        <w:gridCol w:w="1414"/>
        <w:gridCol w:w="198"/>
        <w:gridCol w:w="124"/>
        <w:gridCol w:w="179"/>
        <w:gridCol w:w="1143"/>
        <w:gridCol w:w="158"/>
      </w:tblGrid>
      <w:tr>
        <w:trPr/>
        <w:tc>
          <w:tcPr>
            <w:tcW w:w="665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parties of $1,946 and $22,749, respectively (Note 9)</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1,562,910</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148,877</w:t>
            </w:r>
          </w:p>
        </w:tc>
        <w:tc>
          <w:tcPr>
            <w:tcW w:w="158" w:type="dxa"/>
            <w:tcBorders/>
            <w:vAlign w:val="bottom"/>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parties of $0 and $3,400, respectively (Note 9)</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442,807</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6,322</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2,734,113</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9,013</w:t>
            </w:r>
          </w:p>
        </w:tc>
        <w:tc>
          <w:tcPr>
            <w:tcW w:w="158" w:type="dxa"/>
            <w:tcBorders/>
            <w:vAlign w:val="bottom"/>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1,945</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178</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legal settlement liability</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(4,689,638</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52,137</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164,390</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(52,137</w:t>
            </w:r>
          </w:p>
        </w:tc>
        <w:tc>
          <w:tcPr>
            <w:tcW w:w="19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b/>
              </w:rPr>
            </w:pPr>
            <w:r>
              <w:rPr>
                <w:b/>
              </w:rPr>
              <w:t>(164,390</w:t>
            </w:r>
          </w:p>
        </w:tc>
        <w:tc>
          <w:tcPr>
            <w:tcW w:w="158" w:type="dxa"/>
            <w:tcBorders/>
            <w:vAlign w:val="bottom"/>
          </w:tcPr>
          <w:p>
            <w:pPr>
              <w:pStyle w:val="TableContents"/>
              <w:bidi w:val="0"/>
              <w:spacing w:before="0" w:after="283"/>
              <w:jc w:val="left"/>
              <w:rPr>
                <w:b/>
              </w:rPr>
            </w:pPr>
            <w:r>
              <w:rPr>
                <w:b/>
              </w:rPr>
              <w:t>) </w:t>
            </w:r>
          </w:p>
        </w:tc>
      </w:tr>
      <w:tr>
        <w:trPr/>
        <w:tc>
          <w:tcPr>
            <w:tcW w:w="66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(loss)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13,419,233</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(55,961</w:t>
            </w:r>
          </w:p>
        </w:tc>
        <w:tc>
          <w:tcPr>
            <w:tcW w:w="158" w:type="dxa"/>
            <w:tcBorders/>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(loss)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13,419,233</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(55,961</w:t>
            </w:r>
          </w:p>
        </w:tc>
        <w:tc>
          <w:tcPr>
            <w:tcW w:w="158" w:type="dxa"/>
            <w:tcBorders/>
            <w:shd w:fill="CCEEFF" w:val="clear"/>
            <w:vAlign w:val="bottom"/>
          </w:tcPr>
          <w:p>
            <w:pPr>
              <w:pStyle w:val="TableContents"/>
              <w:bidi w:val="0"/>
              <w:spacing w:before="0" w:after="283"/>
              <w:jc w:val="left"/>
              <w:rPr>
                <w:b/>
              </w:rPr>
            </w:pPr>
            <w:r>
              <w:rPr>
                <w:b/>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provision for income taxes</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13,367,096</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b/>
              </w:rPr>
            </w:pPr>
            <w:r>
              <w:rPr>
                <w:b/>
              </w:rPr>
              <w:t>(220,351</w:t>
            </w:r>
          </w:p>
        </w:tc>
        <w:tc>
          <w:tcPr>
            <w:tcW w:w="158" w:type="dxa"/>
            <w:tcBorders/>
            <w:vAlign w:val="bottom"/>
          </w:tcPr>
          <w:p>
            <w:pPr>
              <w:pStyle w:val="TableContents"/>
              <w:bidi w:val="0"/>
              <w:spacing w:before="0" w:after="283"/>
              <w:jc w:val="left"/>
              <w:rPr>
                <w:b/>
              </w:rPr>
            </w:pPr>
            <w:r>
              <w:rPr>
                <w:b/>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and comprehensive income (loss)</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1414" w:type="dxa"/>
            <w:tcBorders/>
            <w:vAlign w:val="bottom"/>
          </w:tcPr>
          <w:p>
            <w:pPr>
              <w:pStyle w:val="TableContents"/>
              <w:bidi w:val="0"/>
              <w:spacing w:before="0" w:after="283"/>
              <w:jc w:val="right"/>
              <w:rPr>
                <w:b/>
              </w:rPr>
            </w:pPr>
            <w:r>
              <w:rPr>
                <w:b/>
              </w:rPr>
              <w:t>13,367,096</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1143" w:type="dxa"/>
            <w:tcBorders/>
            <w:vAlign w:val="bottom"/>
          </w:tcPr>
          <w:p>
            <w:pPr>
              <w:pStyle w:val="TableContents"/>
              <w:bidi w:val="0"/>
              <w:spacing w:before="0" w:after="283"/>
              <w:jc w:val="right"/>
              <w:rPr>
                <w:b/>
              </w:rPr>
            </w:pPr>
            <w:r>
              <w:rPr>
                <w:b/>
              </w:rPr>
              <w:t>(220,351</w:t>
            </w:r>
          </w:p>
        </w:tc>
        <w:tc>
          <w:tcPr>
            <w:tcW w:w="158" w:type="dxa"/>
            <w:tcBorders/>
            <w:vAlign w:val="bottom"/>
          </w:tcPr>
          <w:p>
            <w:pPr>
              <w:pStyle w:val="TableContents"/>
              <w:bidi w:val="0"/>
              <w:spacing w:before="0" w:after="283"/>
              <w:jc w:val="left"/>
              <w:rPr>
                <w:b/>
              </w:rPr>
            </w:pPr>
            <w:r>
              <w:rPr>
                <w:b/>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(257,544</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1414" w:type="dxa"/>
            <w:tcBorders/>
            <w:vAlign w:val="bottom"/>
          </w:tcPr>
          <w:p>
            <w:pPr>
              <w:pStyle w:val="TableContents"/>
              <w:bidi w:val="0"/>
              <w:spacing w:before="0" w:after="283"/>
              <w:jc w:val="right"/>
              <w:rPr>
                <w:b/>
              </w:rPr>
            </w:pPr>
            <w:r>
              <w:rPr>
                <w:b/>
              </w:rPr>
              <w:t>13,109,552</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1143" w:type="dxa"/>
            <w:tcBorders/>
            <w:vAlign w:val="bottom"/>
          </w:tcPr>
          <w:p>
            <w:pPr>
              <w:pStyle w:val="TableContents"/>
              <w:bidi w:val="0"/>
              <w:spacing w:before="0" w:after="283"/>
              <w:jc w:val="right"/>
              <w:rPr>
                <w:b/>
              </w:rPr>
            </w:pPr>
            <w:r>
              <w:rPr>
                <w:b/>
              </w:rPr>
              <w:t>(220,351</w:t>
            </w:r>
          </w:p>
        </w:tc>
        <w:tc>
          <w:tcPr>
            <w:tcW w:w="158" w:type="dxa"/>
            <w:tcBorders/>
            <w:vAlign w:val="bottom"/>
          </w:tcPr>
          <w:p>
            <w:pPr>
              <w:pStyle w:val="TableContents"/>
              <w:bidi w:val="0"/>
              <w:spacing w:before="0" w:after="283"/>
              <w:jc w:val="left"/>
              <w:rPr>
                <w:b/>
              </w:rPr>
            </w:pPr>
            <w:r>
              <w:rPr>
                <w:b/>
              </w:rPr>
              <w:t>) </w:t>
            </w:r>
          </w:p>
        </w:tc>
      </w:tr>
      <w:tr>
        <w:trPr/>
        <w:tc>
          <w:tcPr>
            <w:tcW w:w="665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14.23</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(0.24</w:t>
            </w:r>
          </w:p>
        </w:tc>
        <w:tc>
          <w:tcPr>
            <w:tcW w:w="158" w:type="dxa"/>
            <w:tcBorders/>
            <w:vAlign w:val="bottom"/>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921,519</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900,213</w:t>
            </w:r>
          </w:p>
        </w:tc>
        <w:tc>
          <w:tcPr>
            <w:tcW w:w="158" w:type="dxa"/>
            <w:tcBorders/>
            <w:shd w:fill="CCEEFF" w:val="clear"/>
            <w:vAlign w:val="bottom"/>
          </w:tcPr>
          <w:p>
            <w:pPr>
              <w:pStyle w:val="TableContents"/>
              <w:bidi w:val="0"/>
              <w:spacing w:before="0" w:after="283"/>
              <w:jc w:val="left"/>
              <w:rPr/>
            </w:pPr>
            <w:r>
              <w:rPr/>
              <w:t> </w:t>
            </w:r>
          </w:p>
        </w:tc>
      </w:tr>
      <w:tr>
        <w:trPr/>
        <w:tc>
          <w:tcPr>
            <w:tcW w:w="6656"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Diluted</w:t>
            </w:r>
          </w:p>
        </w:tc>
        <w:tc>
          <w:tcPr>
            <w:tcW w:w="1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(0.30</w:t>
            </w:r>
          </w:p>
        </w:tc>
        <w:tc>
          <w:tcPr>
            <w:tcW w:w="19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(0.24</w:t>
            </w:r>
          </w:p>
        </w:tc>
        <w:tc>
          <w:tcPr>
            <w:tcW w:w="158" w:type="dxa"/>
            <w:tcBorders/>
            <w:vAlign w:val="bottom"/>
          </w:tcPr>
          <w:p>
            <w:pPr>
              <w:pStyle w:val="TableContents"/>
              <w:bidi w:val="0"/>
              <w:spacing w:before="0" w:after="283"/>
              <w:jc w:val="left"/>
              <w:rPr/>
            </w:pPr>
            <w:r>
              <w:rPr/>
              <w:t>) </w:t>
            </w:r>
          </w:p>
        </w:tc>
      </w:tr>
      <w:tr>
        <w:trPr/>
        <w:tc>
          <w:tcPr>
            <w:tcW w:w="6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1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985,863</w:t>
            </w:r>
          </w:p>
        </w:tc>
        <w:tc>
          <w:tcPr>
            <w:tcW w:w="19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900,213</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Three months Ended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1"/>
        <w:gridCol w:w="137"/>
        <w:gridCol w:w="60"/>
        <w:gridCol w:w="820"/>
        <w:gridCol w:w="60"/>
        <w:gridCol w:w="137"/>
        <w:gridCol w:w="231"/>
        <w:gridCol w:w="639"/>
        <w:gridCol w:w="60"/>
        <w:gridCol w:w="137"/>
        <w:gridCol w:w="140"/>
        <w:gridCol w:w="1146"/>
        <w:gridCol w:w="59"/>
        <w:gridCol w:w="137"/>
        <w:gridCol w:w="145"/>
        <w:gridCol w:w="1251"/>
        <w:gridCol w:w="155"/>
        <w:gridCol w:w="87"/>
        <w:gridCol w:w="142"/>
        <w:gridCol w:w="1266"/>
        <w:gridCol w:w="165"/>
      </w:tblGrid>
      <w:tr>
        <w:trPr/>
        <w:tc>
          <w:tcPr>
            <w:tcW w:w="323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86" w:type="dxa"/>
            <w:gridSpan w:val="2"/>
            <w:tcBorders/>
            <w:vAlign w:val="bottom"/>
          </w:tcPr>
          <w:p>
            <w:pPr>
              <w:pStyle w:val="TableContents"/>
              <w:bidi w:val="0"/>
              <w:spacing w:before="0" w:after="283"/>
              <w:jc w:val="center"/>
              <w:rPr>
                <w:b/>
              </w:rPr>
            </w:pPr>
            <w:r>
              <w:rPr>
                <w:b/>
              </w:rPr>
              <w:t>Additional</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9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86" w:type="dxa"/>
            <w:gridSpan w:val="2"/>
            <w:tcBorders/>
            <w:vAlign w:val="bottom"/>
          </w:tcPr>
          <w:p>
            <w:pPr>
              <w:pStyle w:val="TableContents"/>
              <w:bidi w:val="0"/>
              <w:spacing w:before="0" w:after="283"/>
              <w:jc w:val="center"/>
              <w:rPr>
                <w:b/>
              </w:rPr>
            </w:pPr>
            <w:r>
              <w:rPr>
                <w:b/>
              </w:rPr>
              <w:t>Paid-In</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center"/>
              <w:rPr>
                <w:b/>
              </w:rPr>
            </w:pPr>
            <w:r>
              <w:rPr>
                <w:b/>
              </w:rPr>
              <w:t>Stockholders’</w:t>
            </w:r>
          </w:p>
        </w:tc>
        <w:tc>
          <w:tcPr>
            <w:tcW w:w="165" w:type="dxa"/>
            <w:tcBorders/>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65" w:type="dxa"/>
            <w:tcBorders/>
            <w:vAlign w:val="bottom"/>
          </w:tcPr>
          <w:p>
            <w:pPr>
              <w:pStyle w:val="TableContents"/>
              <w:bidi w:val="0"/>
              <w:spacing w:before="0" w:after="283"/>
              <w:jc w:val="left"/>
              <w:rPr/>
            </w:pPr>
            <w:r>
              <w:rPr/>
              <w:t> </w:t>
            </w:r>
          </w:p>
        </w:tc>
      </w:tr>
      <w:tr>
        <w:trPr/>
        <w:tc>
          <w:tcPr>
            <w:tcW w:w="32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2025</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921,354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12,568,471</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(72,368,135</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(59,799,409</w:t>
            </w:r>
          </w:p>
        </w:tc>
        <w:tc>
          <w:tcPr>
            <w:tcW w:w="165" w:type="dxa"/>
            <w:tcBorders/>
            <w:shd w:fill="CCEEFF" w:val="clear"/>
            <w:vAlign w:val="bottom"/>
          </w:tcPr>
          <w:p>
            <w:pPr>
              <w:pStyle w:val="TableContents"/>
              <w:bidi w:val="0"/>
              <w:spacing w:before="0" w:after="283"/>
              <w:jc w:val="left"/>
              <w:rPr/>
            </w:pPr>
            <w:r>
              <w:rPr/>
              <w:t>) </w:t>
            </w:r>
          </w:p>
        </w:tc>
      </w:tr>
      <w:tr>
        <w:trPr/>
        <w:tc>
          <w:tcPr>
            <w:tcW w:w="32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13,367,096</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13,367,096</w:t>
            </w:r>
          </w:p>
        </w:tc>
        <w:tc>
          <w:tcPr>
            <w:tcW w:w="165" w:type="dxa"/>
            <w:tcBorders/>
            <w:vAlign w:val="bottom"/>
          </w:tcPr>
          <w:p>
            <w:pPr>
              <w:pStyle w:val="TableContents"/>
              <w:bidi w:val="0"/>
              <w:spacing w:before="0" w:after="283"/>
              <w:jc w:val="left"/>
              <w:rPr/>
            </w:pPr>
            <w:r>
              <w:rPr/>
              <w:t> </w:t>
            </w:r>
          </w:p>
        </w:tc>
      </w:tr>
      <w:tr>
        <w:trPr/>
        <w:tc>
          <w:tcPr>
            <w:tcW w:w="3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2,734,113</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2,734,113</w:t>
            </w:r>
          </w:p>
        </w:tc>
        <w:tc>
          <w:tcPr>
            <w:tcW w:w="165" w:type="dxa"/>
            <w:tcBorders/>
            <w:shd w:fill="CCEEFF" w:val="clear"/>
            <w:vAlign w:val="bottom"/>
          </w:tcPr>
          <w:p>
            <w:pPr>
              <w:pStyle w:val="TableContents"/>
              <w:bidi w:val="0"/>
              <w:spacing w:before="0" w:after="283"/>
              <w:jc w:val="left"/>
              <w:rPr/>
            </w:pPr>
            <w:r>
              <w:rPr/>
              <w:t> </w:t>
            </w:r>
          </w:p>
        </w:tc>
      </w:tr>
      <w:tr>
        <w:trPr/>
        <w:tc>
          <w:tcPr>
            <w:tcW w:w="3231"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shares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2,813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3231"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2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2026</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b/>
              </w:rPr>
            </w:pPr>
            <w:r>
              <w:rPr>
                <w:b/>
              </w:rPr>
              <w:t>924,167</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255</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46" w:type="dxa"/>
            <w:tcBorders/>
            <w:shd w:fill="CCEEFF" w:val="clear"/>
            <w:vAlign w:val="bottom"/>
          </w:tcPr>
          <w:p>
            <w:pPr>
              <w:pStyle w:val="TableContents"/>
              <w:bidi w:val="0"/>
              <w:spacing w:before="0" w:after="283"/>
              <w:jc w:val="right"/>
              <w:rPr>
                <w:b/>
              </w:rPr>
            </w:pPr>
            <w:r>
              <w:rPr>
                <w:b/>
              </w:rPr>
              <w:t>15,302,584</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51" w:type="dxa"/>
            <w:tcBorders/>
            <w:shd w:fill="CCEEFF" w:val="clear"/>
            <w:vAlign w:val="bottom"/>
          </w:tcPr>
          <w:p>
            <w:pPr>
              <w:pStyle w:val="TableContents"/>
              <w:bidi w:val="0"/>
              <w:spacing w:before="0" w:after="283"/>
              <w:jc w:val="right"/>
              <w:rPr>
                <w:b/>
              </w:rPr>
            </w:pPr>
            <w:r>
              <w:rPr>
                <w:b/>
              </w:rPr>
              <w:t>(59,001,039</w:t>
            </w:r>
          </w:p>
        </w:tc>
        <w:tc>
          <w:tcPr>
            <w:tcW w:w="155" w:type="dxa"/>
            <w:tcBorders/>
            <w:shd w:fill="CCEEFF" w:val="clear"/>
            <w:vAlign w:val="bottom"/>
          </w:tcPr>
          <w:p>
            <w:pPr>
              <w:pStyle w:val="TableContents"/>
              <w:bidi w:val="0"/>
              <w:spacing w:before="0" w:after="283"/>
              <w:jc w:val="left"/>
              <w:rPr>
                <w:b/>
              </w:rPr>
            </w:pPr>
            <w:r>
              <w:rPr>
                <w:b/>
              </w:rPr>
              <w:t>) </w:t>
            </w:r>
          </w:p>
        </w:tc>
        <w:tc>
          <w:tcPr>
            <w:tcW w:w="8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66" w:type="dxa"/>
            <w:tcBorders/>
            <w:shd w:fill="CCEEFF" w:val="clear"/>
            <w:vAlign w:val="bottom"/>
          </w:tcPr>
          <w:p>
            <w:pPr>
              <w:pStyle w:val="TableContents"/>
              <w:bidi w:val="0"/>
              <w:spacing w:before="0" w:after="283"/>
              <w:jc w:val="right"/>
              <w:rPr>
                <w:b/>
              </w:rPr>
            </w:pPr>
            <w:r>
              <w:rPr>
                <w:b/>
              </w:rPr>
              <w:t>(43,698,200</w:t>
            </w:r>
          </w:p>
        </w:tc>
        <w:tc>
          <w:tcPr>
            <w:tcW w:w="165" w:type="dxa"/>
            <w:tcBorders/>
            <w:shd w:fill="CCEEFF" w:val="clear"/>
            <w:vAlign w:val="bottom"/>
          </w:tcPr>
          <w:p>
            <w:pPr>
              <w:pStyle w:val="TableContents"/>
              <w:bidi w:val="0"/>
              <w:spacing w:before="0" w:after="283"/>
              <w:jc w:val="left"/>
              <w:rPr>
                <w:b/>
              </w:rPr>
            </w:pPr>
            <w:r>
              <w:rPr>
                <w:b/>
              </w:rPr>
              <w:t>) </w:t>
            </w:r>
          </w:p>
        </w:tc>
      </w:tr>
      <w:tr>
        <w:trPr/>
        <w:tc>
          <w:tcPr>
            <w:tcW w:w="3231"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Three months Ended March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49"/>
        <w:gridCol w:w="176"/>
        <w:gridCol w:w="60"/>
        <w:gridCol w:w="818"/>
        <w:gridCol w:w="60"/>
        <w:gridCol w:w="176"/>
        <w:gridCol w:w="240"/>
        <w:gridCol w:w="630"/>
        <w:gridCol w:w="60"/>
        <w:gridCol w:w="176"/>
        <w:gridCol w:w="187"/>
        <w:gridCol w:w="953"/>
        <w:gridCol w:w="155"/>
        <w:gridCol w:w="122"/>
        <w:gridCol w:w="188"/>
        <w:gridCol w:w="1228"/>
        <w:gridCol w:w="155"/>
        <w:gridCol w:w="121"/>
        <w:gridCol w:w="184"/>
        <w:gridCol w:w="1205"/>
        <w:gridCol w:w="162"/>
      </w:tblGrid>
      <w:tr>
        <w:trPr/>
        <w:tc>
          <w:tcPr>
            <w:tcW w:w="314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40" w:type="dxa"/>
            <w:gridSpan w:val="2"/>
            <w:tcBorders/>
            <w:vAlign w:val="bottom"/>
          </w:tcPr>
          <w:p>
            <w:pPr>
              <w:pStyle w:val="TableContents"/>
              <w:bidi w:val="0"/>
              <w:spacing w:before="0" w:after="283"/>
              <w:jc w:val="center"/>
              <w:rPr>
                <w:b/>
              </w:rPr>
            </w:pPr>
            <w:r>
              <w:rPr>
                <w:b/>
              </w:rPr>
              <w:t>Additional</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389" w:type="dxa"/>
            <w:gridSpan w:val="2"/>
            <w:tcBorders/>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314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40" w:type="dxa"/>
            <w:gridSpan w:val="2"/>
            <w:tcBorders/>
            <w:vAlign w:val="bottom"/>
          </w:tcPr>
          <w:p>
            <w:pPr>
              <w:pStyle w:val="TableContents"/>
              <w:bidi w:val="0"/>
              <w:spacing w:before="0" w:after="283"/>
              <w:jc w:val="center"/>
              <w:rPr>
                <w:b/>
              </w:rPr>
            </w:pPr>
            <w:r>
              <w:rPr>
                <w:b/>
              </w:rPr>
              <w:t>Paid-In</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389" w:type="dxa"/>
            <w:gridSpan w:val="2"/>
            <w:tcBorders/>
            <w:vAlign w:val="bottom"/>
          </w:tcPr>
          <w:p>
            <w:pPr>
              <w:pStyle w:val="TableContents"/>
              <w:bidi w:val="0"/>
              <w:spacing w:before="0" w:after="283"/>
              <w:jc w:val="center"/>
              <w:rPr>
                <w:b/>
              </w:rPr>
            </w:pPr>
            <w:r>
              <w:rPr>
                <w:b/>
              </w:rPr>
              <w:t>Stockholders’</w:t>
            </w:r>
          </w:p>
        </w:tc>
        <w:tc>
          <w:tcPr>
            <w:tcW w:w="162" w:type="dxa"/>
            <w:tcBorders/>
            <w:vAlign w:val="bottom"/>
          </w:tcPr>
          <w:p>
            <w:pPr>
              <w:pStyle w:val="TableContents"/>
              <w:bidi w:val="0"/>
              <w:spacing w:before="0" w:after="283"/>
              <w:jc w:val="left"/>
              <w:rPr/>
            </w:pPr>
            <w:r>
              <w:rPr/>
              <w:t> </w:t>
            </w:r>
          </w:p>
        </w:tc>
      </w:tr>
      <w:tr>
        <w:trPr/>
        <w:tc>
          <w:tcPr>
            <w:tcW w:w="314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62" w:type="dxa"/>
            <w:tcBorders/>
            <w:vAlign w:val="bottom"/>
          </w:tcPr>
          <w:p>
            <w:pPr>
              <w:pStyle w:val="TableContents"/>
              <w:bidi w:val="0"/>
              <w:spacing w:before="0" w:after="283"/>
              <w:jc w:val="left"/>
              <w:rPr/>
            </w:pPr>
            <w:r>
              <w:rPr/>
              <w:t> </w:t>
            </w:r>
          </w:p>
        </w:tc>
      </w:tr>
      <w:tr>
        <w:trPr/>
        <w:tc>
          <w:tcPr>
            <w:tcW w:w="31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2024</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900,104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2,755</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(593,556</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(590,551</w:t>
            </w:r>
          </w:p>
        </w:tc>
        <w:tc>
          <w:tcPr>
            <w:tcW w:w="162" w:type="dxa"/>
            <w:tcBorders/>
            <w:shd w:fill="CCEEFF" w:val="clear"/>
            <w:vAlign w:val="bottom"/>
          </w:tcPr>
          <w:p>
            <w:pPr>
              <w:pStyle w:val="TableContents"/>
              <w:bidi w:val="0"/>
              <w:spacing w:before="0" w:after="283"/>
              <w:jc w:val="left"/>
              <w:rPr/>
            </w:pPr>
            <w:r>
              <w:rPr/>
              <w:t>) </w:t>
            </w:r>
          </w:p>
        </w:tc>
      </w:tr>
      <w:tr>
        <w:trPr/>
        <w:tc>
          <w:tcPr>
            <w:tcW w:w="314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(220,351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(220,351</w:t>
            </w:r>
          </w:p>
        </w:tc>
        <w:tc>
          <w:tcPr>
            <w:tcW w:w="162" w:type="dxa"/>
            <w:tcBorders/>
            <w:vAlign w:val="bottom"/>
          </w:tcPr>
          <w:p>
            <w:pPr>
              <w:pStyle w:val="TableContents"/>
              <w:bidi w:val="0"/>
              <w:spacing w:before="0" w:after="283"/>
              <w:jc w:val="left"/>
              <w:rPr/>
            </w:pPr>
            <w:r>
              <w:rPr/>
              <w:t>) </w:t>
            </w:r>
          </w:p>
        </w:tc>
      </w:tr>
      <w:tr>
        <w:trPr/>
        <w:tc>
          <w:tcPr>
            <w:tcW w:w="3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9,013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9,013</w:t>
            </w:r>
          </w:p>
        </w:tc>
        <w:tc>
          <w:tcPr>
            <w:tcW w:w="162" w:type="dxa"/>
            <w:tcBorders/>
            <w:shd w:fill="CCEEFF" w:val="clear"/>
            <w:vAlign w:val="bottom"/>
          </w:tcPr>
          <w:p>
            <w:pPr>
              <w:pStyle w:val="TableContents"/>
              <w:bidi w:val="0"/>
              <w:spacing w:before="0" w:after="283"/>
              <w:jc w:val="left"/>
              <w:rPr/>
            </w:pPr>
            <w:r>
              <w:rPr/>
              <w:t> </w:t>
            </w:r>
          </w:p>
        </w:tc>
      </w:tr>
      <w:tr>
        <w:trPr/>
        <w:tc>
          <w:tcPr>
            <w:tcW w:w="3149"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shares</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14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2025</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900,417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b/>
              </w:rPr>
            </w:pPr>
            <w:r>
              <w:rPr>
                <w:b/>
              </w:rPr>
              <w:t>251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b/>
              </w:rPr>
            </w:pPr>
            <w:r>
              <w:rPr>
                <w:b/>
              </w:rPr>
              <w:t>$</w:t>
            </w:r>
          </w:p>
        </w:tc>
        <w:tc>
          <w:tcPr>
            <w:tcW w:w="953" w:type="dxa"/>
            <w:tcBorders/>
            <w:shd w:fill="CCEEFF" w:val="clear"/>
            <w:vAlign w:val="bottom"/>
          </w:tcPr>
          <w:p>
            <w:pPr>
              <w:pStyle w:val="TableContents"/>
              <w:bidi w:val="0"/>
              <w:spacing w:before="0" w:after="283"/>
              <w:jc w:val="right"/>
              <w:rPr>
                <w:b/>
              </w:rPr>
            </w:pPr>
            <w:r>
              <w:rPr>
                <w:b/>
              </w:rPr>
              <w:t>11,767</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b/>
              </w:rPr>
            </w:pPr>
            <w:r>
              <w:rPr>
                <w:b/>
              </w:rPr>
              <w:t>(813,907</w:t>
            </w:r>
          </w:p>
        </w:tc>
        <w:tc>
          <w:tcPr>
            <w:tcW w:w="155" w:type="dxa"/>
            <w:tcBorders/>
            <w:shd w:fill="CCEEFF" w:val="clear"/>
            <w:vAlign w:val="bottom"/>
          </w:tcPr>
          <w:p>
            <w:pPr>
              <w:pStyle w:val="TableContents"/>
              <w:bidi w:val="0"/>
              <w:spacing w:before="0" w:after="283"/>
              <w:jc w:val="left"/>
              <w:rPr>
                <w:b/>
              </w:rPr>
            </w:pPr>
            <w:r>
              <w:rPr>
                <w:b/>
              </w:rPr>
              <w:t>) </w:t>
            </w:r>
          </w:p>
        </w:tc>
        <w:tc>
          <w:tcPr>
            <w:tcW w:w="1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(801,889</w:t>
            </w:r>
          </w:p>
        </w:tc>
        <w:tc>
          <w:tcPr>
            <w:tcW w:w="162" w:type="dxa"/>
            <w:tcBorders/>
            <w:shd w:fill="CCEEFF" w:val="clear"/>
            <w:vAlign w:val="bottom"/>
          </w:tcPr>
          <w:p>
            <w:pPr>
              <w:pStyle w:val="TableContents"/>
              <w:bidi w:val="0"/>
              <w:spacing w:before="0" w:after="283"/>
              <w:jc w:val="left"/>
              <w:rPr>
                <w:b/>
              </w:rPr>
            </w:pPr>
            <w:r>
              <w:rPr>
                <w:b/>
              </w:rPr>
              <w:t>) </w:t>
            </w:r>
          </w:p>
        </w:tc>
      </w:tr>
      <w:tr>
        <w:trPr/>
        <w:tc>
          <w:tcPr>
            <w:tcW w:w="314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6"/>
        <w:gridCol w:w="147"/>
        <w:gridCol w:w="140"/>
        <w:gridCol w:w="1217"/>
        <w:gridCol w:w="155"/>
        <w:gridCol w:w="113"/>
        <w:gridCol w:w="140"/>
        <w:gridCol w:w="889"/>
        <w:gridCol w:w="158"/>
      </w:tblGrid>
      <w:tr>
        <w:trPr/>
        <w:tc>
          <w:tcPr>
            <w:tcW w:w="724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654"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8" w:type="dxa"/>
            <w:tcBorders/>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13,367,096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(220,351</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1,945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178</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legal settlement liability</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(4,689,638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20,996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3,350</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(13,419,233</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55,961</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2,734,113</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9,013</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252,269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(18,023</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stockholder</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(19,305</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and liabilities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(19,261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(42,935</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6,006</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1,318,445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(785,528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21,501</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b/>
              </w:rPr>
            </w:pPr>
            <w:r>
              <w:rPr>
                <w:b/>
              </w:rPr>
              <w:t>(1,212,790</w:t>
            </w:r>
          </w:p>
        </w:tc>
        <w:tc>
          <w:tcPr>
            <w:tcW w:w="155" w:type="dxa"/>
            <w:tcBorders/>
            <w:vAlign w:val="bottom"/>
          </w:tcPr>
          <w:p>
            <w:pPr>
              <w:pStyle w:val="TableContents"/>
              <w:bidi w:val="0"/>
              <w:spacing w:before="0" w:after="283"/>
              <w:jc w:val="left"/>
              <w:rPr>
                <w:b/>
              </w:rPr>
            </w:pPr>
            <w:r>
              <w:rPr>
                <w:b/>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(210,611</w:t>
            </w:r>
          </w:p>
        </w:tc>
        <w:tc>
          <w:tcPr>
            <w:tcW w:w="158" w:type="dxa"/>
            <w:tcBorders/>
            <w:vAlign w:val="bottom"/>
          </w:tcPr>
          <w:p>
            <w:pPr>
              <w:pStyle w:val="TableContents"/>
              <w:bidi w:val="0"/>
              <w:spacing w:before="0" w:after="283"/>
              <w:jc w:val="left"/>
              <w:rPr>
                <w:b/>
              </w:rPr>
            </w:pPr>
            <w:r>
              <w:rPr>
                <w:b/>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Simple Agreements for Future Equity</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1,585,000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307,000</w:t>
            </w:r>
          </w:p>
        </w:tc>
        <w:tc>
          <w:tcPr>
            <w:tcW w:w="158" w:type="dxa"/>
            <w:tcBorders/>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b/>
              </w:rPr>
            </w:pPr>
            <w:r>
              <w:rPr>
                <w:b/>
              </w:rPr>
              <w:t>1,585,000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307,000</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372,210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96,389</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beginning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1,757,241</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17,276</w:t>
            </w:r>
          </w:p>
        </w:tc>
        <w:tc>
          <w:tcPr>
            <w:tcW w:w="158" w:type="dxa"/>
            <w:tcBorders/>
            <w:shd w:fill="CCEEFF" w:val="clear"/>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 end of period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2,129,451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9" w:type="dxa"/>
            <w:tcBorders/>
            <w:vAlign w:val="bottom"/>
          </w:tcPr>
          <w:p>
            <w:pPr>
              <w:pStyle w:val="TableContents"/>
              <w:bidi w:val="0"/>
              <w:spacing w:before="0" w:after="283"/>
              <w:jc w:val="right"/>
              <w:rPr>
                <w:b/>
              </w:rPr>
            </w:pPr>
            <w:r>
              <w:rPr>
                <w:b/>
              </w:rPr>
              <w:t>113,665</w:t>
            </w:r>
          </w:p>
        </w:tc>
        <w:tc>
          <w:tcPr>
            <w:tcW w:w="158" w:type="dxa"/>
            <w:tcBorders/>
            <w:vAlign w:val="bottom"/>
          </w:tcPr>
          <w:p>
            <w:pPr>
              <w:pStyle w:val="TableContents"/>
              <w:bidi w:val="0"/>
              <w:spacing w:before="0" w:after="283"/>
              <w:jc w:val="left"/>
              <w:rPr/>
            </w:pPr>
            <w:r>
              <w:rPr/>
              <w:t> </w:t>
            </w:r>
          </w:p>
        </w:tc>
      </w:tr>
      <w:tr>
        <w:trPr/>
        <w:tc>
          <w:tcPr>
            <w:tcW w:w="724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schedule of non-cash transactions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68,914</w:t>
            </w:r>
          </w:p>
        </w:tc>
        <w:tc>
          <w:tcPr>
            <w:tcW w:w="158"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transaction costs included in accounts payable</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416,002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Hadron Energy, Inc. (“the Company”) was formed on July 8, 2024 as Hadron Energy LLC, a California limited liability company (“the LLC”). On October 30, 2024, the sole member of the LLC converted its entire interest in the LLC into the Company as a Delaware Corporation,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condensed financial statements have been prepared on a basis which assumes that the Company will continue as a going concern, which contemplates the realization of assets and the satisfaction of liabilities and commitments in the normal course of business. As of March 31, 2026, the Company had cash of $2,129,451 and accumulated deficit of $59,001,039; and for the three months ended March 31, 2026, a loss from operations of $52,137 and negative cash flows from operations of $1,212,790. The Company’s ability to continue as a going concern depends on its ability to obtain financial support through debt and equity transactions to fund the needs of the business, and ultimately to generate profitable operations. These condensed financial statements do not reflect any adjustments or reclassifications of assets and liabilities which would be necessary if the Company were unable to continue as a going concern. Since inception, except for the three months ended March 31, 2026,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Pursuant to the Business Combination Agreement, Merger Sub will merge with and into the Company (the “Merger”), with the Company continuing as the surviving corporation (such transactions, together with the Merger, the “Business Combination”).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and as amended. On May 22, 2026, the Business Combination was consummated and is accounted for as a reverse capitalization.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have been prepared in accordance with accounting principles generally accepted in the United States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GAAP. </w:t>
      </w:r>
    </w:p>
    <w:p>
      <w:pPr>
        <w:pStyle w:val="TextBody"/>
        <w:bidi w:val="0"/>
        <w:spacing w:before="120" w:after="0"/>
        <w:jc w:val="left"/>
        <w:rPr>
          <w:rFonts w:ascii="Times New Roman" w:hAnsi="Times New Roman"/>
          <w:sz w:val="20"/>
        </w:rPr>
      </w:pPr>
      <w:r>
        <w:rPr>
          <w:rFonts w:ascii="Times New Roman" w:hAnsi="Times New Roman"/>
          <w:sz w:val="20"/>
        </w:rPr>
        <w:t xml:space="preserve">In management’s opinion, the unaudited interim condensed financial statements have been prepared on the same basis as the fiscal year 2025 audited financial statements. They include all adjustments, consisting of only normal recurring adjustments, necessary for the fair statement of the Company’s financial position as of March 31, 2026, and its results of operations and cash flows for the three months ended March 31, 2026. The results for the three months ended March 31, 2026 are not necessarily indicative of the results expected for the year or any other periods. The condensed balance sheet as of December 31, 2025 has been derived from the Company’s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Use of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interim condensed financial statements in conformity with GAAP requires management to make certain estimates, judgments and assumptions. The Company believes that the estimates, judgments and assumptions made when accounting for items and matters such as, but not limited to Simple Agreements for Future Equity agreements (“SAFEs”), stock-based compensation, valuation of the Company’s common stock, and loss contingencies including estimated legal settlement, are reasonable based on information available at the time they are made. These estimates, judgments and assumptions can affect the reported amounts of assets and liabilities as of the date of the interim condensed financial statements, as well as amounts reported on the condensed statements of operations and comprehensive income (loss) during the periods presented. These estimates and assumptions may change as new events occur, and additional information is obtained. As a result, actual results could differ materially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March 31, 2026 and December 31, 2025, deferred transaction costs of $2,290,926 and $1,874,924, respectively, were capitalized in connection with the Business Combination on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and significant value drivers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Valuations derived from valuation techniques in which one or more significant inputs or significant value drivers are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other current assets, other assets, deferred transaction costs, accounts payable, and accrued expenses approximate their fair value due to their short maturities. The fair value of the Company’s SAFEs liability and legal settlement were determined using level 3 fair value determination methods. Refer to Note 5 for additional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lease arrangements for its corporate offices and a Company vehicle. In accordance with ASC 842, </w:t>
      </w:r>
      <w:r>
        <w:rPr>
          <w:rFonts w:ascii="Times New Roman" w:hAnsi="Times New Roman"/>
          <w:i/>
          <w:sz w:val="20"/>
        </w:rPr>
        <w:t>Leases</w:t>
      </w:r>
      <w:r>
        <w:rPr>
          <w:rFonts w:ascii="Times New Roman" w:hAnsi="Times New Roman"/>
          <w:sz w:val="20"/>
        </w:rPr>
        <w:t xml:space="preserve">,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March 31, 2026 and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SAFEs as a liability stated at fair value in accordance with ASC Topic 480: </w:t>
      </w:r>
      <w:r>
        <w:rPr>
          <w:rFonts w:ascii="Times New Roman" w:hAnsi="Times New Roman"/>
          <w:i/>
          <w:sz w:val="20"/>
        </w:rPr>
        <w:t>Distinguishing Liabilities from Equity</w:t>
      </w:r>
      <w:r>
        <w:rPr>
          <w:rFonts w:ascii="Times New Roman" w:hAnsi="Times New Roman"/>
          <w:sz w:val="20"/>
        </w:rPr>
        <w:t xml:space="preserve">. SAFEs are subject to revaluation at the end of each reporting period, with changes in fair value recognized in the statements of operations and comprehensive income (loss). There was no event that triggered the SAFEs to convert into equity securities during the three months ended March 31, 2026 and 2025. Refer to Note 5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expenses for executives, human resources, finance and other G&amp;A employees, including salary, professional services costs and facility and overhead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practice is to recognize interest and penalties, if any, related to uncertain tax positions in income tax expense in the accompanying statements of operations and comprehensive income (loss). The prior year tax returns remain subject to examination by taxing jurisdictions. At March 31, 2026 and 2025, the Company does not believe it has any uncertain tax positions that would require either recognition or disclosure in the accompanying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Company’s basic net income (loss) per share of common stock is computed based upon the weighted average number of shares of common stock outstanding for the period. Diluted loss per share includes the effect, if any, from potential conversion of securities, such as the issuance of shares of common stock from SAFE notes. Participating securities (unvested share-based payment awards that contain non-forfeitable rights to dividends or dividend equivalents) are included in the computation of net income (loss) per share, pursuant to the two-class method. The Company’s participating securities consist solely of unvested restricted stock awards, which have contractual participation rights equivalent to those of stockholders of unrestricted common stock.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 For any period in which the Company is in a net loss position, basic net loss per share is the same as diluted net loss per share, since the effects of potentially dilutive securities are antidilutive.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computation of basic and diluted net income (loss) per common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0"/>
        <w:gridCol w:w="281"/>
        <w:gridCol w:w="144"/>
        <w:gridCol w:w="1197"/>
        <w:gridCol w:w="155"/>
        <w:gridCol w:w="231"/>
        <w:gridCol w:w="144"/>
        <w:gridCol w:w="893"/>
        <w:gridCol w:w="160"/>
      </w:tblGrid>
      <w:tr>
        <w:trPr/>
        <w:tc>
          <w:tcPr>
            <w:tcW w:w="455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341" w:type="dxa"/>
            <w:gridSpan w:val="2"/>
            <w:tcBorders/>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center"/>
              <w:rPr>
                <w:b/>
              </w:rPr>
            </w:pPr>
            <w:r>
              <w:rPr>
                <w:b/>
              </w:rPr>
              <w:t>March 31,</w:t>
            </w:r>
          </w:p>
        </w:tc>
        <w:tc>
          <w:tcPr>
            <w:tcW w:w="16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283"/>
              <w:jc w:val="left"/>
              <w:rPr>
                <w:b/>
                <w:i/>
              </w:rPr>
            </w:pPr>
            <w:r>
              <w:rPr>
                <w:b/>
                <w:i/>
              </w:rPr>
              <w:t>Numerator:</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13,367,096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(220,351</w:t>
            </w:r>
          </w:p>
        </w:tc>
        <w:tc>
          <w:tcPr>
            <w:tcW w:w="160" w:type="dxa"/>
            <w:tcBorders/>
            <w:vAlign w:val="bottom"/>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(257,544</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 basic</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197" w:type="dxa"/>
            <w:tcBorders/>
            <w:vAlign w:val="bottom"/>
          </w:tcPr>
          <w:p>
            <w:pPr>
              <w:pStyle w:val="TableContents"/>
              <w:bidi w:val="0"/>
              <w:spacing w:before="0" w:after="283"/>
              <w:jc w:val="right"/>
              <w:rPr>
                <w:b/>
              </w:rPr>
            </w:pPr>
            <w:r>
              <w:rPr>
                <w:b/>
              </w:rPr>
              <w:t>13,109,552</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893" w:type="dxa"/>
            <w:tcBorders/>
            <w:vAlign w:val="bottom"/>
          </w:tcPr>
          <w:p>
            <w:pPr>
              <w:pStyle w:val="TableContents"/>
              <w:bidi w:val="0"/>
              <w:spacing w:before="0" w:after="283"/>
              <w:jc w:val="right"/>
              <w:rPr>
                <w:b/>
              </w:rPr>
            </w:pPr>
            <w:r>
              <w:rPr>
                <w:b/>
              </w:rPr>
              <w:t>(220,351</w:t>
            </w:r>
          </w:p>
        </w:tc>
        <w:tc>
          <w:tcPr>
            <w:tcW w:w="160" w:type="dxa"/>
            <w:tcBorders/>
            <w:vAlign w:val="bottom"/>
          </w:tcPr>
          <w:p>
            <w:pPr>
              <w:pStyle w:val="TableContents"/>
              <w:bidi w:val="0"/>
              <w:spacing w:before="0" w:after="283"/>
              <w:jc w:val="left"/>
              <w:rPr>
                <w:b/>
              </w:rPr>
            </w:pPr>
            <w:r>
              <w:rPr>
                <w:b/>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13,367,096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(220,351</w:t>
            </w:r>
          </w:p>
        </w:tc>
        <w:tc>
          <w:tcPr>
            <w:tcW w:w="160" w:type="dxa"/>
            <w:tcBorders/>
            <w:shd w:fill="CCEEFF" w:val="clear"/>
            <w:vAlign w:val="bottom"/>
          </w:tcPr>
          <w:p>
            <w:pPr>
              <w:pStyle w:val="TableContents"/>
              <w:bidi w:val="0"/>
              <w:spacing w:before="0" w:after="283"/>
              <w:jc w:val="left"/>
              <w:rPr/>
            </w:pPr>
            <w:r>
              <w:rPr/>
              <w:t>) </w:t>
            </w:r>
          </w:p>
        </w:tc>
      </w:tr>
      <w:tr>
        <w:trPr/>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(13,419,233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(241,038</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 diluted</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197" w:type="dxa"/>
            <w:tcBorders/>
            <w:vAlign w:val="bottom"/>
          </w:tcPr>
          <w:p>
            <w:pPr>
              <w:pStyle w:val="TableContents"/>
              <w:bidi w:val="0"/>
              <w:spacing w:before="0" w:after="283"/>
              <w:jc w:val="right"/>
              <w:rPr>
                <w:b/>
              </w:rPr>
            </w:pPr>
            <w:r>
              <w:rPr>
                <w:b/>
              </w:rPr>
              <w:t>(293,175</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893" w:type="dxa"/>
            <w:tcBorders/>
            <w:vAlign w:val="bottom"/>
          </w:tcPr>
          <w:p>
            <w:pPr>
              <w:pStyle w:val="TableContents"/>
              <w:bidi w:val="0"/>
              <w:spacing w:before="0" w:after="283"/>
              <w:jc w:val="right"/>
              <w:rPr>
                <w:b/>
              </w:rPr>
            </w:pPr>
            <w:r>
              <w:rPr>
                <w:b/>
              </w:rPr>
              <w:t>(220,351</w:t>
            </w:r>
          </w:p>
        </w:tc>
        <w:tc>
          <w:tcPr>
            <w:tcW w:w="160" w:type="dxa"/>
            <w:tcBorders/>
            <w:vAlign w:val="bottom"/>
          </w:tcPr>
          <w:p>
            <w:pPr>
              <w:pStyle w:val="TableContents"/>
              <w:bidi w:val="0"/>
              <w:spacing w:before="0" w:after="283"/>
              <w:jc w:val="left"/>
              <w:rPr>
                <w:b/>
              </w:rPr>
            </w:pPr>
            <w:r>
              <w:rPr>
                <w:b/>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283"/>
              <w:jc w:val="left"/>
              <w:rPr>
                <w:b/>
                <w:i/>
              </w:rPr>
            </w:pPr>
            <w:r>
              <w:rPr>
                <w:b/>
                <w:i/>
              </w:rPr>
              <w:t>Denominator:</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Denominator for basic net income (loss) per share – common shares outstanding</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921,519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900,213</w:t>
            </w:r>
          </w:p>
        </w:tc>
        <w:tc>
          <w:tcPr>
            <w:tcW w:w="160" w:type="dxa"/>
            <w:tcBorders/>
            <w:vAlign w:val="bottom"/>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Expected shares from SAFEs</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64,344</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 for diluted net loss per share – common shares outstanding</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985,863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900,213</w:t>
            </w:r>
          </w:p>
        </w:tc>
        <w:tc>
          <w:tcPr>
            <w:tcW w:w="16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28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14.23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(0.24</w:t>
            </w:r>
          </w:p>
        </w:tc>
        <w:tc>
          <w:tcPr>
            <w:tcW w:w="160" w:type="dxa"/>
            <w:tcBorders/>
            <w:vAlign w:val="bottom"/>
          </w:tcPr>
          <w:p>
            <w:pPr>
              <w:pStyle w:val="TableContents"/>
              <w:bidi w:val="0"/>
              <w:spacing w:before="0" w:after="283"/>
              <w:jc w:val="left"/>
              <w:rPr/>
            </w:pPr>
            <w:r>
              <w:rPr/>
              <w:t>) </w:t>
            </w:r>
          </w:p>
        </w:tc>
      </w:tr>
      <w:tr>
        <w:trPr/>
        <w:tc>
          <w:tcPr>
            <w:tcW w:w="4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 diluted</w:t>
            </w:r>
          </w:p>
        </w:tc>
        <w:tc>
          <w:tcPr>
            <w:tcW w:w="28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(0.30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(0.24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potentially dilutive shares have been excluded from the calculation of diluted net income (loss) per share for the periods presented because including them would have been antidilutive (in common stock equivalent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67"/>
        <w:gridCol w:w="298"/>
        <w:gridCol w:w="86"/>
        <w:gridCol w:w="998"/>
        <w:gridCol w:w="60"/>
        <w:gridCol w:w="298"/>
        <w:gridCol w:w="86"/>
        <w:gridCol w:w="998"/>
        <w:gridCol w:w="64"/>
      </w:tblGrid>
      <w:tr>
        <w:trPr/>
        <w:tc>
          <w:tcPr>
            <w:tcW w:w="4867"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6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4" w:type="dxa"/>
            <w:tcBorders/>
            <w:vAlign w:val="bottom"/>
          </w:tcPr>
          <w:p>
            <w:pPr>
              <w:pStyle w:val="TableContents"/>
              <w:bidi w:val="0"/>
              <w:spacing w:before="0" w:after="283"/>
              <w:jc w:val="left"/>
              <w:rPr/>
            </w:pPr>
            <w:r>
              <w:rPr/>
              <w:t> </w:t>
            </w:r>
          </w:p>
        </w:tc>
      </w:tr>
      <w:tr>
        <w:trPr/>
        <w:tc>
          <w:tcPr>
            <w:tcW w:w="4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of restricted stock purchase agreements</w:t>
            </w:r>
          </w:p>
        </w:tc>
        <w:tc>
          <w:tcPr>
            <w:tcW w:w="29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31,833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2,083</w:t>
            </w:r>
          </w:p>
        </w:tc>
        <w:tc>
          <w:tcPr>
            <w:tcW w:w="64" w:type="dxa"/>
            <w:tcBorders/>
            <w:shd w:fill="CCEEFF" w:val="clear"/>
            <w:vAlign w:val="bottom"/>
          </w:tcPr>
          <w:p>
            <w:pPr>
              <w:pStyle w:val="TableContents"/>
              <w:bidi w:val="0"/>
              <w:spacing w:before="0" w:after="283"/>
              <w:jc w:val="left"/>
              <w:rPr/>
            </w:pPr>
            <w:r>
              <w:rPr/>
              <w:t> </w:t>
            </w:r>
          </w:p>
        </w:tc>
      </w:tr>
      <w:tr>
        <w:trPr/>
        <w:tc>
          <w:tcPr>
            <w:tcW w:w="4867" w:type="dxa"/>
            <w:tcBorders/>
          </w:tcPr>
          <w:p>
            <w:pPr>
              <w:pStyle w:val="TableContents"/>
              <w:bidi w:val="0"/>
              <w:spacing w:before="0" w:after="0"/>
              <w:jc w:val="left"/>
              <w:rPr>
                <w:rFonts w:ascii="Times New Roman" w:hAnsi="Times New Roman"/>
                <w:sz w:val="20"/>
              </w:rPr>
            </w:pPr>
            <w:r>
              <w:rPr>
                <w:rFonts w:ascii="Times New Roman" w:hAnsi="Times New Roman"/>
                <w:sz w:val="20"/>
              </w:rPr>
              <w:t>Expected shares from SAFE notes</w:t>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22,358</w:t>
            </w:r>
          </w:p>
        </w:tc>
        <w:tc>
          <w:tcPr>
            <w:tcW w:w="64" w:type="dxa"/>
            <w:tcBorders/>
            <w:vAlign w:val="bottom"/>
          </w:tcPr>
          <w:p>
            <w:pPr>
              <w:pStyle w:val="TableContents"/>
              <w:bidi w:val="0"/>
              <w:spacing w:before="0" w:after="283"/>
              <w:jc w:val="left"/>
              <w:rPr/>
            </w:pPr>
            <w:r>
              <w:rPr/>
              <w:t> </w:t>
            </w:r>
          </w:p>
        </w:tc>
      </w:tr>
      <w:tr>
        <w:trPr/>
        <w:tc>
          <w:tcPr>
            <w:tcW w:w="4867"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6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potentially dilutive securities</w:t>
            </w:r>
          </w:p>
        </w:tc>
        <w:tc>
          <w:tcPr>
            <w:tcW w:w="29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31,833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24,441</w:t>
            </w:r>
          </w:p>
        </w:tc>
        <w:tc>
          <w:tcPr>
            <w:tcW w:w="64" w:type="dxa"/>
            <w:tcBorders/>
            <w:shd w:fill="CCEEFF" w:val="clear"/>
            <w:vAlign w:val="bottom"/>
          </w:tcPr>
          <w:p>
            <w:pPr>
              <w:pStyle w:val="TableContents"/>
              <w:bidi w:val="0"/>
              <w:spacing w:before="0" w:after="283"/>
              <w:jc w:val="left"/>
              <w:rPr/>
            </w:pPr>
            <w:r>
              <w:rPr/>
              <w:t> </w:t>
            </w:r>
          </w:p>
        </w:tc>
      </w:tr>
      <w:tr>
        <w:trPr/>
        <w:tc>
          <w:tcPr>
            <w:tcW w:w="4867"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three months ended March 31, 2026 and 2025, the CODM made decisions on resource allocation, assessed performance of the business and monitored actual results using net loss, which is provided in the accompanying statements of operations and comprehensive income (loss). When evaluating how to allocate resources, the CODM primarily focuses on contract labor and legal fees which are the significant expenses within the results of operations. Contract labor costs and legal fees were $35,216 and $145,589, respectively, for the three months ended March 31, 2026 and contract labor costs and legal fees were $42,706 and $26,759, respectively, for the three months ended March 31, 2025, which are included in general and administrative expenses in the accompanying condensed statements of operations and comprehensive income (loss).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applicability and impact of all ASUs issued by the FASB.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FASB issued ASU 2023-06, </w:t>
      </w:r>
      <w:r>
        <w:rPr>
          <w:rFonts w:ascii="Times New Roman" w:hAnsi="Times New Roman"/>
          <w:i/>
          <w:sz w:val="20"/>
        </w:rPr>
        <w:t>Disclosure Improvements: Codification Amendments in Response to the SEC’s Disclosure Update and Simplification Initiative</w:t>
      </w:r>
      <w:r>
        <w:rPr>
          <w:rFonts w:ascii="Times New Roman" w:hAnsi="Times New Roman"/>
          <w:sz w:val="20"/>
        </w:rPr>
        <w:t xml:space="preserve">. This ASU amends the ASC to incorporate certain disclosure requirements from SEC Release No. 33-10532, </w:t>
      </w:r>
      <w:r>
        <w:rPr>
          <w:rFonts w:ascii="Times New Roman" w:hAnsi="Times New Roman"/>
          <w:i/>
          <w:sz w:val="20"/>
        </w:rPr>
        <w:t xml:space="preserve">Disclosure Update and Simplification </w:t>
      </w:r>
      <w:r>
        <w:rPr>
          <w:rFonts w:ascii="Times New Roman" w:hAnsi="Times New Roman"/>
          <w:sz w:val="20"/>
        </w:rPr>
        <w:t xml:space="preserve">that was issued in 2018. The effective date for each amendment will be the date on which the SEC’s removal of that related 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the FASB issued ASU 2025-01, </w:t>
      </w:r>
      <w:r>
        <w:rPr>
          <w:rFonts w:ascii="Times New Roman" w:hAnsi="Times New Roman"/>
          <w:i/>
          <w:sz w:val="20"/>
        </w:rPr>
        <w:t>Income Statement - Reporting Comprehensive Income - Expense Disaggregation Disclosures (Subtopic 220-40): Clarifying the Effective Date</w:t>
      </w:r>
      <w:r>
        <w:rPr>
          <w:rFonts w:ascii="Times New Roman" w:hAnsi="Times New Roman"/>
          <w:sz w:val="20"/>
        </w:rPr>
        <w:t>. ASU 2025-01 clarifies the effective date for ASU 2024-03 (</w:t>
      </w:r>
      <w:r>
        <w:rPr>
          <w:rFonts w:ascii="Times New Roman" w:hAnsi="Times New Roman"/>
          <w:i/>
          <w:sz w:val="20"/>
        </w:rPr>
        <w:t>Income Statement—Reporting Comprehensive Income—Expense Disaggregation Disclosures</w:t>
      </w:r>
      <w:r>
        <w:rPr>
          <w:rFonts w:ascii="Times New Roman" w:hAnsi="Times New Roman"/>
          <w:sz w:val="20"/>
        </w:rPr>
        <w:t xml:space="preserve">), ensuring public business entities adopt it initially in annual reporting periods (not 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No. 2025-03, </w:t>
      </w:r>
      <w:r>
        <w:rPr>
          <w:rFonts w:ascii="Times New Roman" w:hAnsi="Times New Roman"/>
          <w:i/>
          <w:sz w:val="20"/>
        </w:rPr>
        <w:t>Business Combinations (Topic 805) and Consolidation (Topic 810): Determining the Accounting Acquirer in the Acquisition of a Variable Interest Entity (“ASU 2025-03”)</w:t>
      </w:r>
      <w:r>
        <w:rPr>
          <w:rFonts w:ascii="Times New Roman" w:hAnsi="Times New Roman"/>
          <w:sz w:val="20"/>
        </w:rPr>
        <w:t xml:space="preserve">. 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No. 2025-04, </w:t>
      </w:r>
      <w:r>
        <w:rPr>
          <w:rFonts w:ascii="Times New Roman" w:hAnsi="Times New Roman"/>
          <w:i/>
          <w:sz w:val="20"/>
        </w:rPr>
        <w:t>Compensation – Stock Compensation (Topic 718) and Revenue from Contracts With Customers (Topic 606): Clarifications to Share-Based Consideration Payable to a Customer (“ASU 2025-04”)</w:t>
      </w:r>
      <w:r>
        <w:rPr>
          <w:rFonts w:ascii="Times New Roman" w:hAnsi="Times New Roman"/>
          <w:sz w:val="20"/>
        </w:rPr>
        <w:t xml:space="preserve">. ASU 202504 revises the definition of a performance condition, eliminates the forfeiture policy election for service conditions, and clarifies that the variable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2025-10, </w:t>
      </w:r>
      <w:r>
        <w:rPr>
          <w:rFonts w:ascii="Times New Roman" w:hAnsi="Times New Roman"/>
          <w:i/>
          <w:sz w:val="20"/>
        </w:rPr>
        <w:t xml:space="preserve">Government Grants (Topic 832): Accounting for Government Grants Received by Business Entities. </w:t>
      </w:r>
      <w:r>
        <w:rPr>
          <w:rFonts w:ascii="Times New Roman" w:hAnsi="Times New Roman"/>
          <w:sz w:val="20"/>
        </w:rPr>
        <w:t xml:space="preserve">ASU 2025-10 establishes the accounting for a government grant received by a business entity, including guidance for (1) a grant related to an 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2025-11, </w:t>
      </w:r>
      <w:r>
        <w:rPr>
          <w:rFonts w:ascii="Times New Roman" w:hAnsi="Times New Roman"/>
          <w:i/>
          <w:sz w:val="20"/>
        </w:rPr>
        <w:t xml:space="preserve">Interim Reporting (Topic 270). </w:t>
      </w:r>
      <w:r>
        <w:rPr>
          <w:rFonts w:ascii="Times New Roman" w:hAnsi="Times New Roman"/>
          <w:sz w:val="20"/>
        </w:rPr>
        <w:t xml:space="preserve">ASU 2025-11 clarifies the interim disclosure requirements, the applicability of Topic 270, the types of interim reporting, and the form and content of interim financial statements in accordance with GAAP. The ASU requires entities to disclose events since the end of the last annual reporting period that have a material impact on the entity. The ASU is effective for interim reporting periods within annual reporting periods beginning after December 15, 2027, with early adoption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2025-12, </w:t>
      </w:r>
      <w:r>
        <w:rPr>
          <w:rFonts w:ascii="Times New Roman" w:hAnsi="Times New Roman"/>
          <w:i/>
          <w:sz w:val="20"/>
        </w:rPr>
        <w:t xml:space="preserve">Codification Improvements. </w:t>
      </w:r>
      <w:r>
        <w:rPr>
          <w:rFonts w:ascii="Times New Roman" w:hAnsi="Times New Roman"/>
          <w:sz w:val="20"/>
        </w:rPr>
        <w:t xml:space="preserve">ASU 2025-12 represents changes to the Codification that (1) clarify, (2) correct errors, or (3) make minor improvements. The amendments make the Codification easier to understand and apply. The ASU is effective for annual reporting periods beginning after December 15, 2026, and interim reporting periods within those annual reporting periods, with early adoption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based on its preliminary assessment, that any other recently issued, but not yet adopted, accounting pronouncements will not have a material impact on the Company’s financial statements or related disclosures, or do not apply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was as follows at March 31, 2026 and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95"/>
        <w:gridCol w:w="235"/>
        <w:gridCol w:w="140"/>
        <w:gridCol w:w="1115"/>
        <w:gridCol w:w="60"/>
        <w:gridCol w:w="235"/>
        <w:gridCol w:w="140"/>
        <w:gridCol w:w="1169"/>
        <w:gridCol w:w="66"/>
      </w:tblGrid>
      <w:tr>
        <w:trPr/>
        <w:tc>
          <w:tcPr>
            <w:tcW w:w="459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6" w:type="dxa"/>
            <w:tcBorders/>
            <w:vAlign w:val="bottom"/>
          </w:tcPr>
          <w:p>
            <w:pPr>
              <w:pStyle w:val="TableContents"/>
              <w:bidi w:val="0"/>
              <w:spacing w:before="0" w:after="283"/>
              <w:jc w:val="left"/>
              <w:rPr/>
            </w:pPr>
            <w:r>
              <w:rPr/>
              <w:t> </w:t>
            </w:r>
          </w:p>
        </w:tc>
      </w:tr>
      <w:tr>
        <w:trPr/>
        <w:tc>
          <w:tcPr>
            <w:tcW w:w="4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957,751</w:t>
            </w:r>
          </w:p>
        </w:tc>
        <w:tc>
          <w:tcPr>
            <w:tcW w:w="66" w:type="dxa"/>
            <w:tcBorders/>
            <w:shd w:fill="CCEEFF" w:val="clear"/>
            <w:vAlign w:val="bottom"/>
          </w:tcPr>
          <w:p>
            <w:pPr>
              <w:pStyle w:val="TableContents"/>
              <w:bidi w:val="0"/>
              <w:spacing w:before="0" w:after="283"/>
              <w:jc w:val="left"/>
              <w:rPr/>
            </w:pPr>
            <w:r>
              <w:rPr/>
              <w:t> </w:t>
            </w:r>
          </w:p>
        </w:tc>
      </w:tr>
      <w:tr>
        <w:trPr/>
        <w:tc>
          <w:tcPr>
            <w:tcW w:w="4595" w:type="dxa"/>
            <w:tcBorders/>
          </w:tcPr>
          <w:p>
            <w:pPr>
              <w:pStyle w:val="TableContents"/>
              <w:bidi w:val="0"/>
              <w:spacing w:before="0" w:after="0"/>
              <w:jc w:val="left"/>
              <w:rPr>
                <w:rFonts w:ascii="Times New Roman" w:hAnsi="Times New Roman"/>
                <w:sz w:val="20"/>
              </w:rPr>
            </w:pPr>
            <w:r>
              <w:rPr>
                <w:rFonts w:ascii="Times New Roman" w:hAnsi="Times New Roman"/>
                <w:sz w:val="20"/>
              </w:rPr>
              <w:t>Credit card obligations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443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2,657</w:t>
            </w:r>
          </w:p>
        </w:tc>
        <w:tc>
          <w:tcPr>
            <w:tcW w:w="66" w:type="dxa"/>
            <w:tcBorders/>
            <w:vAlign w:val="bottom"/>
          </w:tcPr>
          <w:p>
            <w:pPr>
              <w:pStyle w:val="TableContents"/>
              <w:bidi w:val="0"/>
              <w:spacing w:before="0" w:after="283"/>
              <w:jc w:val="left"/>
              <w:rPr/>
            </w:pPr>
            <w:r>
              <w:rPr/>
              <w:t> </w:t>
            </w:r>
          </w:p>
        </w:tc>
      </w:tr>
      <w:tr>
        <w:trPr/>
        <w:tc>
          <w:tcPr>
            <w:tcW w:w="4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202,387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77,950</w:t>
            </w:r>
          </w:p>
        </w:tc>
        <w:tc>
          <w:tcPr>
            <w:tcW w:w="66" w:type="dxa"/>
            <w:tcBorders/>
            <w:shd w:fill="CCEEFF" w:val="clear"/>
            <w:vAlign w:val="bottom"/>
          </w:tcPr>
          <w:p>
            <w:pPr>
              <w:pStyle w:val="TableContents"/>
              <w:bidi w:val="0"/>
              <w:spacing w:before="0" w:after="283"/>
              <w:jc w:val="left"/>
              <w:rPr/>
            </w:pPr>
            <w:r>
              <w:rPr/>
              <w:t> </w:t>
            </w:r>
          </w:p>
        </w:tc>
      </w:tr>
      <w:tr>
        <w:trPr/>
        <w:tc>
          <w:tcPr>
            <w:tcW w:w="459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36</w:t>
            </w:r>
          </w:p>
        </w:tc>
        <w:tc>
          <w:tcPr>
            <w:tcW w:w="66" w:type="dxa"/>
            <w:tcBorders/>
            <w:vAlign w:val="bottom"/>
          </w:tcPr>
          <w:p>
            <w:pPr>
              <w:pStyle w:val="TableContents"/>
              <w:bidi w:val="0"/>
              <w:spacing w:before="0" w:after="283"/>
              <w:jc w:val="left"/>
              <w:rPr/>
            </w:pPr>
            <w:r>
              <w:rPr/>
              <w:t> </w:t>
            </w:r>
          </w:p>
        </w:tc>
      </w:tr>
      <w:tr>
        <w:trPr/>
        <w:tc>
          <w:tcPr>
            <w:tcW w:w="4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legal settlement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11,655,362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16,345,000</w:t>
            </w:r>
          </w:p>
        </w:tc>
        <w:tc>
          <w:tcPr>
            <w:tcW w:w="66" w:type="dxa"/>
            <w:tcBorders/>
            <w:shd w:fill="CCEEFF" w:val="clear"/>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5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accrued expenses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11,908,228</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9" w:type="dxa"/>
            <w:tcBorders/>
            <w:vAlign w:val="bottom"/>
          </w:tcPr>
          <w:p>
            <w:pPr>
              <w:pStyle w:val="TableContents"/>
              <w:bidi w:val="0"/>
              <w:spacing w:before="0" w:after="283"/>
              <w:jc w:val="right"/>
              <w:rPr>
                <w:b/>
              </w:rPr>
            </w:pPr>
            <w:r>
              <w:rPr>
                <w:b/>
              </w:rPr>
              <w:t>17,383,394</w:t>
            </w:r>
          </w:p>
        </w:tc>
        <w:tc>
          <w:tcPr>
            <w:tcW w:w="66" w:type="dxa"/>
            <w:tcBorders/>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was as follows at March 31, 2026 and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8"/>
        <w:gridCol w:w="365"/>
        <w:gridCol w:w="182"/>
        <w:gridCol w:w="903"/>
        <w:gridCol w:w="155"/>
        <w:gridCol w:w="321"/>
        <w:gridCol w:w="241"/>
        <w:gridCol w:w="1181"/>
        <w:gridCol w:w="159"/>
      </w:tblGrid>
      <w:tr>
        <w:trPr/>
        <w:tc>
          <w:tcPr>
            <w:tcW w:w="4248"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48"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4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15,857</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15,857</w:t>
            </w:r>
          </w:p>
        </w:tc>
        <w:tc>
          <w:tcPr>
            <w:tcW w:w="159" w:type="dxa"/>
            <w:tcBorders/>
            <w:shd w:fill="CCEEFF" w:val="clear"/>
            <w:vAlign w:val="bottom"/>
          </w:tcPr>
          <w:p>
            <w:pPr>
              <w:pStyle w:val="TableContents"/>
              <w:bidi w:val="0"/>
              <w:spacing w:before="0" w:after="283"/>
              <w:jc w:val="left"/>
              <w:rPr/>
            </w:pPr>
            <w:r>
              <w:rPr/>
              <w:t> </w:t>
            </w:r>
          </w:p>
        </w:tc>
      </w:tr>
      <w:tr>
        <w:trPr/>
        <w:tc>
          <w:tcPr>
            <w:tcW w:w="4248"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28,215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28,215</w:t>
            </w:r>
          </w:p>
        </w:tc>
        <w:tc>
          <w:tcPr>
            <w:tcW w:w="159" w:type="dxa"/>
            <w:tcBorders/>
            <w:vAlign w:val="bottom"/>
          </w:tcPr>
          <w:p>
            <w:pPr>
              <w:pStyle w:val="TableContents"/>
              <w:bidi w:val="0"/>
              <w:spacing w:before="0" w:after="283"/>
              <w:jc w:val="left"/>
              <w:rPr/>
            </w:pPr>
            <w:r>
              <w:rPr/>
              <w:t> </w:t>
            </w:r>
          </w:p>
        </w:tc>
      </w:tr>
      <w:tr>
        <w:trPr/>
        <w:tc>
          <w:tcPr>
            <w:tcW w:w="4248"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48" w:type="dxa"/>
            <w:tcBorders/>
            <w:shd w:fill="CCEEFF" w:val="clear"/>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44,072</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44,072</w:t>
            </w:r>
          </w:p>
        </w:tc>
        <w:tc>
          <w:tcPr>
            <w:tcW w:w="159" w:type="dxa"/>
            <w:tcBorders/>
            <w:shd w:fill="CCEEFF" w:val="clear"/>
            <w:vAlign w:val="bottom"/>
          </w:tcPr>
          <w:p>
            <w:pPr>
              <w:pStyle w:val="TableContents"/>
              <w:bidi w:val="0"/>
              <w:spacing w:before="0" w:after="283"/>
              <w:jc w:val="left"/>
              <w:rPr/>
            </w:pPr>
            <w:r>
              <w:rPr/>
              <w:t> </w:t>
            </w:r>
          </w:p>
        </w:tc>
      </w:tr>
      <w:tr>
        <w:trPr/>
        <w:tc>
          <w:tcPr>
            <w:tcW w:w="424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(8,653</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(6,708</w:t>
            </w:r>
          </w:p>
        </w:tc>
        <w:tc>
          <w:tcPr>
            <w:tcW w:w="159" w:type="dxa"/>
            <w:tcBorders/>
            <w:vAlign w:val="bottom"/>
          </w:tcPr>
          <w:p>
            <w:pPr>
              <w:pStyle w:val="TableContents"/>
              <w:bidi w:val="0"/>
              <w:spacing w:before="0" w:after="283"/>
              <w:jc w:val="left"/>
              <w:rPr/>
            </w:pPr>
            <w:r>
              <w:rPr/>
              <w:t>) </w:t>
            </w:r>
          </w:p>
        </w:tc>
      </w:tr>
      <w:tr>
        <w:trPr/>
        <w:tc>
          <w:tcPr>
            <w:tcW w:w="4248"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and equipment, net</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903" w:type="dxa"/>
            <w:tcBorders/>
            <w:shd w:fill="CCEEFF" w:val="clear"/>
            <w:vAlign w:val="bottom"/>
          </w:tcPr>
          <w:p>
            <w:pPr>
              <w:pStyle w:val="TableContents"/>
              <w:bidi w:val="0"/>
              <w:spacing w:before="0" w:after="283"/>
              <w:jc w:val="right"/>
              <w:rPr>
                <w:b/>
              </w:rPr>
            </w:pPr>
            <w:r>
              <w:rPr>
                <w:b/>
              </w:rPr>
              <w:t>35,419</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b/>
              </w:rPr>
            </w:pPr>
            <w:r>
              <w:rPr>
                <w:b/>
              </w:rPr>
              <w:t>$</w:t>
            </w:r>
          </w:p>
        </w:tc>
        <w:tc>
          <w:tcPr>
            <w:tcW w:w="1181" w:type="dxa"/>
            <w:tcBorders/>
            <w:shd w:fill="CCEEFF" w:val="clear"/>
            <w:vAlign w:val="bottom"/>
          </w:tcPr>
          <w:p>
            <w:pPr>
              <w:pStyle w:val="TableContents"/>
              <w:bidi w:val="0"/>
              <w:spacing w:before="0" w:after="283"/>
              <w:jc w:val="right"/>
              <w:rPr>
                <w:b/>
              </w:rPr>
            </w:pPr>
            <w:r>
              <w:rPr>
                <w:b/>
              </w:rPr>
              <w:t>37,364</w:t>
            </w:r>
          </w:p>
        </w:tc>
        <w:tc>
          <w:tcPr>
            <w:tcW w:w="159" w:type="dxa"/>
            <w:tcBorders/>
            <w:shd w:fill="CCEEFF" w:val="clear"/>
            <w:vAlign w:val="bottom"/>
          </w:tcPr>
          <w:p>
            <w:pPr>
              <w:pStyle w:val="TableContents"/>
              <w:bidi w:val="0"/>
              <w:spacing w:before="0" w:after="283"/>
              <w:jc w:val="left"/>
              <w:rPr/>
            </w:pPr>
            <w:r>
              <w:rPr/>
              <w:t> </w:t>
            </w:r>
          </w:p>
        </w:tc>
      </w:tr>
      <w:tr>
        <w:trPr/>
        <w:tc>
          <w:tcPr>
            <w:tcW w:w="4248"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three months ended March 31, 2026 and 2025 was $1,945 and $178,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SIMPLE AGREEMENTS FOR FUTURE EQUITY (SAFEs)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SAFEs should be accounted for at fair value as a liability under ASC 480 </w:t>
      </w: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SAFEs issued during the period was determined based on the following significant unobservable inputs: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44"/>
        <w:gridCol w:w="282"/>
        <w:gridCol w:w="60"/>
        <w:gridCol w:w="1472"/>
        <w:gridCol w:w="281"/>
      </w:tblGrid>
      <w:tr>
        <w:trPr/>
        <w:tc>
          <w:tcPr>
            <w:tcW w:w="4844"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scenario</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4844" w:type="dxa"/>
            <w:tcBorders/>
          </w:tcPr>
          <w:p>
            <w:pPr>
              <w:pStyle w:val="TableContents"/>
              <w:bidi w:val="0"/>
              <w:spacing w:before="0" w:after="0"/>
              <w:jc w:val="left"/>
              <w:rPr>
                <w:rFonts w:ascii="Times New Roman" w:hAnsi="Times New Roman"/>
                <w:sz w:val="20"/>
              </w:rPr>
            </w:pPr>
            <w:r>
              <w:rPr>
                <w:rFonts w:ascii="Times New Roman" w:hAnsi="Times New Roman"/>
                <w:sz w:val="20"/>
              </w:rPr>
              <w:t>Liquidity event scenario</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90.0</w:t>
            </w:r>
          </w:p>
        </w:tc>
        <w:tc>
          <w:tcPr>
            <w:tcW w:w="281" w:type="dxa"/>
            <w:tcBorders/>
            <w:vAlign w:val="bottom"/>
          </w:tcPr>
          <w:p>
            <w:pPr>
              <w:pStyle w:val="TableContents"/>
              <w:bidi w:val="0"/>
              <w:spacing w:before="0" w:after="283"/>
              <w:jc w:val="left"/>
              <w:rPr/>
            </w:pPr>
            <w:r>
              <w:rPr/>
              <w:t>% </w:t>
            </w:r>
          </w:p>
        </w:tc>
      </w:tr>
      <w:tr>
        <w:trPr/>
        <w:tc>
          <w:tcPr>
            <w:tcW w:w="4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Project term to projected financing date (in years)</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0.42</w:t>
            </w:r>
          </w:p>
        </w:tc>
        <w:tc>
          <w:tcPr>
            <w:tcW w:w="281" w:type="dxa"/>
            <w:tcBorders/>
            <w:shd w:fill="CCEEFF" w:val="clear"/>
            <w:vAlign w:val="bottom"/>
          </w:tcPr>
          <w:p>
            <w:pPr>
              <w:pStyle w:val="TableContents"/>
              <w:bidi w:val="0"/>
              <w:spacing w:before="0" w:after="283"/>
              <w:jc w:val="left"/>
              <w:rPr/>
            </w:pPr>
            <w:r>
              <w:rPr/>
              <w:t> </w:t>
            </w:r>
          </w:p>
        </w:tc>
      </w:tr>
      <w:tr>
        <w:trPr/>
        <w:tc>
          <w:tcPr>
            <w:tcW w:w="4844" w:type="dxa"/>
            <w:tcBorders/>
          </w:tcPr>
          <w:p>
            <w:pPr>
              <w:pStyle w:val="TableContents"/>
              <w:bidi w:val="0"/>
              <w:spacing w:before="0" w:after="0"/>
              <w:jc w:val="left"/>
              <w:rPr>
                <w:rFonts w:ascii="Times New Roman" w:hAnsi="Times New Roman"/>
                <w:sz w:val="20"/>
              </w:rPr>
            </w:pPr>
            <w:r>
              <w:rPr>
                <w:rFonts w:ascii="Times New Roman" w:hAnsi="Times New Roman"/>
                <w:sz w:val="20"/>
              </w:rPr>
              <w:t>Project term to projected liquidity event date (in years)</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0.12</w:t>
            </w:r>
          </w:p>
        </w:tc>
        <w:tc>
          <w:tcPr>
            <w:tcW w:w="281" w:type="dxa"/>
            <w:tcBorders/>
            <w:vAlign w:val="bottom"/>
          </w:tcPr>
          <w:p>
            <w:pPr>
              <w:pStyle w:val="TableContents"/>
              <w:bidi w:val="0"/>
              <w:spacing w:before="0" w:after="283"/>
              <w:jc w:val="left"/>
              <w:rPr/>
            </w:pPr>
            <w:r>
              <w:rPr/>
              <w:t> </w:t>
            </w:r>
          </w:p>
        </w:tc>
      </w:tr>
      <w:tr>
        <w:trPr/>
        <w:tc>
          <w:tcPr>
            <w:tcW w:w="4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46.2</w:t>
            </w:r>
          </w:p>
        </w:tc>
        <w:tc>
          <w:tcPr>
            <w:tcW w:w="281" w:type="dxa"/>
            <w:tcBorders/>
            <w:shd w:fill="CCEEFF" w:val="clear"/>
            <w:vAlign w:val="bottom"/>
          </w:tcPr>
          <w:p>
            <w:pPr>
              <w:pStyle w:val="TableContents"/>
              <w:bidi w:val="0"/>
              <w:spacing w:before="0" w:after="283"/>
              <w:jc w:val="left"/>
              <w:rPr/>
            </w:pPr>
            <w:r>
              <w:rPr/>
              <w:t>% </w:t>
            </w:r>
          </w:p>
        </w:tc>
      </w:tr>
      <w:tr>
        <w:trPr/>
        <w:tc>
          <w:tcPr>
            <w:tcW w:w="4844"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3.7</w:t>
            </w:r>
          </w:p>
        </w:tc>
        <w:tc>
          <w:tcPr>
            <w:tcW w:w="281" w:type="dxa"/>
            <w:tcBorders/>
            <w:vAlign w:val="bottom"/>
          </w:tcPr>
          <w:p>
            <w:pPr>
              <w:pStyle w:val="TableContents"/>
              <w:bidi w:val="0"/>
              <w:spacing w:before="0" w:after="283"/>
              <w:jc w:val="left"/>
              <w:rPr/>
            </w:pPr>
            <w:r>
              <w:rPr/>
              <w:t>% </w:t>
            </w:r>
          </w:p>
        </w:tc>
      </w:tr>
      <w:tr>
        <w:trPr/>
        <w:tc>
          <w:tcPr>
            <w:tcW w:w="4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86.0% – 100.0</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reconciliation of the liabilities, measured at fair value on a recurring basis using significant unobservable inputs (Level 3) during the year ended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17"/>
        <w:gridCol w:w="348"/>
        <w:gridCol w:w="147"/>
        <w:gridCol w:w="1267"/>
        <w:gridCol w:w="160"/>
      </w:tblGrid>
      <w:tr>
        <w:trPr/>
        <w:tc>
          <w:tcPr>
            <w:tcW w:w="5017"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3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46,358,393</w:t>
            </w:r>
          </w:p>
        </w:tc>
        <w:tc>
          <w:tcPr>
            <w:tcW w:w="160" w:type="dxa"/>
            <w:tcBorders/>
            <w:shd w:fill="CCEEFF" w:val="clear"/>
            <w:vAlign w:val="bottom"/>
          </w:tcPr>
          <w:p>
            <w:pPr>
              <w:pStyle w:val="TableContents"/>
              <w:bidi w:val="0"/>
              <w:spacing w:before="0" w:after="283"/>
              <w:jc w:val="left"/>
              <w:rPr/>
            </w:pPr>
            <w:r>
              <w:rPr/>
              <w:t> </w:t>
            </w:r>
          </w:p>
        </w:tc>
      </w:tr>
      <w:tr>
        <w:trPr/>
        <w:tc>
          <w:tcPr>
            <w:tcW w:w="5017" w:type="dxa"/>
            <w:tcBorders/>
          </w:tcPr>
          <w:p>
            <w:pPr>
              <w:pStyle w:val="TableContents"/>
              <w:bidi w:val="0"/>
              <w:spacing w:before="0" w:after="0"/>
              <w:jc w:val="left"/>
              <w:rPr>
                <w:rFonts w:ascii="Times New Roman" w:hAnsi="Times New Roman"/>
                <w:sz w:val="20"/>
              </w:rPr>
            </w:pPr>
            <w:r>
              <w:rPr>
                <w:rFonts w:ascii="Times New Roman" w:hAnsi="Times New Roman"/>
                <w:sz w:val="20"/>
              </w:rPr>
              <w:t>SAFEs issued during the period</w:t>
            </w:r>
          </w:p>
        </w:tc>
        <w:tc>
          <w:tcPr>
            <w:tcW w:w="3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1,585,000</w:t>
            </w:r>
          </w:p>
        </w:tc>
        <w:tc>
          <w:tcPr>
            <w:tcW w:w="160" w:type="dxa"/>
            <w:tcBorders/>
            <w:vAlign w:val="bottom"/>
          </w:tcPr>
          <w:p>
            <w:pPr>
              <w:pStyle w:val="TableContents"/>
              <w:bidi w:val="0"/>
              <w:spacing w:before="0" w:after="283"/>
              <w:jc w:val="left"/>
              <w:rPr/>
            </w:pPr>
            <w:r>
              <w:rPr/>
              <w:t> </w:t>
            </w:r>
          </w:p>
        </w:tc>
      </w:tr>
      <w:tr>
        <w:trPr/>
        <w:tc>
          <w:tcPr>
            <w:tcW w:w="5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during the period</w:t>
            </w:r>
          </w:p>
        </w:tc>
        <w:tc>
          <w:tcPr>
            <w:tcW w:w="34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(13,419,233</w:t>
            </w:r>
          </w:p>
        </w:tc>
        <w:tc>
          <w:tcPr>
            <w:tcW w:w="160" w:type="dxa"/>
            <w:tcBorders/>
            <w:shd w:fill="CCEEFF" w:val="clear"/>
            <w:vAlign w:val="bottom"/>
          </w:tcPr>
          <w:p>
            <w:pPr>
              <w:pStyle w:val="TableContents"/>
              <w:bidi w:val="0"/>
              <w:spacing w:before="0" w:after="283"/>
              <w:jc w:val="left"/>
              <w:rPr/>
            </w:pPr>
            <w:r>
              <w:rPr/>
              <w:t>) </w:t>
            </w:r>
          </w:p>
        </w:tc>
      </w:tr>
      <w:tr>
        <w:trPr/>
        <w:tc>
          <w:tcPr>
            <w:tcW w:w="50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17"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34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267" w:type="dxa"/>
            <w:tcBorders/>
            <w:vAlign w:val="bottom"/>
          </w:tcPr>
          <w:p>
            <w:pPr>
              <w:pStyle w:val="TableContents"/>
              <w:bidi w:val="0"/>
              <w:spacing w:before="0" w:after="283"/>
              <w:jc w:val="right"/>
              <w:rPr>
                <w:b/>
              </w:rPr>
            </w:pPr>
            <w:r>
              <w:rPr>
                <w:b/>
              </w:rPr>
              <w:t>34,524,160</w:t>
            </w:r>
          </w:p>
        </w:tc>
        <w:tc>
          <w:tcPr>
            <w:tcW w:w="160" w:type="dxa"/>
            <w:tcBorders/>
            <w:vAlign w:val="bottom"/>
          </w:tcPr>
          <w:p>
            <w:pPr>
              <w:pStyle w:val="TableContents"/>
              <w:bidi w:val="0"/>
              <w:spacing w:before="0" w:after="283"/>
              <w:jc w:val="left"/>
              <w:rPr/>
            </w:pPr>
            <w:r>
              <w:rPr/>
              <w:t> </w:t>
            </w:r>
          </w:p>
        </w:tc>
      </w:tr>
      <w:tr>
        <w:trPr/>
        <w:tc>
          <w:tcPr>
            <w:tcW w:w="50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the estimated fair value of the SAFEs was $34,524,160 and $46,358,393, respectively. The change in fair value during the three months ended March 31, 2026 reflected in the above table, is included in other income (loss) in the accompanying statements of operations and comprehensive income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an operating lease for a vehicle entered into in February 2025 that expires in January 2028. Under the terms of the lease, base rent is $1,058 per month. There is no renewal options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an operating lease for office space in Redwood City, California which was entered into in June 2025 and expires in June 2026. Under the terms of the lease, base rent is $6,006 per month. There is no renewal options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costs for the three months ended March 31, 2026 and 2025 were $22,926 and $4,473, respectively. Cash payments included in the measurement of operating lease liabilities for the three months ended March 31, 2026 were $21,191 and $44,058, respectively. The weighted average remaining lease term as of March 31, 2026 was 1.21 years. The weighted-average discount rate during the three months ended March 31, 2026 was 22.54%.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the rate implicit in the lease or the estimated incremental borrowing rate at the commencement of the lease in determining the present value of future payments.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income (loss). </w:t>
      </w:r>
    </w:p>
    <w:p>
      <w:pPr>
        <w:pStyle w:val="TextBody"/>
        <w:bidi w:val="0"/>
        <w:spacing w:before="240" w:after="0"/>
        <w:jc w:val="left"/>
        <w:rPr>
          <w:rFonts w:ascii="Times New Roman" w:hAnsi="Times New Roman"/>
          <w:sz w:val="20"/>
        </w:rPr>
      </w:pPr>
      <w:r>
        <w:rPr>
          <w:rFonts w:ascii="Times New Roman" w:hAnsi="Times New Roman"/>
          <w:sz w:val="20"/>
        </w:rPr>
        <w:t xml:space="preserve">Maturities of the operating lease liabilities are summarized as follows as of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2"/>
        <w:gridCol w:w="533"/>
        <w:gridCol w:w="240"/>
        <w:gridCol w:w="1176"/>
        <w:gridCol w:w="158"/>
      </w:tblGrid>
      <w:tr>
        <w:trPr/>
        <w:tc>
          <w:tcPr>
            <w:tcW w:w="4832"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(remaining nine months)</w:t>
            </w:r>
          </w:p>
        </w:tc>
        <w:tc>
          <w:tcPr>
            <w:tcW w:w="53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21,533</w:t>
            </w:r>
          </w:p>
        </w:tc>
        <w:tc>
          <w:tcPr>
            <w:tcW w:w="158"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12,694</w:t>
            </w:r>
          </w:p>
        </w:tc>
        <w:tc>
          <w:tcPr>
            <w:tcW w:w="158"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53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1,552</w:t>
            </w:r>
          </w:p>
        </w:tc>
        <w:tc>
          <w:tcPr>
            <w:tcW w:w="158"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Minimum lease payments</w:t>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35,779</w:t>
            </w:r>
          </w:p>
        </w:tc>
        <w:tc>
          <w:tcPr>
            <w:tcW w:w="158"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53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(4,810</w:t>
            </w:r>
          </w:p>
        </w:tc>
        <w:tc>
          <w:tcPr>
            <w:tcW w:w="158"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 value of operating lease liabilities</w:t>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b/>
              </w:rPr>
            </w:pPr>
            <w:r>
              <w:rPr>
                <w:b/>
              </w:rPr>
              <w:t>$</w:t>
            </w:r>
          </w:p>
        </w:tc>
        <w:tc>
          <w:tcPr>
            <w:tcW w:w="1176" w:type="dxa"/>
            <w:tcBorders/>
            <w:vAlign w:val="bottom"/>
          </w:tcPr>
          <w:p>
            <w:pPr>
              <w:pStyle w:val="TableContents"/>
              <w:bidi w:val="0"/>
              <w:spacing w:before="0" w:after="283"/>
              <w:jc w:val="right"/>
              <w:rPr>
                <w:b/>
              </w:rPr>
            </w:pPr>
            <w:r>
              <w:rPr>
                <w:b/>
              </w:rPr>
              <w:t>30,969</w:t>
            </w:r>
          </w:p>
        </w:tc>
        <w:tc>
          <w:tcPr>
            <w:tcW w:w="158"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53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20,946</w:t>
            </w:r>
          </w:p>
        </w:tc>
        <w:tc>
          <w:tcPr>
            <w:tcW w:w="158"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w:t>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10,023</w:t>
            </w:r>
          </w:p>
        </w:tc>
        <w:tc>
          <w:tcPr>
            <w:tcW w:w="158"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lease liabilities</w:t>
            </w:r>
          </w:p>
        </w:tc>
        <w:tc>
          <w:tcPr>
            <w:tcW w:w="53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b/>
              </w:rPr>
            </w:pPr>
            <w:r>
              <w:rPr>
                <w:b/>
              </w:rPr>
              <w:t>$</w:t>
            </w:r>
          </w:p>
        </w:tc>
        <w:tc>
          <w:tcPr>
            <w:tcW w:w="1176" w:type="dxa"/>
            <w:tcBorders/>
            <w:shd w:fill="CCEEFF" w:val="clear"/>
            <w:vAlign w:val="bottom"/>
          </w:tcPr>
          <w:p>
            <w:pPr>
              <w:pStyle w:val="TableContents"/>
              <w:bidi w:val="0"/>
              <w:spacing w:before="0" w:after="283"/>
              <w:jc w:val="right"/>
              <w:rPr>
                <w:b/>
              </w:rPr>
            </w:pPr>
            <w:r>
              <w:rPr>
                <w:b/>
              </w:rPr>
              <w:t>30,969</w:t>
            </w:r>
          </w:p>
        </w:tc>
        <w:tc>
          <w:tcPr>
            <w:tcW w:w="158"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DEFICIT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2024, the Company adopted the Hadron Energy, Inc. 2024 Equity Incentive Plan (the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Purchase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hAnsi="Times New Roman"/>
          <w:i/>
          <w:sz w:val="20"/>
        </w:rPr>
        <w:t>Compensation—Stock Compensation</w:t>
      </w:r>
      <w:r>
        <w:rPr>
          <w:rFonts w:ascii="Times New Roman" w:hAnsi="Times New Roman"/>
          <w:sz w:val="20"/>
        </w:rPr>
        <w:t xml:space="preserve">.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RSPAs activity during the year ended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6"/>
        <w:gridCol w:w="407"/>
        <w:gridCol w:w="83"/>
        <w:gridCol w:w="1064"/>
        <w:gridCol w:w="155"/>
        <w:gridCol w:w="364"/>
        <w:gridCol w:w="283"/>
        <w:gridCol w:w="1429"/>
        <w:gridCol w:w="64"/>
      </w:tblGrid>
      <w:tr>
        <w:trPr/>
        <w:tc>
          <w:tcPr>
            <w:tcW w:w="3906"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06"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br/>
              <w:t>per Share</w:t>
            </w:r>
          </w:p>
        </w:tc>
        <w:tc>
          <w:tcPr>
            <w:tcW w:w="64" w:type="dxa"/>
            <w:tcBorders/>
            <w:vAlign w:val="bottom"/>
          </w:tcPr>
          <w:p>
            <w:pPr>
              <w:pStyle w:val="TableContents"/>
              <w:bidi w:val="0"/>
              <w:spacing w:before="0" w:after="283"/>
              <w:jc w:val="left"/>
              <w:rPr/>
            </w:pPr>
            <w:r>
              <w:rPr/>
              <w:t> </w:t>
            </w:r>
          </w:p>
        </w:tc>
      </w:tr>
      <w:tr>
        <w:trPr/>
        <w:tc>
          <w:tcPr>
            <w:tcW w:w="3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as of December 31, 2025</w:t>
            </w:r>
          </w:p>
        </w:tc>
        <w:tc>
          <w:tcPr>
            <w:tcW w:w="4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21,146</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460.61</w:t>
            </w:r>
          </w:p>
        </w:tc>
        <w:tc>
          <w:tcPr>
            <w:tcW w:w="64" w:type="dxa"/>
            <w:tcBorders/>
            <w:shd w:fill="CCEEFF" w:val="clear"/>
            <w:vAlign w:val="bottom"/>
          </w:tcPr>
          <w:p>
            <w:pPr>
              <w:pStyle w:val="TableContents"/>
              <w:bidi w:val="0"/>
              <w:spacing w:before="0" w:after="283"/>
              <w:jc w:val="left"/>
              <w:rPr/>
            </w:pPr>
            <w:r>
              <w:rPr/>
              <w:t> </w:t>
            </w:r>
          </w:p>
        </w:tc>
      </w:tr>
      <w:tr>
        <w:trPr/>
        <w:tc>
          <w:tcPr>
            <w:tcW w:w="390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33,500</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429" w:type="dxa"/>
            <w:tcBorders/>
            <w:vAlign w:val="bottom"/>
          </w:tcPr>
          <w:p>
            <w:pPr>
              <w:pStyle w:val="TableContents"/>
              <w:bidi w:val="0"/>
              <w:spacing w:before="0" w:after="283"/>
              <w:jc w:val="right"/>
              <w:rPr/>
            </w:pPr>
            <w:r>
              <w:rPr/>
              <w:t>702.63</w:t>
            </w:r>
          </w:p>
        </w:tc>
        <w:tc>
          <w:tcPr>
            <w:tcW w:w="64" w:type="dxa"/>
            <w:tcBorders/>
            <w:vAlign w:val="bottom"/>
          </w:tcPr>
          <w:p>
            <w:pPr>
              <w:pStyle w:val="TableContents"/>
              <w:bidi w:val="0"/>
              <w:spacing w:before="0" w:after="283"/>
              <w:jc w:val="left"/>
              <w:rPr/>
            </w:pPr>
            <w:r>
              <w:rPr/>
              <w:t> </w:t>
            </w:r>
          </w:p>
        </w:tc>
      </w:tr>
      <w:tr>
        <w:trPr/>
        <w:tc>
          <w:tcPr>
            <w:tcW w:w="3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4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(20,000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485.33</w:t>
            </w:r>
          </w:p>
        </w:tc>
        <w:tc>
          <w:tcPr>
            <w:tcW w:w="64" w:type="dxa"/>
            <w:tcBorders/>
            <w:shd w:fill="CCEEFF" w:val="clear"/>
            <w:vAlign w:val="bottom"/>
          </w:tcPr>
          <w:p>
            <w:pPr>
              <w:pStyle w:val="TableContents"/>
              <w:bidi w:val="0"/>
              <w:spacing w:before="0" w:after="283"/>
              <w:jc w:val="left"/>
              <w:rPr/>
            </w:pPr>
            <w:r>
              <w:rPr/>
              <w:t> </w:t>
            </w:r>
          </w:p>
        </w:tc>
      </w:tr>
      <w:tr>
        <w:trPr/>
        <w:tc>
          <w:tcPr>
            <w:tcW w:w="3906"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(2,813</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429" w:type="dxa"/>
            <w:tcBorders/>
            <w:vAlign w:val="bottom"/>
          </w:tcPr>
          <w:p>
            <w:pPr>
              <w:pStyle w:val="TableContents"/>
              <w:bidi w:val="0"/>
              <w:spacing w:before="0" w:after="283"/>
              <w:jc w:val="right"/>
              <w:rPr/>
            </w:pPr>
            <w:r>
              <w:rPr/>
              <w:t>627.75</w:t>
            </w:r>
          </w:p>
        </w:tc>
        <w:tc>
          <w:tcPr>
            <w:tcW w:w="64" w:type="dxa"/>
            <w:tcBorders/>
            <w:vAlign w:val="bottom"/>
          </w:tcPr>
          <w:p>
            <w:pPr>
              <w:pStyle w:val="TableContents"/>
              <w:bidi w:val="0"/>
              <w:spacing w:before="0" w:after="283"/>
              <w:jc w:val="left"/>
              <w:rPr/>
            </w:pPr>
            <w:r>
              <w:rPr/>
              <w:t> </w:t>
            </w:r>
          </w:p>
        </w:tc>
      </w:tr>
      <w:tr>
        <w:trPr/>
        <w:tc>
          <w:tcPr>
            <w:tcW w:w="3906"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4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0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Unvested as of March 31, 2026</w:t>
            </w:r>
          </w:p>
        </w:tc>
        <w:tc>
          <w:tcPr>
            <w:tcW w:w="4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b/>
              </w:rPr>
            </w:pPr>
            <w:r>
              <w:rPr>
                <w:b/>
              </w:rPr>
              <w:t>31,833</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685.02</w:t>
            </w:r>
          </w:p>
        </w:tc>
        <w:tc>
          <w:tcPr>
            <w:tcW w:w="64" w:type="dxa"/>
            <w:tcBorders/>
            <w:shd w:fill="CCEEFF" w:val="clear"/>
            <w:vAlign w:val="bottom"/>
          </w:tcPr>
          <w:p>
            <w:pPr>
              <w:pStyle w:val="TableContents"/>
              <w:bidi w:val="0"/>
              <w:spacing w:before="0" w:after="283"/>
              <w:jc w:val="left"/>
              <w:rPr/>
            </w:pPr>
            <w:r>
              <w:rPr/>
              <w:t> </w:t>
            </w:r>
          </w:p>
        </w:tc>
      </w:tr>
      <w:tr>
        <w:trPr/>
        <w:tc>
          <w:tcPr>
            <w:tcW w:w="3906"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4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2026, total unrecognized compensation cost related to RSPAs was $20,028,499, which is expected to be recognized over a weighted average period of 3.2 years. The weighted average grant date fair values per share of RSPAs granted during the period from January 1, 2026 to March 31, 2026 was $702.63 per share. The weighted average grant date fair values of RSPAs that vested during the period from January 1, 2026 to March 31, 2026 was $627.75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stock-based compensation of $2,734,113 for the three months ended March 31, 2026, of which $2,101,935 related to research and development and $632,178 related to general and administrative. The Company recognized stock-based compensation expense of $9,013 for the three months ended March 31, 2025, which related to research and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stock options were granted during the three months ended March 31, 2026 and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and 2025, the Company recorded no provision for income taxes, resulting in an effective tax rate of 0% for each period. This reflects the US federal statutory rate of 21% on pre-tax loss offset by a full valuation allowance against its net deferred tax assets where it is more likely than not that the deferred tax assets will not be realized. Although the Company generated pretax income during the three months ended March 31, 2026, no income tax expense was recorded due to the existence of a full valuation allowance against the Company’s federal and state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ASC 740-10, </w:t>
      </w:r>
      <w:r>
        <w:rPr>
          <w:rFonts w:ascii="Times New Roman" w:hAnsi="Times New Roman"/>
          <w:i/>
          <w:sz w:val="20"/>
        </w:rPr>
        <w:t>Accounting for Uncertainty in Income Taxes</w:t>
      </w:r>
      <w:r>
        <w:rPr>
          <w:rFonts w:ascii="Times New Roman" w:hAnsi="Times New Roman"/>
          <w:sz w:val="20"/>
        </w:rPr>
        <w:t xml:space="preserve">, prescribes a comprehensive model for the recognition, measurement, presentation, and disclosure in the financial statements for any uncertain tax positions that have been taken or expected to be taken on a tax return. As of March 31, 2026 and December 31, 2025, the Company had no unrecognized tax benefits. The amount of unrecognized tax benefits is not expected to significantly change over the next twelve months. No amounts, outside of valuation allowance, would impact the effective tax rate on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(“OBBB”) was signed into law, making permanent several provisions of the Tax Cuts and Jobs Act of 2017 and introducing additional reforms to U.S. tax law. Although 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2026 and 2025. However, the legislation is expected to influence future tax planning, entity structuring, and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All tax returns will remain open for examination by the federal and state taxing authorities for three and four years, respectively, from the date of utilization of any net operating loss carryforwards.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Reimbursement of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SAFEs (Note 5) and RSPAs (Note 7) with certain individuals, who have also provided services to the Company. The Company incurred costs related to contract labor of $1,946 and $26,149 for the three months ended March 31, 2026 and 2025, respectively, to these individuals, which is included in general and administrative and research and development expenses in the accompanying statements of operations and comprehensive income (loss). Additionally, the Company paid $12,000 to a SAFE Note Holder for public relations services (monthly retainer) during the three months ended March 31, 2026, which is included in general and administrative expense in the accompanying condensed statement of operations and comprehensive income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engaged in an ongoing legal matter with a former employee related to their departure in December 2025. The Company was expected to incur a settlement cost of $16,345,000 to resolve the dispute, which was deemed probable and estimable and was recognized within general and administrative expenses during the year ended December 31, 2025. The proposed settlement includes $100,000 of cash with the remaining amount to be settled in stock upon final resolution of the legal matter. As of March 31, 2026, the settlement cost to resolve the dispute was estimated to be $11,655,362, resulting in a change in fair value of legal settlement liability of $4,689,638, which was recorded in general and administrative expense in the statements of operations and comprehensive income (loss) for the three months ended March 31, 2026. As of March 31, 2026, the accrued legal settlement of $11,655,362 was recorded in accrued expenses.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above, management is not aware of any other legal proceedings or adverse outcome of which, in management’s opinion, individually or in the aggregate, could have a material adverse effect on the Company’s results of operations, financial position or cash flows.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all events or transactions that occurred after March 31, 2026 through May 29, 2026, which is the date that the condensed financial statements were available to be issued. During this period, there were no material subsequent events requiring disclosure except as follows: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March 31, 2026, the Company received gross proceeds associated with SAFE equity financings aggregating approximately $1,710,000.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GigCapital7, Merger Sub, and the Company entered into a second amendment to the Business Combination Agreement (the “Second Amendment”), which amends the Business Combination Agreement to (a) adjust the valuation of the Company and (b) extend the Outside Date. The Second Amendment amends the definition of “Public Company (Pre-Capital Raise) Valuation” set forth in Article X of the Business Combination Agreement to mean $776,599,997, which has the effect of reducing the Aggregate Merger Consideration to be issued for the securities of the Company to 60,000,000 shares of Domesticated Purchaser Common Stock, which at a nominal value of $10.00 per share would have a valuation for the Company of $600 million. The Second Amendment also amends Section 8.01(c) of the Business Combination Agreement to replace the date “April 30, 2026” with the date “May 31, 2026.” As a result, all references to the “Outside Date” in the Business Combination Agreement now refer to May 31, 2026. </w:t>
      </w:r>
    </w:p>
    <w:p>
      <w:pPr>
        <w:pStyle w:val="TextBody"/>
        <w:bidi w:val="0"/>
        <w:spacing w:before="240" w:after="0"/>
        <w:jc w:val="left"/>
        <w:rPr>
          <w:rFonts w:ascii="Times New Roman" w:hAnsi="Times New Roman"/>
          <w:sz w:val="20"/>
        </w:rPr>
      </w:pPr>
      <w:r>
        <w:rPr>
          <w:rFonts w:ascii="Times New Roman" w:hAnsi="Times New Roman"/>
          <w:sz w:val="20"/>
        </w:rPr>
        <w:t xml:space="preserve">On May 7, 2026, at the extraordinary general meeting, the Company and the shareholders of GigCapital7 approved the Business Combination contemplated by the Business Combination Agreement, and as amended, including the merger of Merger Sub with and into Hadron, with Hadron surviving the merger, and issuance of common stock of the Company to Hadron equity holders as merger consideration.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Business Combination, all outstanding historical Hadron Energy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right"/>
        <w:rPr>
          <w:rFonts w:ascii="Times New Roman" w:hAnsi="Times New Roman"/>
          <w:b/>
          <w:sz w:val="20"/>
        </w:rPr>
      </w:pPr>
      <w:bookmarkStart w:id="14" w:name="d26249dex992.htm"/>
      <w:bookmarkStart w:id="15" w:name="ksd26249dex992"/>
      <w:bookmarkEnd w:id="14"/>
      <w:bookmarkEnd w:id="1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MANAGEMENT’S DISCUSSION AND ANALYSIS OF FINANCIAL CONDITION AND RESULTS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HADRON ENERGY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Management’s Discussion and Analysis of Financial Condition and Results of Operations should be read together with, and is based on, our unaudited condensed financial statements as of March 31, 2026 and for the three-month periods ended March 31, 2026 and 2025, appearing elsewhere in this Current Report on Form 8-K. In addition to historical information, some of the information contained in this discussion and analysis or set forth elsewhere in this Current Report, including information with respect to our plans and strategy for our business, future financial performance, expense levels and liquidity sources, includes forward-looking statements that involve risks and uncertainties. You should read the sections entitled “Cautionary Note Regarding Forward-Looking Statements” and “Risk Factors” elsewhere in this Current Report and in the Registration Statement on Form S-4 for a discussion of a variety of important factors that could cause actual results and the timing of events to differ materially from the results described in or implied by the forward-looking statements contained in the following discussion and analysis. Unless the context otherwise requires, references in this section to “the Company”, “us”, “our” or “we” refer to Hadron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micro modular reactor company utilizing light water reactor technology to generate carbon-free electricity. The Company is a leading innovator in micro modular reactor technology using a versatile, small-scale, cost-effective and rapidly deployable microreactors to the growing electricity demand driven by data centers, artificial intelligence, and industrialization. The Company is developing a standardized, factory-fabricated, 10 megawatt electric pressurized light-water micro modular reactor based on Generation III+ technology. Designed for deployment at most U.S. sites with minimal site-specific requirements, each reactor is designed to meet the power demands of data centers, industrial sites, and remote applications. Scaled commercialization is planned for 2030.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Pursuant to the Business Combination Agreement, Merger Sub will merge with and into the Company (the “Merger”), with the Company continuing as the surviving corporation (such transactions, together with the Merger, the “Business Combination”).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and as amended. The business combination will be accounted for as a reverse recapitalization. The Company has continued to incur transaction-related professional services costs in connection with the contemplated Business Combination, certain of which have been deferred and are reflected on our condensed balance sheet as deferred transaction costs.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Business Combination, all outstanding historical Hadron Energy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Prospects and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performance and future success depend on a number of factors that present significant opportunities for us but also pose risks and challenges, including competition from carbon-based and other non-carbon-based energy generators, the risk of perceived safety issues and their consequences for our reputation and the other factors discussed under the section titled “Risk Factors” in our Registration Statement on Form S-4, as amended. We believe that the following factors are key to our success: commencing and expanding commercial launch operations, funding our operations, maintaining and protecting our intellectual property portfolio, obtaining regulatory approvals, and adding operational and financial personnel to support our development efforts and planned future commercialization.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of Macroeconomic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various trends, events or uncertainties that are reasonably likely to cause our reported financial information not to be necessarily indicative of future operating results or of future financial condition. 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Supply chain vulnerabilities represent a critical area of macro-economic risk for our business. Global disruptions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 </w:t>
      </w:r>
    </w:p>
    <w:p>
      <w:pPr>
        <w:pStyle w:val="TextBody"/>
        <w:bidi w:val="0"/>
        <w:spacing w:before="240" w:after="0"/>
        <w:jc w:val="left"/>
        <w:rPr>
          <w:rFonts w:ascii="Times New Roman" w:hAnsi="Times New Roman"/>
          <w:sz w:val="20"/>
        </w:rPr>
      </w:pPr>
      <w:r>
        <w:rPr>
          <w:rFonts w:ascii="Times New Roman" w:hAnsi="Times New Roman"/>
          <w:sz w:val="20"/>
        </w:rPr>
        <w:t xml:space="preserve">Inflation remains a significant concern, particularly as it affects construction materials, specialized equipment, and labor costs throughout our project development cycle. These inflationary pressures can erode project margins and complicate long-term capital planning efforts. 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 </w:t>
      </w:r>
    </w:p>
    <w:p>
      <w:pPr>
        <w:pStyle w:val="TextBody"/>
        <w:bidi w:val="0"/>
        <w:spacing w:before="240" w:after="0"/>
        <w:jc w:val="left"/>
        <w:rPr>
          <w:rFonts w:ascii="Times New Roman" w:hAnsi="Times New Roman"/>
          <w:sz w:val="20"/>
        </w:rPr>
      </w:pPr>
      <w:r>
        <w:rPr>
          <w:rFonts w:ascii="Times New Roman" w:hAnsi="Times New Roman"/>
          <w:sz w:val="20"/>
        </w:rPr>
        <w:t xml:space="preserve">Demand for energy in the United States is currently being driven by the explosive growth in the data center industry, particularly as artificial intelligence (AI) deployment, cloud computing adoption, digital transformation initiatives accelerate across sectors, and industrialization. Should power demand growth in the market slow, customer demand for our baseload low-carbon power could be negatively impacted. </w:t>
      </w:r>
    </w:p>
    <w:p>
      <w:pPr>
        <w:pStyle w:val="TextBody"/>
        <w:bidi w:val="0"/>
        <w:spacing w:before="360" w:after="0"/>
        <w:jc w:val="left"/>
        <w:rPr>
          <w:rFonts w:ascii="Times New Roman" w:hAnsi="Times New Roman"/>
          <w:b/>
          <w:sz w:val="20"/>
        </w:rPr>
      </w:pPr>
      <w:r>
        <w:rPr>
          <w:rFonts w:ascii="Times New Roman" w:hAnsi="Times New Roman"/>
          <w:b/>
          <w:sz w:val="20"/>
        </w:rPr>
        <w:t xml:space="preserve">Key 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 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is measured using a fair value-based method for all equity-based awards, with the cost of awarded equity instruments recognized over the period during which the award vests. Stock-based compensation expense relates primarily to the vesting and cancellation of restricted shares granted to employees pursuant to the Hadron Energy Equity Incentive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in fair value of legal settlement liability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legal settlement liability represents the periodic remeasurement of a previously accrued estimated legal settlement liability that was originally recorded during the year ended December 31, 2025. Changes in the estimated liability, including subsequent reversals of previously accrued amounts, are recognized within operating expenses in the period in which the estimate is revised. </w:t>
      </w:r>
    </w:p>
    <w:p>
      <w:pPr>
        <w:pStyle w:val="TextBody"/>
        <w:bidi w:val="0"/>
        <w:spacing w:before="360" w:after="0"/>
        <w:jc w:val="left"/>
        <w:rPr>
          <w:rFonts w:ascii="Times New Roman" w:hAnsi="Times New Roman"/>
          <w:sz w:val="20"/>
        </w:rPr>
      </w:pPr>
      <w:r>
        <w:rPr>
          <w:rFonts w:ascii="Times New Roman" w:hAnsi="Times New Roman"/>
          <w:sz w:val="20"/>
        </w:rPr>
        <w:t xml:space="preserve">Change in fair value of 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The change in fair value of Simple Agreements for Future Equity (“SAFEs”) represents the periodic remeasurement of the fair value related to the SAFEs. The Company determined that the SAFEs should be accounted for at fair value as a liability under ASC 480, </w:t>
      </w: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with changes in fair value recorded in the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fully offset by valuation allowances.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Comparison of the three months ended March 31, 2026 and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results of operations: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66"/>
        <w:gridCol w:w="301"/>
        <w:gridCol w:w="252"/>
        <w:gridCol w:w="1993"/>
        <w:gridCol w:w="155"/>
        <w:gridCol w:w="282"/>
        <w:gridCol w:w="304"/>
        <w:gridCol w:w="1942"/>
        <w:gridCol w:w="160"/>
      </w:tblGrid>
      <w:tr>
        <w:trPr/>
        <w:tc>
          <w:tcPr>
            <w:tcW w:w="2366"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br/>
              <w:t>2026</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br/>
              <w:t>2025</w:t>
            </w:r>
          </w:p>
        </w:tc>
        <w:tc>
          <w:tcPr>
            <w:tcW w:w="16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expenses</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94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993" w:type="dxa"/>
            <w:tcBorders/>
            <w:vAlign w:val="bottom"/>
          </w:tcPr>
          <w:p>
            <w:pPr>
              <w:pStyle w:val="TableContents"/>
              <w:bidi w:val="0"/>
              <w:spacing w:before="0" w:after="283"/>
              <w:jc w:val="right"/>
              <w:rPr/>
            </w:pPr>
            <w:r>
              <w:rPr/>
              <w:t>1,562,910</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942" w:type="dxa"/>
            <w:tcBorders/>
            <w:vAlign w:val="bottom"/>
          </w:tcPr>
          <w:p>
            <w:pPr>
              <w:pStyle w:val="TableContents"/>
              <w:bidi w:val="0"/>
              <w:spacing w:before="0" w:after="283"/>
              <w:jc w:val="right"/>
              <w:rPr/>
            </w:pPr>
            <w:r>
              <w:rPr/>
              <w:t>148,877</w:t>
            </w:r>
          </w:p>
        </w:tc>
        <w:tc>
          <w:tcPr>
            <w:tcW w:w="16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442,807</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6,322</w:t>
            </w:r>
          </w:p>
        </w:tc>
        <w:tc>
          <w:tcPr>
            <w:tcW w:w="16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2,734,113</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9,013</w:t>
            </w:r>
          </w:p>
        </w:tc>
        <w:tc>
          <w:tcPr>
            <w:tcW w:w="16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1,945</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178</w:t>
            </w:r>
          </w:p>
        </w:tc>
        <w:tc>
          <w:tcPr>
            <w:tcW w:w="16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legal settlement liability</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(4,689,638</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4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b/>
              </w:rPr>
            </w:pPr>
            <w:r>
              <w:rPr>
                <w:b/>
              </w:rPr>
              <w:t>52,137</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b/>
              </w:rPr>
            </w:pPr>
            <w:r>
              <w:rPr>
                <w:b/>
              </w:rPr>
              <w:t>164,390</w:t>
            </w:r>
          </w:p>
        </w:tc>
        <w:tc>
          <w:tcPr>
            <w:tcW w:w="16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b/>
              </w:rPr>
            </w:pPr>
            <w:r>
              <w:rPr>
                <w:b/>
              </w:rPr>
              <w:t>(52,137</w:t>
            </w:r>
          </w:p>
        </w:tc>
        <w:tc>
          <w:tcPr>
            <w:tcW w:w="155" w:type="dxa"/>
            <w:tcBorders/>
            <w:vAlign w:val="bottom"/>
          </w:tcPr>
          <w:p>
            <w:pPr>
              <w:pStyle w:val="TableContents"/>
              <w:bidi w:val="0"/>
              <w:spacing w:before="0" w:after="283"/>
              <w:jc w:val="left"/>
              <w:rPr>
                <w:b/>
              </w:rPr>
            </w:pPr>
            <w:r>
              <w:rPr>
                <w:b/>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b/>
              </w:rPr>
            </w:pPr>
            <w:r>
              <w:rPr>
                <w:b/>
              </w:rPr>
              <w:t>(164,390</w:t>
            </w:r>
          </w:p>
        </w:tc>
        <w:tc>
          <w:tcPr>
            <w:tcW w:w="160" w:type="dxa"/>
            <w:tcBorders/>
            <w:vAlign w:val="bottom"/>
          </w:tcPr>
          <w:p>
            <w:pPr>
              <w:pStyle w:val="TableContents"/>
              <w:bidi w:val="0"/>
              <w:spacing w:before="0" w:after="283"/>
              <w:jc w:val="left"/>
              <w:rPr>
                <w:b/>
              </w:rPr>
            </w:pPr>
            <w:r>
              <w:rPr>
                <w:b/>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94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Other income (loss)</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94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13,419,233</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(55,961</w:t>
            </w:r>
          </w:p>
        </w:tc>
        <w:tc>
          <w:tcPr>
            <w:tcW w:w="16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(loss)</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b/>
              </w:rPr>
            </w:pPr>
            <w:r>
              <w:rPr>
                <w:b/>
              </w:rPr>
              <w:t>13,419,233</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b/>
              </w:rPr>
            </w:pPr>
            <w:r>
              <w:rPr>
                <w:b/>
              </w:rPr>
              <w:t>(55,961</w:t>
            </w:r>
          </w:p>
        </w:tc>
        <w:tc>
          <w:tcPr>
            <w:tcW w:w="160" w:type="dxa"/>
            <w:tcBorders/>
            <w:shd w:fill="CCEEFF" w:val="clear"/>
            <w:vAlign w:val="bottom"/>
          </w:tcPr>
          <w:p>
            <w:pPr>
              <w:pStyle w:val="TableContents"/>
              <w:bidi w:val="0"/>
              <w:spacing w:before="0" w:after="283"/>
              <w:jc w:val="left"/>
              <w:rPr>
                <w:b/>
              </w:rPr>
            </w:pPr>
            <w:r>
              <w:rPr>
                <w:b/>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13,367,096</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(220,351</w:t>
            </w:r>
          </w:p>
        </w:tc>
        <w:tc>
          <w:tcPr>
            <w:tcW w:w="16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0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4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and comprehensive income (loss)</w:t>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b/>
              </w:rPr>
            </w:pPr>
            <w:r>
              <w:rPr>
                <w:b/>
              </w:rPr>
              <w:t>$</w:t>
            </w:r>
          </w:p>
        </w:tc>
        <w:tc>
          <w:tcPr>
            <w:tcW w:w="1993" w:type="dxa"/>
            <w:tcBorders/>
            <w:vAlign w:val="bottom"/>
          </w:tcPr>
          <w:p>
            <w:pPr>
              <w:pStyle w:val="TableContents"/>
              <w:bidi w:val="0"/>
              <w:spacing w:before="0" w:after="283"/>
              <w:jc w:val="right"/>
              <w:rPr>
                <w:b/>
              </w:rPr>
            </w:pPr>
            <w:r>
              <w:rPr>
                <w:b/>
              </w:rPr>
              <w:t>13,367,096</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b/>
              </w:rPr>
            </w:pPr>
            <w:r>
              <w:rPr>
                <w:b/>
              </w:rPr>
              <w:t>$</w:t>
            </w:r>
          </w:p>
        </w:tc>
        <w:tc>
          <w:tcPr>
            <w:tcW w:w="1942" w:type="dxa"/>
            <w:tcBorders/>
            <w:vAlign w:val="bottom"/>
          </w:tcPr>
          <w:p>
            <w:pPr>
              <w:pStyle w:val="TableContents"/>
              <w:bidi w:val="0"/>
              <w:spacing w:before="0" w:after="283"/>
              <w:jc w:val="right"/>
              <w:rPr>
                <w:b/>
              </w:rPr>
            </w:pPr>
            <w:r>
              <w:rPr>
                <w:b/>
              </w:rPr>
              <w:t>(220,351</w:t>
            </w:r>
          </w:p>
        </w:tc>
        <w:tc>
          <w:tcPr>
            <w:tcW w:w="160" w:type="dxa"/>
            <w:tcBorders/>
            <w:vAlign w:val="bottom"/>
          </w:tcPr>
          <w:p>
            <w:pPr>
              <w:pStyle w:val="TableContents"/>
              <w:bidi w:val="0"/>
              <w:spacing w:before="0" w:after="283"/>
              <w:jc w:val="left"/>
              <w:rPr>
                <w:b/>
              </w:rPr>
            </w:pPr>
            <w:r>
              <w:rPr>
                <w:b/>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94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$1,562,910 for the three months ended March 31, 2026 compared to $148,877 for the three months ended March 31, 2025. The increase of $1,414,033 was due primarily to the expansion of personnel-related costs and third-party advisory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R&amp;D expenses were $442,807 for the three months ended March 31, 2026 compared to $6,322 for the three months ended March 31,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legal settlement liability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legal settlement liability was a gain of $4,689,638 for the three months ended March 31, 2026 compared to $0 for the three months ended March 31, 2025, representing the remeasurement during the current quarter of a previously accrued estimated legal settlement liability that was originally recorded during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was $2,734,113 for the three months ended March 31, 2026 compared to $9,013 for the three months ended March 31, 2025. The increase of $2,725,100 was primarily driven by the recognition of expense related to restricted share grants under the Hadron Energy Equity Incentive Plan, including the modification and commencement of vesting of new grants of 33,500 restricted shares to employees and advisors during the quarter. Stock-based compensation is measured at the estimated fair value of the shares on the grant date and recognized over the requisite service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expense was $1,945 for the three months ended March 31, 2026 compared to $178 for the three months ended March 31, 2025. The increase reflects depreciation of property and equipment, principally furniture, fixtures and computer equipment, that has been placed in service since inception. There were no purchases of property and equipment during the three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SAFEs was a gain of $13,419,233 for the three months ended March 31, 2026 compared to a loss of $55,961 for the three months ended March 31, 2025, in each case representing the remeasurement of the fair value of the SAFEs at the end of the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Provision for income taxes was $0 for the three months ended March 31, 2026 and for the three months ended March 31, 2025, in each case primarily due to changes in deferred tax balances offset by valuation allowances against our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Funding Requirements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since our inception. Although we recognized net income of $13,367,096 for the three months ended March 31, 2026 (compared to a net loss of $220,351 for the three months ended March 31, 2025), our net income for the current quarter was driven primarily by two non-cash and non-recurring items: a $13,419,233 gain on the remeasurement of our SAFE liability and a $4,689,638 remeasurement of a previously accrued estimated legal settlement liability. Excluding these items, we incurred an underlying operating loss for the three months ended March 31, 2026, and we expect to continue to incur operating losses for the foreseeable future. As of March 31, 2026, the Company had cash of $2,129,451 and an accumulated deficit of $59,001,039, and for the three months ended March 31, 2026, negative cash flows from operations of $1,212,790. We are still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early stages of our development and expect to continue to incur significant expenses, operating losses, and negative operating cash flows for the foreseeable future due to increases in expenses from historical levels because of additional costs and expenses related to the development of our technology and factory and the development of market and strategic relationships with other businesses.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as we can generate substantial revenue, if ever, we expect to finance our cash needs through a combination of equity and debt financings, or other capital sources, including, if and when consummated, the proceeds available to us in connection with the Business Combination. We plan to continue to fund our losses from operations through cash on hand, as well as through future equity offerings, debt financings, other third-party funding, or potential licensing or collaboration arrangements. To the extent that we raise additional capital through the future sale of equity or debt, the ownership interest of our stockholders will be diluted. The terms of these securities may include liquidation or other preferences that adversely affect the rights of our existing common stockholders. If we raise additional funds through collaboration agreements, marketing agreements, or licensing arrangements, we may have to relinquish valuable rights to our technologies or future revenue streams on terms that may not be favorable to us. If we are unable to raise sufficient funds through equity or debt financings, we may be required to delay, limit, curtail or terminate our technology development or future commercialization efforts or may be forced to cease operations or file for bankruptcy protection. This may have a material adverse effect on our business, operating results and financial condition and our ability to achieve our intended business objectives. Additionally, we may never become profitable, or if we do, may not be able to sustain profitability on a recurring basis. There can be no assurance that additional funds will be available when needed from any source or, if available, will be available on terms that are acceptable to us. Any of these actions could materially harm our business, results of operations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conditions, the Company’s ability to continue as a going concern depends on its ability to obtain financial support and additional sources of funds and financing to support the needs of the business, ongoing operations and ultimately to generate profitable operations. As such, we have concluded that there is substantial doubt over our ability to continue as a going concern as conditions and events, considered in the aggregate, indicate that we are currently unable to meet our obligations as they become due and expect to be unable to meet our obligations within one year after the date that the financial statements included in the Current Report on Form 8-K were originally issued. The accompanying condensed financial statements have been prepared on a going concern basis, which contemplates the realization of assets and settlement of liabilities and commitments in the normal course of business. The financial information and financial statements do not include any adjustments or reclassifications of assets and liabilities that might be necessary if we are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will need to raise additional capital to continue operations based on our current business plan, and expectations and assumptions considering current macroeconomic conditions. Our ability to raise additional capital may also be adversely impacted by potential worsening global economic conditions and disruptions to, and volatility in, financial markets in the U.S. and worldwide from geopolitical and macroeconomic events. There can be no assurance that we will be able to secure such additional funding on acceptable terms and conditions, or at all. If we cannot obtain sufficient capital immediately, we will not have sufficient cash flows and liquidity to finance our business operations as currently contemplated and we may need to substantially alter, or possibly even discontinue, our operations. In the event of a bankruptcy proceeding or insolvency, or restructuring of our capital structure, our stockholders could suffer a total loss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Simple Agreement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the Company issued instruments referred to as “simple agreements for future equity”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SAFEs should be accounted for at fair value as a liability under ASC 480 </w:t>
      </w: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these assumptions would be made by a market participant in estimating the valuation of the SAFEs. We assess these assumptions and estimates on an on-going basis as additional data impacting the assumptions and estimates are obtained. There is substantial judgment in selecting the assumptions that we use to determine the fair value of the SAFEs and other companies could use similar market inputs and experience and arrive at different conclusions with respect to those used to calculate fair value. Using alternative assumptions could cause differences in the resulting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cash flows for the three months ended March 31,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52"/>
        <w:gridCol w:w="378"/>
        <w:gridCol w:w="261"/>
        <w:gridCol w:w="1967"/>
        <w:gridCol w:w="155"/>
        <w:gridCol w:w="354"/>
        <w:gridCol w:w="304"/>
        <w:gridCol w:w="1925"/>
        <w:gridCol w:w="159"/>
      </w:tblGrid>
      <w:tr>
        <w:trPr/>
        <w:tc>
          <w:tcPr>
            <w:tcW w:w="2252"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5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2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br/>
              <w:t>2026</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br/>
              <w:t>2025</w:t>
            </w:r>
          </w:p>
        </w:tc>
        <w:tc>
          <w:tcPr>
            <w:tcW w:w="159" w:type="dxa"/>
            <w:tcBorders/>
            <w:vAlign w:val="bottom"/>
          </w:tcPr>
          <w:p>
            <w:pPr>
              <w:pStyle w:val="TableContents"/>
              <w:bidi w:val="0"/>
              <w:spacing w:before="0" w:after="283"/>
              <w:jc w:val="left"/>
              <w:rPr/>
            </w:pPr>
            <w:r>
              <w:rPr/>
              <w:t> </w:t>
            </w:r>
          </w:p>
        </w:tc>
      </w:tr>
      <w:tr>
        <w:trPr/>
        <w:tc>
          <w:tcPr>
            <w:tcW w:w="2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37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9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9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2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967" w:type="dxa"/>
            <w:tcBorders/>
            <w:vAlign w:val="bottom"/>
          </w:tcPr>
          <w:p>
            <w:pPr>
              <w:pStyle w:val="TableContents"/>
              <w:bidi w:val="0"/>
              <w:spacing w:before="0" w:after="283"/>
              <w:jc w:val="right"/>
              <w:rPr/>
            </w:pPr>
            <w:r>
              <w:rPr/>
              <w:t>(1,212,790</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925" w:type="dxa"/>
            <w:tcBorders/>
            <w:vAlign w:val="bottom"/>
          </w:tcPr>
          <w:p>
            <w:pPr>
              <w:pStyle w:val="TableContents"/>
              <w:bidi w:val="0"/>
              <w:spacing w:before="0" w:after="283"/>
              <w:jc w:val="right"/>
              <w:rPr/>
            </w:pPr>
            <w:r>
              <w:rPr/>
              <w:t>(210,611</w:t>
            </w:r>
          </w:p>
        </w:tc>
        <w:tc>
          <w:tcPr>
            <w:tcW w:w="159" w:type="dxa"/>
            <w:tcBorders/>
            <w:vAlign w:val="bottom"/>
          </w:tcPr>
          <w:p>
            <w:pPr>
              <w:pStyle w:val="TableContents"/>
              <w:bidi w:val="0"/>
              <w:spacing w:before="0" w:after="283"/>
              <w:jc w:val="left"/>
              <w:rPr/>
            </w:pPr>
            <w:r>
              <w:rPr/>
              <w:t>) </w:t>
            </w:r>
          </w:p>
        </w:tc>
      </w:tr>
      <w:tr>
        <w:trPr/>
        <w:tc>
          <w:tcPr>
            <w:tcW w:w="2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7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67" w:type="dxa"/>
            <w:tcBorders/>
            <w:shd w:fill="CCEEFF" w:val="clear"/>
            <w:vAlign w:val="bottom"/>
          </w:tcPr>
          <w:p>
            <w:pPr>
              <w:pStyle w:val="TableContents"/>
              <w:bidi w:val="0"/>
              <w:spacing w:before="0" w:after="283"/>
              <w:jc w:val="right"/>
              <w:rPr/>
            </w:pPr>
            <w:r>
              <w:rPr/>
              <w:t>1,585,000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307,000</w:t>
            </w:r>
          </w:p>
        </w:tc>
        <w:tc>
          <w:tcPr>
            <w:tcW w:w="159" w:type="dxa"/>
            <w:tcBorders/>
            <w:shd w:fill="CCEEFF" w:val="clear"/>
            <w:vAlign w:val="bottom"/>
          </w:tcPr>
          <w:p>
            <w:pPr>
              <w:pStyle w:val="TableContents"/>
              <w:bidi w:val="0"/>
              <w:spacing w:before="0" w:after="283"/>
              <w:jc w:val="left"/>
              <w:rPr/>
            </w:pPr>
            <w:r>
              <w:rPr/>
              <w:t> </w:t>
            </w:r>
          </w:p>
        </w:tc>
      </w:tr>
      <w:tr>
        <w:trPr/>
        <w:tc>
          <w:tcPr>
            <w:tcW w:w="2252"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9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52"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67" w:type="dxa"/>
            <w:tcBorders/>
            <w:vAlign w:val="bottom"/>
          </w:tcPr>
          <w:p>
            <w:pPr>
              <w:pStyle w:val="TableContents"/>
              <w:bidi w:val="0"/>
              <w:spacing w:before="0" w:after="283"/>
              <w:jc w:val="right"/>
              <w:rPr/>
            </w:pPr>
            <w:r>
              <w:rPr/>
              <w:t>372,210</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96,389</w:t>
            </w:r>
          </w:p>
        </w:tc>
        <w:tc>
          <w:tcPr>
            <w:tcW w:w="159" w:type="dxa"/>
            <w:tcBorders/>
            <w:vAlign w:val="bottom"/>
          </w:tcPr>
          <w:p>
            <w:pPr>
              <w:pStyle w:val="TableContents"/>
              <w:bidi w:val="0"/>
              <w:spacing w:before="0" w:after="283"/>
              <w:jc w:val="left"/>
              <w:rPr/>
            </w:pPr>
            <w:r>
              <w:rPr/>
              <w:t> </w:t>
            </w:r>
          </w:p>
        </w:tc>
      </w:tr>
      <w:tr>
        <w:trPr/>
        <w:tc>
          <w:tcPr>
            <w:tcW w:w="2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at beginning of the period</w:t>
            </w:r>
          </w:p>
        </w:tc>
        <w:tc>
          <w:tcPr>
            <w:tcW w:w="37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67" w:type="dxa"/>
            <w:tcBorders/>
            <w:shd w:fill="CCEEFF" w:val="clear"/>
            <w:vAlign w:val="bottom"/>
          </w:tcPr>
          <w:p>
            <w:pPr>
              <w:pStyle w:val="TableContents"/>
              <w:bidi w:val="0"/>
              <w:spacing w:before="0" w:after="283"/>
              <w:jc w:val="right"/>
              <w:rPr/>
            </w:pPr>
            <w:r>
              <w:rPr/>
              <w:t>1,757,241</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17,276</w:t>
            </w:r>
          </w:p>
        </w:tc>
        <w:tc>
          <w:tcPr>
            <w:tcW w:w="159" w:type="dxa"/>
            <w:tcBorders/>
            <w:shd w:fill="CCEEFF" w:val="clear"/>
            <w:vAlign w:val="bottom"/>
          </w:tcPr>
          <w:p>
            <w:pPr>
              <w:pStyle w:val="TableContents"/>
              <w:bidi w:val="0"/>
              <w:spacing w:before="0" w:after="283"/>
              <w:jc w:val="left"/>
              <w:rPr/>
            </w:pPr>
            <w:r>
              <w:rPr/>
              <w:t> </w:t>
            </w:r>
          </w:p>
        </w:tc>
      </w:tr>
      <w:tr>
        <w:trPr/>
        <w:tc>
          <w:tcPr>
            <w:tcW w:w="2252"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9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52" w:type="dxa"/>
            <w:tcBorders/>
          </w:tcPr>
          <w:p>
            <w:pPr>
              <w:pStyle w:val="TableContents"/>
              <w:bidi w:val="0"/>
              <w:spacing w:before="0" w:after="0"/>
              <w:jc w:val="left"/>
              <w:rPr>
                <w:rFonts w:ascii="Times New Roman" w:hAnsi="Times New Roman"/>
                <w:sz w:val="20"/>
              </w:rPr>
            </w:pPr>
            <w:r>
              <w:rPr>
                <w:rFonts w:ascii="Times New Roman" w:hAnsi="Times New Roman"/>
                <w:sz w:val="20"/>
              </w:rPr>
              <w:t>Cash at end of the period</w:t>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967" w:type="dxa"/>
            <w:tcBorders/>
            <w:vAlign w:val="bottom"/>
          </w:tcPr>
          <w:p>
            <w:pPr>
              <w:pStyle w:val="TableContents"/>
              <w:bidi w:val="0"/>
              <w:spacing w:before="0" w:after="283"/>
              <w:jc w:val="right"/>
              <w:rPr/>
            </w:pPr>
            <w:r>
              <w:rPr/>
              <w:t>2,129,451</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925" w:type="dxa"/>
            <w:tcBorders/>
            <w:vAlign w:val="bottom"/>
          </w:tcPr>
          <w:p>
            <w:pPr>
              <w:pStyle w:val="TableContents"/>
              <w:bidi w:val="0"/>
              <w:spacing w:before="0" w:after="283"/>
              <w:jc w:val="right"/>
              <w:rPr/>
            </w:pPr>
            <w:r>
              <w:rPr/>
              <w:t>113,665</w:t>
            </w:r>
          </w:p>
        </w:tc>
        <w:tc>
          <w:tcPr>
            <w:tcW w:w="159" w:type="dxa"/>
            <w:tcBorders/>
            <w:vAlign w:val="bottom"/>
          </w:tcPr>
          <w:p>
            <w:pPr>
              <w:pStyle w:val="TableContents"/>
              <w:bidi w:val="0"/>
              <w:spacing w:before="0" w:after="283"/>
              <w:jc w:val="left"/>
              <w:rPr/>
            </w:pPr>
            <w:r>
              <w:rPr/>
              <w:t> </w:t>
            </w:r>
          </w:p>
        </w:tc>
      </w:tr>
      <w:tr>
        <w:trPr/>
        <w:tc>
          <w:tcPr>
            <w:tcW w:w="2252"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9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$1,212,790 for the three months ended March 31, 2026 was primarily driven by non-cash gains that reduced reported net income to cash, including a $13,419,233 change in the fair value of SAFEs and a $4,689,638 remeasurement of an accrued legal settlement liabilitypartially offset by $2,734,113 of stock-based compensation, $771,931 of net favorable changes in operating assets and liabilities, $20,996 of noncash operating lease expense, and $1,945 of depreciation.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$210,611 for the three months ended March 31, 2025 was primarily attributable to a net loss of $220,351 and net unfavorable changes in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$1,585,000 for the three months ended March 31, 2026 was attributable to proceeds from the issuance of SAFEs.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of $307,000 for the three months ended March 31, 2025 was attributable to proceeds from the issuance of SAFEs.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any material commitments or contractual obligations as of March 31, 2026, other than leases under which we lease real estate for office space and a vehicle. These leases have been classified as operating leases.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disclosed in our Registration Statement on Form S-4, as amended, in February 2025 the Company entered into a vehicle lease through January 2028 with aggregate minimum lease payments of $80,519, and in June 2025 the Company entered into an office lease through June 2026 with aggregate minimum lease payments of $70,270. There were no material new commitments or contractual obligations entered into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Contractual payments under the leases as of March 31, 2026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11"/>
        <w:gridCol w:w="276"/>
        <w:gridCol w:w="140"/>
        <w:gridCol w:w="689"/>
        <w:gridCol w:w="60"/>
        <w:gridCol w:w="276"/>
        <w:gridCol w:w="140"/>
        <w:gridCol w:w="689"/>
        <w:gridCol w:w="60"/>
        <w:gridCol w:w="276"/>
        <w:gridCol w:w="140"/>
        <w:gridCol w:w="600"/>
        <w:gridCol w:w="60"/>
        <w:gridCol w:w="276"/>
        <w:gridCol w:w="140"/>
        <w:gridCol w:w="689"/>
        <w:gridCol w:w="66"/>
      </w:tblGrid>
      <w:tr>
        <w:trPr/>
        <w:tc>
          <w:tcPr>
            <w:tcW w:w="481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 lease</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9,520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12,694</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1,552</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23,766</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Office lease</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12,013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12,013</w:t>
            </w:r>
          </w:p>
        </w:tc>
        <w:tc>
          <w:tcPr>
            <w:tcW w:w="66"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21,533</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12,694</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1,552</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35,779</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we did not have any off-balance sheet arrangements as defined in Item 303(a)(4)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condensed financial statements, which have been prepared in accordance with generally accepted accounting principles in the United States, or GAAP. The preparation of these financial statements requires our management to make estimates and assumptions that affect the reported amounts of assets and liabilities and the disclosure of contingent assets and liabilities at the date of the financial statements, as well as the reported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 There have been no material changes to our critical accounting policies and estimates from those disclosed in our Registration Statement on Form S-4, as amended. Our most critical accounting policies and estimates continue to relate to (i) the fair value of Simple Agreements for Future Equity, (ii) stock-based compensation, and (iii) accruals for loss contingencies, including for an expected legal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describe the recently issued accounting pronouncements that apply to us in Note 2 to our condensed financial statements included elsewhere in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the Jumpstart Our Business Startups Act (“JOBS Act”). The JOBS Act provides emerging growth companies with certain exemptions from public company reporting requirements for up to five fiscal years while a company remains an emerging growth company. As part of these exemptions, the Company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We also qualify as a “smaller reporting company,” as such term is defined in Rule 12b-2 of the Securities Exchange Act of 1934, as amended. As a smaller reporting company, we may continue to rely on certain reduced disclosure requirements available to smaller reporting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As a “smaller reporting company” as defined by Rule 12b-2 of the Exchange Act, and pursuant to Item 305 of Regulation S-K, we are not required to disclose information under this section. </w:t>
      </w:r>
    </w:p>
    <w:p>
      <w:pPr>
        <w:pStyle w:val="TextBody"/>
        <w:bidi w:val="0"/>
        <w:spacing w:before="0" w:after="0"/>
        <w:jc w:val="right"/>
        <w:rPr>
          <w:rFonts w:ascii="Times New Roman" w:hAnsi="Times New Roman"/>
          <w:b/>
          <w:sz w:val="20"/>
        </w:rPr>
      </w:pPr>
      <w:bookmarkStart w:id="16" w:name="d26249dex993.htm"/>
      <w:bookmarkStart w:id="17" w:name="ksd26249dex993"/>
      <w:bookmarkEnd w:id="16"/>
      <w:bookmarkEnd w:id="1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The following unaudited pro forma condensed combined financial information as of March 31, 2026 presents the combination of the unaudited consolidated combined financial statements as of March 31, 2026 of GigCapital7 Corp. (the “</w:t>
      </w:r>
      <w:r>
        <w:rPr>
          <w:rFonts w:ascii="Times New Roman" w:hAnsi="Times New Roman"/>
          <w:sz w:val="20"/>
          <w:u w:val="single"/>
        </w:rPr>
        <w:t>Company</w:t>
      </w:r>
      <w:r>
        <w:rPr>
          <w:rFonts w:ascii="Times New Roman" w:hAnsi="Times New Roman"/>
          <w:sz w:val="20"/>
        </w:rPr>
        <w:t>”), and to be known as Hadron Energy, Inc. upon the closing (the “</w:t>
      </w:r>
      <w:r>
        <w:rPr>
          <w:rFonts w:ascii="Times New Roman" w:hAnsi="Times New Roman"/>
          <w:sz w:val="20"/>
          <w:u w:val="single"/>
        </w:rPr>
        <w:t>Closing</w:t>
      </w:r>
      <w:r>
        <w:rPr>
          <w:rFonts w:ascii="Times New Roman" w:hAnsi="Times New Roman"/>
          <w:sz w:val="20"/>
        </w:rPr>
        <w:t>”) of the merger that occurred on May 22, 2026 (the “</w:t>
      </w:r>
      <w:r>
        <w:rPr>
          <w:rFonts w:ascii="Times New Roman" w:hAnsi="Times New Roman"/>
          <w:sz w:val="20"/>
          <w:u w:val="single"/>
        </w:rPr>
        <w:t>Merger</w:t>
      </w:r>
      <w:r>
        <w:rPr>
          <w:rFonts w:ascii="Times New Roman" w:hAnsi="Times New Roman"/>
          <w:sz w:val="20"/>
        </w:rPr>
        <w:t>”) of MMR Merger Sub, Inc., a Delaware corporation and a direct wholly owned subsidiary of the Company (“</w:t>
      </w:r>
      <w:r>
        <w:rPr>
          <w:rFonts w:ascii="Times New Roman" w:hAnsi="Times New Roman"/>
          <w:sz w:val="20"/>
          <w:u w:val="single"/>
        </w:rPr>
        <w:t>Merger Sub</w:t>
      </w:r>
      <w:r>
        <w:rPr>
          <w:rFonts w:ascii="Times New Roman" w:hAnsi="Times New Roman"/>
          <w:sz w:val="20"/>
        </w:rPr>
        <w:t>”) with and into Hadron Energy, Inc. (the “</w:t>
      </w:r>
      <w:r>
        <w:rPr>
          <w:rFonts w:ascii="Times New Roman" w:hAnsi="Times New Roman"/>
          <w:sz w:val="20"/>
          <w:u w:val="single"/>
        </w:rPr>
        <w:t>Target</w:t>
      </w:r>
      <w:r>
        <w:rPr>
          <w:rFonts w:ascii="Times New Roman" w:hAnsi="Times New Roman"/>
          <w:sz w:val="20"/>
        </w:rPr>
        <w:t>”) and the other transactions contemplated by the Business Combination Agreement (the “</w:t>
      </w:r>
      <w:r>
        <w:rPr>
          <w:rFonts w:ascii="Times New Roman" w:hAnsi="Times New Roman"/>
          <w:sz w:val="20"/>
          <w:u w:val="single"/>
        </w:rPr>
        <w:t>Business Combination Agreement</w:t>
      </w:r>
      <w:r>
        <w:rPr>
          <w:rFonts w:ascii="Times New Roman" w:hAnsi="Times New Roman"/>
          <w:sz w:val="20"/>
        </w:rPr>
        <w:t>”) by and between the Company, Merger Sub and Target, dated as of September 27, 2025, as amended by that certain First Amendment to Business Combination Agreement, dated as of December 12, 2025, and by that certain Second Amendment to Business Combination Agreement, dated as of April 16, 2026 (the “</w:t>
      </w:r>
      <w:r>
        <w:rPr>
          <w:rFonts w:ascii="Times New Roman" w:hAnsi="Times New Roman"/>
          <w:sz w:val="20"/>
          <w:u w:val="single"/>
        </w:rPr>
        <w:t>Business Combination</w:t>
      </w:r>
      <w:r>
        <w:rPr>
          <w:rFonts w:ascii="Times New Roman" w:hAnsi="Times New Roman"/>
          <w:sz w:val="20"/>
        </w:rPr>
        <w:t>”)) and the unaudited financial statements as of March 31, 2026 of the Target, adjusted to give effect to the Business Combination and related transactions. Upon the Closing of the Merger, the Target’s name will be changed to Hadron Energy Operating Company Inc. The following unaudited pro forma condensed combined financial statements have been prepared in accordance with Article 11 of Regulation S-X as amended by the final rule, Release No. 33-10786 “Amendments to Financial Disclosures about Acquired and Disposed Businesses” to depict the accounting for the transaction (“</w:t>
      </w:r>
      <w:r>
        <w:rPr>
          <w:rFonts w:ascii="Times New Roman" w:hAnsi="Times New Roman"/>
          <w:sz w:val="20"/>
          <w:u w:val="single"/>
        </w:rPr>
        <w:t>Transaction Accounting Adjustments</w:t>
      </w:r>
      <w:r>
        <w:rPr>
          <w:rFonts w:ascii="Times New Roman" w:hAnsi="Times New Roman"/>
          <w:sz w:val="20"/>
        </w:rPr>
        <w:t>”) and present the reasonably estimable synergies and other transaction effects that have occurred or are reasonably expected to occur (“</w:t>
      </w:r>
      <w:r>
        <w:rPr>
          <w:rFonts w:ascii="Times New Roman" w:hAnsi="Times New Roman"/>
          <w:sz w:val="20"/>
          <w:u w:val="single"/>
        </w:rPr>
        <w:t>Management’s Adjustments</w:t>
      </w:r>
      <w:r>
        <w:rPr>
          <w:rFonts w:ascii="Times New Roman" w:hAnsi="Times New Roman"/>
          <w:sz w:val="20"/>
        </w:rPr>
        <w:t xml:space="preserve">”). The Company has elected not to present Management’s Adjustments and will only be presenting Transaction Accounting Adjustments in the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as of March 31, 2026, assumes that the Business Combination occurred on March 31, 2026. The unaudited pro forma combined statement of operations for the three months ended March 31, 2026 combines the historical unaudited condensed statements of operations of GigCapital7 for the three months ended March 31, 2026 and the historical unaudited condensed consolidated statement of operations of Hadron Energy for the three months ended March 31, 2026, on a pro forma basis as if the Business Combination had been consummated on January 1, 2025, the beginning of the earliest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statement of operations for the year ended December 31, 2025 combines the historical audited statements of operations of GigCapital7 for the year ended December 31, 2025 and the historical audited consolidated statement of operations of Hadron Energy for the year ended December 31, 2025, on a pro forma basis as if the Business Combination had been consummated on January 1, 2025. </w:t>
      </w:r>
    </w:p>
    <w:p>
      <w:pPr>
        <w:pStyle w:val="TextBody"/>
        <w:bidi w:val="0"/>
        <w:spacing w:before="240" w:after="0"/>
        <w:jc w:val="left"/>
        <w:rPr>
          <w:rFonts w:ascii="Times New Roman" w:hAnsi="Times New Roman"/>
          <w:sz w:val="20"/>
        </w:rPr>
      </w:pPr>
      <w:r>
        <w:rPr>
          <w:rFonts w:ascii="Times New Roman" w:hAnsi="Times New Roman"/>
          <w:sz w:val="20"/>
        </w:rPr>
        <w:t>The unaudited pro forma condensed combined financial statements have been presented for illustrative purposes only and do not necessarily reflect the Company’s financial condition upon the Closing of the Merger and the Business Combination (the Company following such Closing, the “</w:t>
      </w:r>
      <w:r>
        <w:rPr>
          <w:rFonts w:ascii="Times New Roman" w:hAnsi="Times New Roman"/>
          <w:sz w:val="20"/>
          <w:u w:val="single"/>
        </w:rPr>
        <w:t>Post-Combination Company</w:t>
      </w:r>
      <w:r>
        <w:rPr>
          <w:rFonts w:ascii="Times New Roman" w:hAnsi="Times New Roman"/>
          <w:sz w:val="20"/>
        </w:rPr>
        <w:t xml:space="preserve">”) or would have been had the Business Combination occurred on the dates indicated. Further, the pro forma condensed combined financial statements also may not be useful in predicting the future financial condition of the Post-Combination Company. Although it is not expected, the actual financial position of the Post-Combination Company may differ from the pro forma amounts reflected herein due to a variety of factors.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information of the Company was derived from the unaudited consolidated financial statements of the Company as of March 31, 2026 previously filed with the SEC by the Company on its Quarterly Report on Form 10-Q on May 6, 2026. The historical financial information of the Target was derived from the unaudited financial statements of the Target as of March 31, 2026. This information should be read together with the Company’s and the Target’s financial statements and related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On September 27, 2025, the Company entered into the Business Combination Agreement with the Target and Merger Sub, pursuant to which, among other things, subject to shareholder approval, following the domestication of the Company from the Cayman Islands to Delaware, which occurred on May 8, 2026 (the “</w:t>
      </w:r>
      <w:r>
        <w:rPr>
          <w:rFonts w:ascii="Times New Roman" w:hAnsi="Times New Roman"/>
          <w:sz w:val="20"/>
          <w:u w:val="single"/>
        </w:rPr>
        <w:t>Domestication</w:t>
      </w:r>
      <w:r>
        <w:rPr>
          <w:rFonts w:ascii="Times New Roman" w:hAnsi="Times New Roman"/>
          <w:sz w:val="20"/>
        </w:rPr>
        <w:t xml:space="preserve">”), Merger Sub will merge with and into the Target, with the Target surviving as a wholly-owned subsidiary of the Company, resulting in a combined company whereby the Company will become the parent company of the Target, and substantially all of the assets and the business of the combined company will be held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Prior to and as a condition of the Closing, pursuant to the Domestication, GigCapital7 changed its jurisdiction of incorporation by migrating to and domesticating as a Delaware corporation in accordance with Section 388 of the Delaware General Corporation Law (the “</w:t>
      </w:r>
      <w:r>
        <w:rPr>
          <w:rFonts w:ascii="Times New Roman" w:hAnsi="Times New Roman"/>
          <w:sz w:val="20"/>
          <w:u w:val="single"/>
        </w:rPr>
        <w:t>DGCL</w:t>
      </w:r>
      <w:r>
        <w:rPr>
          <w:rFonts w:ascii="Times New Roman" w:hAnsi="Times New Roman"/>
          <w:sz w:val="20"/>
        </w:rPr>
        <w:t>”), and the Companies Act (as revised) of the Cayman Islands (the “</w:t>
      </w:r>
      <w:r>
        <w:rPr>
          <w:rFonts w:ascii="Times New Roman" w:hAnsi="Times New Roman"/>
          <w:sz w:val="20"/>
          <w:u w:val="single"/>
        </w:rPr>
        <w:t>Companies Act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on May 8, 2026, changed its jurisdiction of incorporation by effecting a deregistration under Section 206 of the Companies Act and a domestication under Section 388 of the DGCL, pursuant to which the Company’s jurisdiction of incorporation was changed from the Cayman Islands to the State of Delaware. The Company has provided its public stockholders the opportunity to redeem their public shares on the terms and conditions set forth in the Business Combination Agreement and the Company’s governing documents. A total of 16,834,491 public shares have been tendered for redemption and the Company will complete the redemption of these properly tendered public shares promptly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Domestication, (i) each then issued and outstanding Class A ordinary share (other than any Class A ordinary share included in the Company’s units) was converted automatically, on a one-for-one basis, into one (1) share of the Company’s common stock, (ii) each then issued and outstanding Class B ordinary share was converted automatically, on a one-for-one basis, into one (1) share of the Company’s Class B common stock, (iii) each then issued and outstanding warrant of the Company (other than any public warrants included in the Company’s units) was converted automatically into a warrant for the purchase of the Company’s common stock, pursuant to the warrant agreement of the Company, and (iv) each then issued and outstanding unit of the Company was cancelled and thereafter entitled the holder thereof to one (1) share of the Company’s common stock and one (1) warrant for the purchase of the Company’s common stock, in each case without any action on the part of the Company, Merger Sub, target or any holder of securities of any of the foregoing.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and Consideration </w:t>
      </w:r>
    </w:p>
    <w:p>
      <w:pPr>
        <w:pStyle w:val="TextBody"/>
        <w:bidi w:val="0"/>
        <w:spacing w:before="120" w:after="0"/>
        <w:jc w:val="left"/>
        <w:rPr>
          <w:rFonts w:ascii="Times New Roman" w:hAnsi="Times New Roman"/>
          <w:sz w:val="20"/>
        </w:rPr>
      </w:pPr>
      <w:r>
        <w:rPr>
          <w:rFonts w:ascii="Times New Roman" w:hAnsi="Times New Roman"/>
          <w:sz w:val="20"/>
        </w:rPr>
        <w:t>Following the Domestication, at the Effective Time (as defined in the Business Combination Agreement), by virtue of the Merger, each share of capital stock of Merger Sub issued and outstanding immediately prior to the effective time of the Merger (the “</w:t>
      </w:r>
      <w:r>
        <w:rPr>
          <w:rFonts w:ascii="Times New Roman" w:hAnsi="Times New Roman"/>
          <w:sz w:val="20"/>
          <w:u w:val="single"/>
        </w:rPr>
        <w:t>Effective Time</w:t>
      </w:r>
      <w:r>
        <w:rPr>
          <w:rFonts w:ascii="Times New Roman" w:hAnsi="Times New Roman"/>
          <w:sz w:val="20"/>
        </w:rPr>
        <w:t xml:space="preserve">”) shall be automatically cancelled and extinguished and converted into one (1) share of common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and in accordance with the terms and conditions of the Business Combination Agreement, immediately prior to or at the Effective Time: </w:t>
      </w:r>
    </w:p>
    <w:p>
      <w:pPr>
        <w:pStyle w:val="TextBody"/>
        <w:bidi w:val="0"/>
        <w:spacing w:before="120" w:after="0"/>
        <w:jc w:val="left"/>
        <w:rPr>
          <w:rFonts w:ascii="Times New Roman" w:hAnsi="Times New Roman"/>
          <w:sz w:val="20"/>
        </w:rPr>
      </w:pPr>
      <w:r>
        <w:rPr>
          <w:rFonts w:ascii="Times New Roman" w:hAnsi="Times New Roman"/>
          <w:sz w:val="20"/>
        </w:rPr>
        <w:t>(a) each issued and outstanding share of common stock of the Target (the “</w:t>
      </w:r>
      <w:r>
        <w:rPr>
          <w:rFonts w:ascii="Times New Roman" w:hAnsi="Times New Roman"/>
          <w:sz w:val="20"/>
          <w:u w:val="single"/>
        </w:rPr>
        <w:t>Target Common Stock</w:t>
      </w:r>
      <w:r>
        <w:rPr>
          <w:rFonts w:ascii="Times New Roman" w:hAnsi="Times New Roman"/>
          <w:sz w:val="20"/>
        </w:rPr>
        <w:t>”), except for (a) shares held by the Company or Merger Sub (or any subsidiaries of the Company), (b) shares held by the Target as treasury stock, if any (each share covered in subclause (a) and (b), an “</w:t>
      </w:r>
      <w:r>
        <w:rPr>
          <w:rFonts w:ascii="Times New Roman" w:hAnsi="Times New Roman"/>
          <w:sz w:val="20"/>
          <w:u w:val="single"/>
        </w:rPr>
        <w:t>Excluded Share</w:t>
      </w:r>
      <w:r>
        <w:rPr>
          <w:rFonts w:ascii="Times New Roman" w:hAnsi="Times New Roman"/>
          <w:sz w:val="20"/>
        </w:rPr>
        <w:t>”), (c) shares held by stockholders who have properly exercised and not withdrawn appraisal rights under Delaware law (the “</w:t>
      </w:r>
      <w:r>
        <w:rPr>
          <w:rFonts w:ascii="Times New Roman" w:hAnsi="Times New Roman"/>
          <w:sz w:val="20"/>
          <w:u w:val="single"/>
        </w:rPr>
        <w:t>Dissenting Shares</w:t>
      </w:r>
      <w:r>
        <w:rPr>
          <w:rFonts w:ascii="Times New Roman" w:hAnsi="Times New Roman"/>
          <w:sz w:val="20"/>
        </w:rPr>
        <w:t>”), and (d) shares of the Target Common Stock issued pursuant to an award of restricted stock that is, as of immediately prior to the date of the Closing, subject to a substantial risk of forfeiture and is not transferable (the “</w:t>
      </w:r>
      <w:r>
        <w:rPr>
          <w:rFonts w:ascii="Times New Roman" w:hAnsi="Times New Roman"/>
          <w:sz w:val="20"/>
          <w:u w:val="single"/>
        </w:rPr>
        <w:t>Target Restricted Shares</w:t>
      </w:r>
      <w:r>
        <w:rPr>
          <w:rFonts w:ascii="Times New Roman" w:hAnsi="Times New Roman"/>
          <w:sz w:val="20"/>
        </w:rPr>
        <w:t xml:space="preserve">”), will be cancelled and converted into the right to receive the Per Share Merger Consideration (as defined below), as set forth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each Excluded Share shall be automatically cancelled and retired without any conversion thereof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(c) each option to purchase shares of Target Common Stock (each, a “</w:t>
      </w:r>
      <w:r>
        <w:rPr>
          <w:rFonts w:ascii="Times New Roman" w:hAnsi="Times New Roman"/>
          <w:sz w:val="20"/>
          <w:u w:val="single"/>
        </w:rPr>
        <w:t>Target Option</w:t>
      </w:r>
      <w:r>
        <w:rPr>
          <w:rFonts w:ascii="Times New Roman" w:hAnsi="Times New Roman"/>
          <w:sz w:val="20"/>
        </w:rPr>
        <w:t>”) that is outstanding immediately prior to the Effective Time will be automatically assumed by the Company and converted into an option to purchase a number of shares of the Company’s common stock (such option, an “</w:t>
      </w:r>
      <w:r>
        <w:rPr>
          <w:rFonts w:ascii="Times New Roman" w:hAnsi="Times New Roman"/>
          <w:sz w:val="20"/>
          <w:u w:val="single"/>
        </w:rPr>
        <w:t>Exchanged Option</w:t>
      </w:r>
      <w:r>
        <w:rPr>
          <w:rFonts w:ascii="Times New Roman" w:hAnsi="Times New Roman"/>
          <w:sz w:val="20"/>
        </w:rPr>
        <w:t>”), equal to the product (rounded down to the nearest whole number) of (x) the number of shares of Target Common Stock subject to such Target Option immediately prior to the Effective Time and (y) the Exchange Ratio (as defined below), at an exercise price per share (rounded up to the nearest whole cent) equal to the quotient of (A) the exercise price per share of such Target Option immediately prior to the Effective Time divided by (B) the Exchange Ratio; provided, that the assumption and adjustment of the unvested Target Options shall be completed in a manner that satisfies the requirements of Section 409A of the U.S. Internal Revenue Code of 1986, as amended (the “</w:t>
      </w:r>
      <w:r>
        <w:rPr>
          <w:rFonts w:ascii="Times New Roman" w:hAnsi="Times New Roman"/>
          <w:sz w:val="20"/>
          <w:u w:val="single"/>
        </w:rPr>
        <w:t>Code</w:t>
      </w:r>
      <w:r>
        <w:rPr>
          <w:rFonts w:ascii="Times New Roman" w:hAnsi="Times New Roman"/>
          <w:sz w:val="20"/>
        </w:rPr>
        <w:t xml:space="preserve">”) and, with respect to any Target Option intended to be an “incentive stock option,” Code Section 4249a and the applicable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each award of the Target Restricted Shares (a “</w:t>
      </w:r>
      <w:r>
        <w:rPr>
          <w:rFonts w:ascii="Times New Roman" w:hAnsi="Times New Roman"/>
          <w:sz w:val="20"/>
          <w:u w:val="single"/>
        </w:rPr>
        <w:t>Target Restricted Share Award</w:t>
      </w:r>
      <w:r>
        <w:rPr>
          <w:rFonts w:ascii="Times New Roman" w:hAnsi="Times New Roman"/>
          <w:sz w:val="20"/>
        </w:rPr>
        <w:t>”) that is outstanding immediately prior to the Effective Time will be automatically assumed by the Company such that each Target Restricted Share Award will be converted into an award for a number of restricted shares of the Company’s common stock (such award, an “</w:t>
      </w:r>
      <w:r>
        <w:rPr>
          <w:rFonts w:ascii="Times New Roman" w:hAnsi="Times New Roman"/>
          <w:sz w:val="20"/>
          <w:u w:val="single"/>
        </w:rPr>
        <w:t>Exchanged RSAs</w:t>
      </w:r>
      <w:r>
        <w:rPr>
          <w:rFonts w:ascii="Times New Roman" w:hAnsi="Times New Roman"/>
          <w:sz w:val="20"/>
        </w:rPr>
        <w:t xml:space="preserve">”), equal to the product (rounded down to the nearest whole number) of (x) the number of shares of Target Restricted Shares and (y) the Exchange Ratio (as defined below); </w:t>
      </w:r>
    </w:p>
    <w:p>
      <w:pPr>
        <w:pStyle w:val="TextBody"/>
        <w:bidi w:val="0"/>
        <w:spacing w:before="120" w:after="0"/>
        <w:jc w:val="left"/>
        <w:rPr>
          <w:rFonts w:ascii="Times New Roman" w:hAnsi="Times New Roman"/>
          <w:sz w:val="20"/>
        </w:rPr>
      </w:pPr>
      <w:r>
        <w:rPr>
          <w:rFonts w:ascii="Times New Roman" w:hAnsi="Times New Roman"/>
          <w:sz w:val="20"/>
        </w:rPr>
        <w:t>(e) each of the Target’s Simple Agreements for Future Equity (the “</w:t>
      </w:r>
      <w:r>
        <w:rPr>
          <w:rFonts w:ascii="Times New Roman" w:hAnsi="Times New Roman"/>
          <w:sz w:val="20"/>
          <w:u w:val="single"/>
        </w:rPr>
        <w:t>SAFEs</w:t>
      </w:r>
      <w:r>
        <w:rPr>
          <w:rFonts w:ascii="Times New Roman" w:hAnsi="Times New Roman"/>
          <w:sz w:val="20"/>
        </w:rPr>
        <w:t xml:space="preserve">”) that is outstanding, immediately prior to the Effective Time will automatically convert into a number of shares of Target Common Stock determined in accordance with the terms of such SAFE, with such shares to be treated as Target Common Stock and will receive the consideration described above for Target Common Stock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each share of the Company’s Class B common stock that is outstanding immediately prior to the Effective Time will be, by virtue of the Merger and the applicable provisions of the amended and restated certificate of incorporation of the Company, automatically cancelled and extinguished and converted into one (1) share of the Company’s common stock; and </w:t>
      </w:r>
    </w:p>
    <w:p>
      <w:pPr>
        <w:pStyle w:val="TextBody"/>
        <w:bidi w:val="0"/>
        <w:spacing w:before="120" w:after="0"/>
        <w:jc w:val="left"/>
        <w:rPr>
          <w:rFonts w:ascii="Times New Roman" w:hAnsi="Times New Roman"/>
          <w:sz w:val="20"/>
        </w:rPr>
      </w:pPr>
      <w:r>
        <w:rPr>
          <w:rFonts w:ascii="Times New Roman" w:hAnsi="Times New Roman"/>
          <w:sz w:val="20"/>
        </w:rPr>
        <w:t>(g) the Company will redeem the public shares properly tendered for redemption in connection with the Business Combination pursuant to its certificate of incorporation (the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Business Combination Agreement, the consideration to be paid in the Merger in respect of each share of Target Common Stock that is issued and outstanding immediately prior to the Effective Time, will be the Per Share Merger Consideration, which is a number of shares of the Company’s common stock equal to the Exchange Ratio. The “</w:t>
      </w:r>
      <w:r>
        <w:rPr>
          <w:rFonts w:ascii="Times New Roman" w:hAnsi="Times New Roman"/>
          <w:sz w:val="20"/>
          <w:u w:val="single"/>
        </w:rPr>
        <w:t>Exchange Ratio</w:t>
      </w:r>
      <w:r>
        <w:rPr>
          <w:rFonts w:ascii="Times New Roman" w:hAnsi="Times New Roman"/>
          <w:sz w:val="20"/>
        </w:rPr>
        <w:t>” means the quotient of: (a) the Aggregate Merger Consideration (as such term is defined below); divided by (b) the Target Fully Diluted Capital (as such term is defined below). The “</w:t>
      </w:r>
      <w:r>
        <w:rPr>
          <w:rFonts w:ascii="Times New Roman" w:hAnsi="Times New Roman"/>
          <w:sz w:val="20"/>
          <w:u w:val="single"/>
        </w:rPr>
        <w:t>Aggregate Merger Consideration</w:t>
      </w:r>
      <w:r>
        <w:rPr>
          <w:rFonts w:ascii="Times New Roman" w:hAnsi="Times New Roman"/>
          <w:sz w:val="20"/>
        </w:rPr>
        <w:t>” means the number of shares of the Company’s common stock equal to the difference of: (a) the Aggregate Company Common Stock (as defined below); minus (b) 13,333,333 shares of the Company’s common Stock; provided, however, that if the Target has any indebtedness outstanding as of the closing of the Merger, the Aggregate Merger Consideration shall be further reduced by a number of shares of the Company’s common stock equal to the amount of such indebtedness divided by $10.59 (the “</w:t>
      </w:r>
      <w:r>
        <w:rPr>
          <w:rFonts w:ascii="Times New Roman" w:hAnsi="Times New Roman"/>
          <w:sz w:val="20"/>
          <w:u w:val="single"/>
        </w:rPr>
        <w:t>Per Share Price</w:t>
      </w:r>
      <w:r>
        <w:rPr>
          <w:rFonts w:ascii="Times New Roman" w:hAnsi="Times New Roman"/>
          <w:sz w:val="20"/>
        </w:rPr>
        <w:t>”) (rounded down to the nearest whole share). The “</w:t>
      </w:r>
      <w:r>
        <w:rPr>
          <w:rFonts w:ascii="Times New Roman" w:hAnsi="Times New Roman"/>
          <w:sz w:val="20"/>
          <w:u w:val="single"/>
        </w:rPr>
        <w:t>Aggregate Company Common Stock</w:t>
      </w:r>
      <w:r>
        <w:rPr>
          <w:rFonts w:ascii="Times New Roman" w:hAnsi="Times New Roman"/>
          <w:sz w:val="20"/>
        </w:rPr>
        <w:t>” means the number of shares of the Company’s common stock equal to the quotient of: (a) $776,599,997; divided by (b) the Per Share Price. The “</w:t>
      </w:r>
      <w:r>
        <w:rPr>
          <w:rFonts w:ascii="Times New Roman" w:hAnsi="Times New Roman"/>
          <w:sz w:val="20"/>
          <w:u w:val="single"/>
        </w:rPr>
        <w:t>Target Fully Diluted Capital</w:t>
      </w:r>
      <w:r>
        <w:rPr>
          <w:rFonts w:ascii="Times New Roman" w:hAnsi="Times New Roman"/>
          <w:sz w:val="20"/>
        </w:rPr>
        <w:t xml:space="preserve">” means the sum (without duplication) of the aggregate number of (a) shares of Target Common Stock (other than Target Restricted Shares) that are issued and outstanding immediately prior to the Effective Time assuming and after giving effect to the amendment and conversion of all SAFEs, (b) Target Restricted Shares that are issued and outstanding immediately prior to the Effective Time, and (c) all shares of Target Common Stock issuable upon full exercise of all Target Options outstanding as of immediately prior to the Effective Time (calculated using the treasury method of accounting on a cashless exercise basis). </w:t>
      </w:r>
    </w:p>
    <w:p>
      <w:pPr>
        <w:pStyle w:val="TextBody"/>
        <w:bidi w:val="0"/>
        <w:spacing w:before="360" w:after="0"/>
        <w:jc w:val="left"/>
        <w:rPr>
          <w:rFonts w:ascii="Times New Roman" w:hAnsi="Times New Roman"/>
          <w:i/>
          <w:sz w:val="20"/>
        </w:rPr>
      </w:pPr>
      <w:r>
        <w:rPr>
          <w:rFonts w:ascii="Times New Roman" w:hAnsi="Times New Roman"/>
          <w:i/>
          <w:sz w:val="20"/>
        </w:rPr>
        <w:t xml:space="preserve">The Sponsor Share Conversion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the Company’s Class B common stock then issued and outstanding shall be automatically cancelled and extinguished and converted into one (1) share of the Company’s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The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provide an opportunity to the holders of its public shares for the Redemption. The Company will carry out the Redemption at the Effective Time in accordance with its certificate of incorporation. </w:t>
      </w:r>
    </w:p>
    <w:p>
      <w:pPr>
        <w:pStyle w:val="TextBody"/>
        <w:bidi w:val="0"/>
        <w:spacing w:before="360" w:after="0"/>
        <w:jc w:val="left"/>
        <w:rPr>
          <w:rFonts w:ascii="Times New Roman" w:hAnsi="Times New Roman"/>
          <w:i/>
          <w:sz w:val="20"/>
        </w:rPr>
      </w:pPr>
      <w:r>
        <w:rPr>
          <w:rFonts w:ascii="Times New Roman" w:hAnsi="Times New Roman"/>
          <w:i/>
          <w:sz w:val="20"/>
        </w:rPr>
        <w:t xml:space="preserve">The 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Merger will occur as promptly as practicable, but in no event later than three (3) business days, after the satisfaction or, if permissible, waiver of the conditions set forth in the Business Combination Agreement, or at such other date, time, or place as the Company and the Target may agree.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immediately following the consummation of the Business Combination, the Company will be renamed “Hadron Energy,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accounted for as a reverse recapitalization in accordance with GAAP. Under this method of accounting, although the Company will acquire all of the outstanding equity interests of the Target in the Business Combination, the Company will be treated as the “acquired” company and the Target will be treated as the accounting acquirer for financial statement reporting purposes. Accordingly, the Business Combination will be treated as the equivalent of the Target issuing stock for the net assets of the Company, accompanied by a recapitalization. The net assets of the Company will be stated at historical cost, with no goodwill or other intangible assets recorded. Operations prior to the Business Combination will be those of the Target. </w:t>
      </w:r>
    </w:p>
    <w:p>
      <w:pPr>
        <w:pStyle w:val="TextBody"/>
        <w:bidi w:val="0"/>
        <w:spacing w:before="240" w:after="0"/>
        <w:jc w:val="left"/>
        <w:rPr>
          <w:rFonts w:ascii="Times New Roman" w:hAnsi="Times New Roman"/>
          <w:sz w:val="20"/>
        </w:rPr>
      </w:pPr>
      <w:r>
        <w:rPr>
          <w:rFonts w:ascii="Times New Roman" w:hAnsi="Times New Roman"/>
          <w:sz w:val="20"/>
        </w:rPr>
        <w:t xml:space="preserve">The Target has been determined to be the accounting acquirer based on evaluation of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the Target will have the greatest voting interest in the Post-Combination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the Target will have the ability to control decisions regarding election and removal of directors and officers of the Post-Combination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Target will comprise the ongoing operations of the Post-Combination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Target’s existing senior management will be the senior management of the Post-Combination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Target’s headquarters will become the Post-Combination Company’s headquarters;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Post-Combination Company will assume the name Hadron Energy, Inc.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has been adjusted to give pro forma effect to events that are related and/or directly attributable to the Business Combination and are factually supportable. 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Post-Combination Company will experience. The Company and the Target have not had any historical relationship prior to the Business Combination. Accordingly, no pro forma adjustments were required to eliminate activities between the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 FORMA CONDENSED COMBINED BALANCE SHEET AS OF MARCH 31, 2026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1"/>
        <w:gridCol w:w="134"/>
        <w:gridCol w:w="140"/>
        <w:gridCol w:w="1286"/>
        <w:gridCol w:w="155"/>
        <w:gridCol w:w="80"/>
        <w:gridCol w:w="140"/>
        <w:gridCol w:w="1220"/>
        <w:gridCol w:w="155"/>
        <w:gridCol w:w="80"/>
        <w:gridCol w:w="60"/>
        <w:gridCol w:w="275"/>
        <w:gridCol w:w="155"/>
        <w:gridCol w:w="80"/>
        <w:gridCol w:w="140"/>
        <w:gridCol w:w="1353"/>
        <w:gridCol w:w="155"/>
        <w:gridCol w:w="80"/>
        <w:gridCol w:w="140"/>
        <w:gridCol w:w="1245"/>
        <w:gridCol w:w="161"/>
      </w:tblGrid>
      <w:tr>
        <w:trPr/>
        <w:tc>
          <w:tcPr>
            <w:tcW w:w="297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GigCapital7</w:t>
              <w:br/>
              <w:t>Corp.</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Hadron</w:t>
              <w:br/>
              <w:t>Energy, Inc.</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Balance Sheet</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6" w:type="dxa"/>
            <w:tcBorders/>
            <w:shd w:fill="CCEEFF" w:val="clear"/>
            <w:vAlign w:val="bottom"/>
          </w:tcPr>
          <w:p>
            <w:pPr>
              <w:pStyle w:val="TableContents"/>
              <w:bidi w:val="0"/>
              <w:spacing w:before="0" w:after="283"/>
              <w:jc w:val="right"/>
              <w:rPr/>
            </w:pPr>
            <w:r>
              <w:rPr/>
              <w:t>54,692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2,129,451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33,911,059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23,726,633</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(5,851,464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(6,517,105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154,351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81,134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235,485</w:t>
            </w:r>
          </w:p>
        </w:tc>
        <w:tc>
          <w:tcPr>
            <w:tcW w:w="161" w:type="dxa"/>
            <w:tcBorders/>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209,043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2,210,585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21,542,490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23,962,118</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Cash and marketable securities held in Trust Account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213,506,528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(213,506,528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35,419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35,419</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60,611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60,611</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transaction costs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2,290,926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(2,290,926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Deriviateve asset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6" w:type="dxa"/>
            <w:tcBorders/>
            <w:shd w:fill="CCEEFF" w:val="clear"/>
            <w:vAlign w:val="bottom"/>
          </w:tcPr>
          <w:p>
            <w:pPr>
              <w:pStyle w:val="TableContents"/>
              <w:bidi w:val="0"/>
              <w:spacing w:before="0" w:after="283"/>
              <w:jc w:val="right"/>
              <w:rPr/>
            </w:pPr>
            <w:r>
              <w:rPr/>
              <w:t>213,715,571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4,597,541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(194,254,964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24,058,148</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ORDINARY SHARES AND SHAREHOLDERS’ EQUITY (DEFICIT)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6" w:type="dxa"/>
            <w:tcBorders/>
            <w:vAlign w:val="bottom"/>
          </w:tcPr>
          <w:p>
            <w:pPr>
              <w:pStyle w:val="TableContents"/>
              <w:bidi w:val="0"/>
              <w:spacing w:before="0" w:after="283"/>
              <w:jc w:val="right"/>
              <w:rPr/>
            </w:pPr>
            <w:r>
              <w:rPr/>
              <w:t>333,683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1,832,385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(1,475,191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357,194</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(333,683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payable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138,514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138,514</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legal services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2,649,839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(2,649,839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638,453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11,908,228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252,866</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(638,453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(11,655,362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20,946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20,946</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3,760,489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13,761,559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(16,752,528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769,520</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10,022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10,022</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Simple Agreements for Future Equity (SAFEs)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34,524,160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(34,524,160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1,182,642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1,182,642</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4,943,131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48,295,741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(51,276,688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1,962,184</w:t>
            </w:r>
          </w:p>
        </w:tc>
        <w:tc>
          <w:tcPr>
            <w:tcW w:w="161" w:type="dxa"/>
            <w:tcBorders/>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213,406,528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(213,406,528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par value of $0.0001 per share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of $0.0001 per share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of $0.0001 per share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Post-Combination Company common stock</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2,000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10,738</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1,588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7,150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15,302,583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(2,488,193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81,086,264</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34,524,160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33,809,059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(7,150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(5,858,092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(5,851,464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(H</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11,655,362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(4,635,421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(59,001,038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(1,222,671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(59,001,038</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5,858,092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(4,634,088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(43,698,200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70,428,252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22,095,964</w:t>
            </w:r>
          </w:p>
        </w:tc>
        <w:tc>
          <w:tcPr>
            <w:tcW w:w="161" w:type="dxa"/>
            <w:tcBorders/>
            <w:shd w:fill="CCEEFF" w:val="clear"/>
            <w:vAlign w:val="bottom"/>
          </w:tcPr>
          <w:p>
            <w:pPr>
              <w:pStyle w:val="TableContents"/>
              <w:bidi w:val="0"/>
              <w:spacing w:before="0" w:after="283"/>
              <w:jc w:val="left"/>
              <w:rPr/>
            </w:pPr>
            <w:r>
              <w:rPr/>
              <w:t> </w:t>
            </w:r>
          </w:p>
        </w:tc>
      </w:tr>
      <w:tr>
        <w:trPr/>
        <w:tc>
          <w:tcPr>
            <w:tcW w:w="297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ORDINARY SHARES AND SHAREHOLDERS’ EQUITY (DEFICIT)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6" w:type="dxa"/>
            <w:tcBorders/>
            <w:vAlign w:val="bottom"/>
          </w:tcPr>
          <w:p>
            <w:pPr>
              <w:pStyle w:val="TableContents"/>
              <w:bidi w:val="0"/>
              <w:spacing w:before="0" w:after="283"/>
              <w:jc w:val="right"/>
              <w:rPr/>
            </w:pPr>
            <w:r>
              <w:rPr/>
              <w:t>213,715,571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4,597,541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(194,254,964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24,058,148</w:t>
            </w:r>
          </w:p>
        </w:tc>
        <w:tc>
          <w:tcPr>
            <w:tcW w:w="161" w:type="dxa"/>
            <w:tcBorders/>
            <w:vAlign w:val="bottom"/>
          </w:tcPr>
          <w:p>
            <w:pPr>
              <w:pStyle w:val="TableContents"/>
              <w:bidi w:val="0"/>
              <w:spacing w:before="0" w:after="283"/>
              <w:jc w:val="left"/>
              <w:rPr/>
            </w:pPr>
            <w:r>
              <w:rPr/>
              <w:t> </w:t>
            </w:r>
          </w:p>
        </w:tc>
      </w:tr>
      <w:tr>
        <w:trPr/>
        <w:tc>
          <w:tcPr>
            <w:tcW w:w="297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Adjustments to the Unaudited Pro Forma Condensed Combined Balance Sheet as of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liquidation and reclassification of the $213,506,528 of funds held in the Company’s trust account that after the May 2026 redemptions resulted in the release of $33,911,059 held in the trust account upon consummation of the Business Combination. Additionally, a forward stock purchase agreement was entered into for a purchase amount of $5,851,464 paid at closing from the cash released from the GigCapital7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transaction costs of $7,332,839 incurred by the Company and the Target of $4,844,646 and $2,488,193, respectively. These transactions costs are directly incremental and attributable to the Business Combination and are accounted for as a reduction in the combined cash account with a corresponding reduction in additional paid-in capital or accumulated deficit consistent with the treatment described in SEC Staff Accounting Bulletin Topic 5.A. For the Company’s transaction costs, $333,683 is included in accounts payable and an aggregate of $3,288,292 is included in accrued legal services and accrued liabilities in its unaudited condensed consolidated balance sheet as of March 31, 2026. None of the transaction costs have been paid as of the pro forma balance sheet date. The remaining estimate of costs to be incurred of $1,222,671 is reflected as an adjustment to accumulated deficit. For the Target’s transaction costs, $2,290,926 was capitalized as deferred transaction costs, $1,475,191 was included in accounts payable on its unaudited condensed balance sheet as of March 31, 2026. The estimate of costs to be incurred of $2,488,193 is reflected as an adjustment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the Target’s SAFEs into 3,450,990 shares of the Post-Combination Company’s common stock and the reclassification of its fair value of the SAFEs of $34,524,160 into the equity of Post-Combination Company. The conversion of the Target’s SAFEs into shares of the Post-Combination Company’s common stock was derived based on the overall valuation and valuation cap included in each SAFE agreement. This result was then adjusted for the exchange of shares to be received in the Post-Combination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the 16,834,491 Class A ordinary shares of the Company redeemed at a balance of $180,342,376, which includes interest income after March 31, 2026 to stockholders’ equity of the Post-Combination Company and the immediate conversion of the remaining shares of the Company’s public shares into shares of the Post-Combination Company’s common stock on a one-to-one basis. This adjustment impacts the Post-Combination Company’s common stock (based on the par value of $0.0001 per share) of $2,000 and the remainder of $33,809,059 is recorded in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the par value of the 13,333,333 Class B ordinary shares of the Company of $1,333 and 924,167 shares of Target Common Stock of $255 classified under stockholders’ equity into the Post-Combination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71,498,842 shares of Post-Combination Company common stock to stockholders of the Post-Combination Company. This adjustment impacts the Post-Combination Company’s common stock (based on the par value of $0.0001 per share) and additional paid-in capital by $7,150.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the Company’s historical accumulated deficit of the Company, the accounting acquiree after recording the transaction costs as described in (B)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 of the legal settlement liability of $11,655,362 on the Target’s unaudited condensed balance sheet as of March 31, 2026 that will be issued and settled as equity.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left"/>
        <w:rPr>
          <w:rFonts w:ascii="Times New Roman" w:hAnsi="Times New Roman"/>
          <w:b/>
          <w:sz w:val="20"/>
        </w:rPr>
      </w:pPr>
      <w:r>
        <w:rPr>
          <w:rFonts w:ascii="Times New Roman" w:hAnsi="Times New Roman"/>
          <w:b/>
          <w:sz w:val="20"/>
        </w:rPr>
        <w:t xml:space="preserve">OPERATIONS FOR THE THREE MONTHS PERIOD ENDED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6"/>
        <w:gridCol w:w="133"/>
        <w:gridCol w:w="141"/>
        <w:gridCol w:w="1162"/>
        <w:gridCol w:w="155"/>
        <w:gridCol w:w="77"/>
        <w:gridCol w:w="140"/>
        <w:gridCol w:w="1210"/>
        <w:gridCol w:w="155"/>
        <w:gridCol w:w="77"/>
        <w:gridCol w:w="60"/>
        <w:gridCol w:w="277"/>
        <w:gridCol w:w="155"/>
        <w:gridCol w:w="77"/>
        <w:gridCol w:w="140"/>
        <w:gridCol w:w="1224"/>
        <w:gridCol w:w="154"/>
        <w:gridCol w:w="77"/>
        <w:gridCol w:w="60"/>
        <w:gridCol w:w="305"/>
        <w:gridCol w:w="155"/>
        <w:gridCol w:w="77"/>
        <w:gridCol w:w="140"/>
        <w:gridCol w:w="1154"/>
        <w:gridCol w:w="164"/>
      </w:tblGrid>
      <w:tr>
        <w:trPr/>
        <w:tc>
          <w:tcPr>
            <w:tcW w:w="273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36"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GigCapital7</w:t>
              <w:br/>
              <w:t>Corp.</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Hadron</w:t>
              <w:br/>
              <w:t>Energy, Inc.</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3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1,675,288</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1,562,910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4" w:type="dxa"/>
            <w:tcBorders/>
            <w:vAlign w:val="bottom"/>
          </w:tcPr>
          <w:p>
            <w:pPr>
              <w:pStyle w:val="TableContents"/>
              <w:bidi w:val="0"/>
              <w:spacing w:before="0" w:after="283"/>
              <w:jc w:val="right"/>
              <w:rPr/>
            </w:pPr>
            <w:r>
              <w:rPr/>
              <w:t>3,238,198</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442,807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442,807</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2,734,112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2,734,112</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1,945</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1,945</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legal settlement liability</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(4,689,637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4,689,637</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1,675,288</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b/>
              </w:rPr>
            </w:pPr>
            <w:r>
              <w:rPr>
                <w:b/>
              </w:rPr>
              <w:t>52,137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b/>
              </w:rPr>
            </w:pPr>
            <w:r>
              <w:rPr>
                <w:b/>
              </w:rPr>
              <w:t>4,689,637</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b/>
              </w:rPr>
            </w:pPr>
            <w:r>
              <w:rPr>
                <w:b/>
              </w:rPr>
              <w:t>6,417,062</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(1,675,288</w:t>
            </w:r>
          </w:p>
        </w:tc>
        <w:tc>
          <w:tcPr>
            <w:tcW w:w="155"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(52,137</w:t>
            </w:r>
          </w:p>
        </w:tc>
        <w:tc>
          <w:tcPr>
            <w:tcW w:w="155"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(4,689,637</w:t>
            </w:r>
          </w:p>
        </w:tc>
        <w:tc>
          <w:tcPr>
            <w:tcW w:w="154"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b/>
              </w:rPr>
            </w:pPr>
            <w:r>
              <w:rPr>
                <w:b/>
              </w:rPr>
              <w:t>(6,417,062</w:t>
            </w:r>
          </w:p>
        </w:tc>
        <w:tc>
          <w:tcPr>
            <w:tcW w:w="164" w:type="dxa"/>
            <w:tcBorders/>
            <w:vAlign w:val="bottom"/>
          </w:tcPr>
          <w:p>
            <w:pPr>
              <w:pStyle w:val="TableContents"/>
              <w:bidi w:val="0"/>
              <w:spacing w:before="0" w:after="283"/>
              <w:jc w:val="left"/>
              <w:rPr>
                <w:b/>
              </w:rPr>
            </w:pPr>
            <w:r>
              <w:rPr>
                <w:b/>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 (SAFEs)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13,419,233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(13,419,233</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 and derivative liability</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356,891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356,891</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(15,220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(15,220</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dividend income on marketable securities held in Trust Account</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1,869,218</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(1,869,218</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535,601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13,367,096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(19,978,088</w:t>
            </w:r>
          </w:p>
        </w:tc>
        <w:tc>
          <w:tcPr>
            <w:tcW w:w="154"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b/>
              </w:rPr>
            </w:pPr>
            <w:r>
              <w:rPr>
                <w:b/>
              </w:rPr>
              <w:t>(6,075,391</w:t>
            </w:r>
          </w:p>
        </w:tc>
        <w:tc>
          <w:tcPr>
            <w:tcW w:w="164" w:type="dxa"/>
            <w:tcBorders/>
            <w:vAlign w:val="bottom"/>
          </w:tcPr>
          <w:p>
            <w:pPr>
              <w:pStyle w:val="TableContents"/>
              <w:bidi w:val="0"/>
              <w:spacing w:before="0" w:after="283"/>
              <w:jc w:val="left"/>
              <w:rPr>
                <w:b/>
              </w:rPr>
            </w:pPr>
            <w:r>
              <w:rPr>
                <w:b/>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and comprehensive (loss)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535,601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pPr>
            <w:r>
              <w:rPr/>
              <w:t> </w:t>
            </w:r>
            <w:r>
              <w:rPr>
                <w:b/>
              </w:rPr>
              <w:t>13,367,096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4" w:type="dxa"/>
            <w:tcBorders/>
            <w:vAlign w:val="bottom"/>
          </w:tcPr>
          <w:p>
            <w:pPr>
              <w:pStyle w:val="TableContents"/>
              <w:bidi w:val="0"/>
              <w:spacing w:before="0" w:after="283"/>
              <w:jc w:val="right"/>
              <w:rPr>
                <w:b/>
              </w:rPr>
            </w:pPr>
            <w:r>
              <w:rPr>
                <w:b/>
              </w:rPr>
              <w:t>(19,978,088</w:t>
            </w:r>
          </w:p>
        </w:tc>
        <w:tc>
          <w:tcPr>
            <w:tcW w:w="154"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54" w:type="dxa"/>
            <w:tcBorders/>
            <w:vAlign w:val="bottom"/>
          </w:tcPr>
          <w:p>
            <w:pPr>
              <w:pStyle w:val="TableContents"/>
              <w:bidi w:val="0"/>
              <w:spacing w:before="0" w:after="283"/>
              <w:jc w:val="right"/>
              <w:rPr>
                <w:b/>
              </w:rPr>
            </w:pPr>
            <w:r>
              <w:rPr>
                <w:b/>
              </w:rPr>
              <w:t>(6,075,391</w:t>
            </w:r>
          </w:p>
        </w:tc>
        <w:tc>
          <w:tcPr>
            <w:tcW w:w="164" w:type="dxa"/>
            <w:tcBorders/>
            <w:vAlign w:val="bottom"/>
          </w:tcPr>
          <w:p>
            <w:pPr>
              <w:pStyle w:val="TableContents"/>
              <w:bidi w:val="0"/>
              <w:spacing w:before="0" w:after="283"/>
              <w:jc w:val="left"/>
              <w:rPr>
                <w:b/>
              </w:rPr>
            </w:pPr>
            <w:r>
              <w:rPr>
                <w:b/>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(257,544</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right"/>
              <w:rPr/>
            </w:pPr>
            <w:r>
              <w:rPr/>
              <w:t>(L</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257,544</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common shareholders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535,601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b/>
              </w:rPr>
            </w:pPr>
            <w:r>
              <w:rPr>
                <w:b/>
              </w:rPr>
              <w:t>13,109,552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4" w:type="dxa"/>
            <w:tcBorders/>
            <w:vAlign w:val="bottom"/>
          </w:tcPr>
          <w:p>
            <w:pPr>
              <w:pStyle w:val="TableContents"/>
              <w:bidi w:val="0"/>
              <w:spacing w:before="0" w:after="283"/>
              <w:jc w:val="right"/>
              <w:rPr>
                <w:b/>
              </w:rPr>
            </w:pPr>
            <w:r>
              <w:rPr>
                <w:b/>
              </w:rPr>
              <w:t>(19,720,544</w:t>
            </w:r>
          </w:p>
        </w:tc>
        <w:tc>
          <w:tcPr>
            <w:tcW w:w="154"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54" w:type="dxa"/>
            <w:tcBorders/>
            <w:vAlign w:val="bottom"/>
          </w:tcPr>
          <w:p>
            <w:pPr>
              <w:pStyle w:val="TableContents"/>
              <w:bidi w:val="0"/>
              <w:spacing w:before="0" w:after="283"/>
              <w:jc w:val="right"/>
              <w:rPr>
                <w:b/>
              </w:rPr>
            </w:pPr>
            <w:r>
              <w:rPr>
                <w:b/>
              </w:rPr>
              <w:t>(6,075,391</w:t>
            </w:r>
          </w:p>
        </w:tc>
        <w:tc>
          <w:tcPr>
            <w:tcW w:w="164" w:type="dxa"/>
            <w:tcBorders/>
            <w:vAlign w:val="bottom"/>
          </w:tcPr>
          <w:p>
            <w:pPr>
              <w:pStyle w:val="TableContents"/>
              <w:bidi w:val="0"/>
              <w:spacing w:before="0" w:after="283"/>
              <w:jc w:val="left"/>
              <w:rPr>
                <w:b/>
              </w:rPr>
            </w:pPr>
            <w:r>
              <w:rPr>
                <w:b/>
              </w:rPr>
              <w:t>) </w:t>
            </w:r>
          </w:p>
        </w:tc>
      </w:tr>
      <w:tr>
        <w:trPr/>
        <w:tc>
          <w:tcPr>
            <w:tcW w:w="273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 outstanding of Post-Combination Company Common Stock - basic and diluted</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(M</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71,498,842</w:t>
            </w:r>
          </w:p>
        </w:tc>
        <w:tc>
          <w:tcPr>
            <w:tcW w:w="164" w:type="dxa"/>
            <w:tcBorders/>
            <w:shd w:fill="CCEEFF" w:val="clear"/>
            <w:vAlign w:val="bottom"/>
          </w:tcPr>
          <w:p>
            <w:pPr>
              <w:pStyle w:val="TableContents"/>
              <w:bidi w:val="0"/>
              <w:spacing w:before="0" w:after="283"/>
              <w:jc w:val="left"/>
              <w:rPr/>
            </w:pPr>
            <w:r>
              <w:rPr/>
              <w:t> </w:t>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share - Post-Combination Company Common Stock</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4" w:type="dxa"/>
            <w:tcBorders/>
            <w:vAlign w:val="bottom"/>
          </w:tcPr>
          <w:p>
            <w:pPr>
              <w:pStyle w:val="TableContents"/>
              <w:bidi w:val="0"/>
              <w:spacing w:before="0" w:after="283"/>
              <w:jc w:val="right"/>
              <w:rPr/>
            </w:pPr>
            <w:r>
              <w:rPr/>
              <w:t>(0.08</w:t>
            </w:r>
          </w:p>
        </w:tc>
        <w:tc>
          <w:tcPr>
            <w:tcW w:w="164" w:type="dxa"/>
            <w:tcBorders/>
            <w:vAlign w:val="bottom"/>
          </w:tcPr>
          <w:p>
            <w:pPr>
              <w:pStyle w:val="TableContents"/>
              <w:bidi w:val="0"/>
              <w:spacing w:before="0" w:after="283"/>
              <w:jc w:val="left"/>
              <w:rPr/>
            </w:pPr>
            <w:r>
              <w:rPr/>
              <w:t>) </w:t>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Class A ordinary shares subject to possible redemption</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321,361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shares outstanding, Class A ordinary shares subject to possible redemption</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20,000,000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 Class A ordinary shares subject to possible redemption</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Class B non-redeemable ordinary shares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214,240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Class B non-redeemable ordinary shares outstanding</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13,333,333</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share, Class B non-redeemable ordinary shares</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0.02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 outstanding of Hadron Energy common stock basic</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921,519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share - Hadron Energy Common Stock</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b/>
              </w:rPr>
            </w:pPr>
            <w:r>
              <w:rPr>
                <w:b/>
              </w:rPr>
              <w:t>14.23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 outstanding of Hadron Energy common stock diluted</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985,863</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share - Hadron Energy Common Stock</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b/>
              </w:rPr>
            </w:pPr>
            <w:r>
              <w:rPr>
                <w:b/>
              </w:rPr>
              <w:t>(0.30</w:t>
            </w:r>
          </w:p>
        </w:tc>
        <w:tc>
          <w:tcPr>
            <w:tcW w:w="155"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Income (Loss) for the year ended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$4,689,637 of income from the Change in fair value of legal settlement liability that was settled upon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remeasurement losses on Hadron Energy SAFEs of $13,419,233 upon consummation of the Business Combination.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and dividend income of $1,869,218 on the marketable securities held in the Trust Account as if the Business Combination was considered effective on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on $257,544 of undistributed earnings due to the overall net loss position on the Pro Forma Statement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PRO FORMA CONDENSED COMBINED STATEMENT OF OPERATIONS AND COMPREHENSIVE INCOME (LOSS) FOR THE YEAR ENDED DECEMBER 31, 2025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69"/>
        <w:gridCol w:w="132"/>
        <w:gridCol w:w="141"/>
        <w:gridCol w:w="1153"/>
        <w:gridCol w:w="155"/>
        <w:gridCol w:w="77"/>
        <w:gridCol w:w="140"/>
        <w:gridCol w:w="1214"/>
        <w:gridCol w:w="155"/>
        <w:gridCol w:w="77"/>
        <w:gridCol w:w="60"/>
        <w:gridCol w:w="275"/>
        <w:gridCol w:w="155"/>
        <w:gridCol w:w="77"/>
        <w:gridCol w:w="147"/>
        <w:gridCol w:w="1203"/>
        <w:gridCol w:w="155"/>
        <w:gridCol w:w="76"/>
        <w:gridCol w:w="60"/>
        <w:gridCol w:w="233"/>
        <w:gridCol w:w="155"/>
        <w:gridCol w:w="77"/>
        <w:gridCol w:w="140"/>
        <w:gridCol w:w="1214"/>
        <w:gridCol w:w="165"/>
      </w:tblGrid>
      <w:tr>
        <w:trPr/>
        <w:tc>
          <w:tcPr>
            <w:tcW w:w="276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6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GigCapital7</w:t>
              <w:br/>
              <w:t>Corp.</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Hadron</w:t>
              <w:br/>
              <w:t>Energy, Inc.</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9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65" w:type="dxa"/>
            <w:tcBorders/>
            <w:vAlign w:val="bottom"/>
          </w:tcPr>
          <w:p>
            <w:pPr>
              <w:pStyle w:val="TableContents"/>
              <w:bidi w:val="0"/>
              <w:spacing w:before="0" w:after="283"/>
              <w:jc w:val="left"/>
              <w:rPr/>
            </w:pPr>
            <w:r>
              <w:rPr/>
              <w:t> </w:t>
            </w:r>
          </w:p>
        </w:tc>
      </w:tr>
      <w:tr>
        <w:trPr/>
        <w:tc>
          <w:tcPr>
            <w:tcW w:w="27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3,340,796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19,329,987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22,670,783</w:t>
            </w:r>
          </w:p>
        </w:tc>
        <w:tc>
          <w:tcPr>
            <w:tcW w:w="165" w:type="dxa"/>
            <w:tcBorders/>
            <w:vAlign w:val="bottom"/>
          </w:tcPr>
          <w:p>
            <w:pPr>
              <w:pStyle w:val="TableContents"/>
              <w:bidi w:val="0"/>
              <w:spacing w:before="0" w:after="283"/>
              <w:jc w:val="left"/>
              <w:rPr/>
            </w:pPr>
            <w:r>
              <w:rPr/>
              <w:t> </w:t>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550,971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550,971</w:t>
            </w:r>
          </w:p>
        </w:tc>
        <w:tc>
          <w:tcPr>
            <w:tcW w:w="165" w:type="dxa"/>
            <w:tcBorders/>
            <w:shd w:fill="CCEEFF" w:val="clear"/>
            <w:vAlign w:val="bottom"/>
          </w:tcPr>
          <w:p>
            <w:pPr>
              <w:pStyle w:val="TableContents"/>
              <w:bidi w:val="0"/>
              <w:spacing w:before="0" w:after="283"/>
              <w:jc w:val="left"/>
              <w:rPr/>
            </w:pPr>
            <w:r>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12,565,721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12,565,721</w:t>
            </w:r>
          </w:p>
        </w:tc>
        <w:tc>
          <w:tcPr>
            <w:tcW w:w="165" w:type="dxa"/>
            <w:tcBorders/>
            <w:vAlign w:val="bottom"/>
          </w:tcPr>
          <w:p>
            <w:pPr>
              <w:pStyle w:val="TableContents"/>
              <w:bidi w:val="0"/>
              <w:spacing w:before="0" w:after="283"/>
              <w:jc w:val="left"/>
              <w:rPr/>
            </w:pPr>
            <w:r>
              <w:rPr/>
              <w:t> </w:t>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6,411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6,411</w:t>
            </w:r>
          </w:p>
        </w:tc>
        <w:tc>
          <w:tcPr>
            <w:tcW w:w="165" w:type="dxa"/>
            <w:tcBorders/>
            <w:shd w:fill="CCEEFF" w:val="clear"/>
            <w:vAlign w:val="bottom"/>
          </w:tcPr>
          <w:p>
            <w:pPr>
              <w:pStyle w:val="TableContents"/>
              <w:bidi w:val="0"/>
              <w:spacing w:before="0" w:after="283"/>
              <w:jc w:val="left"/>
              <w:rPr/>
            </w:pPr>
            <w:r>
              <w:rPr/>
              <w:t> </w:t>
            </w:r>
          </w:p>
        </w:tc>
      </w:tr>
      <w:tr>
        <w:trPr/>
        <w:tc>
          <w:tcPr>
            <w:tcW w:w="276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b/>
              </w:rPr>
            </w:pPr>
            <w:r>
              <w:rPr>
                <w:b/>
              </w:rPr>
              <w:t>3,340,796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b/>
              </w:rPr>
            </w:pPr>
            <w:r>
              <w:rPr>
                <w:b/>
              </w:rPr>
              <w:t>32,453,090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b/>
              </w:rPr>
            </w:pPr>
            <w:r>
              <w:rPr>
                <w:b/>
              </w:rPr>
              <w:t>35,793,886</w:t>
            </w:r>
          </w:p>
        </w:tc>
        <w:tc>
          <w:tcPr>
            <w:tcW w:w="165" w:type="dxa"/>
            <w:tcBorders/>
            <w:vAlign w:val="bottom"/>
          </w:tcPr>
          <w:p>
            <w:pPr>
              <w:pStyle w:val="TableContents"/>
              <w:bidi w:val="0"/>
              <w:spacing w:before="0" w:after="283"/>
              <w:jc w:val="left"/>
              <w:rPr/>
            </w:pPr>
            <w:r>
              <w:rPr/>
              <w:t> </w:t>
            </w:r>
          </w:p>
        </w:tc>
      </w:tr>
      <w:tr>
        <w:trPr/>
        <w:tc>
          <w:tcPr>
            <w:tcW w:w="276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b/>
              </w:rPr>
            </w:pPr>
            <w:r>
              <w:rPr>
                <w:b/>
              </w:rPr>
              <w:t>(3,340,796</w:t>
            </w:r>
          </w:p>
        </w:tc>
        <w:tc>
          <w:tcPr>
            <w:tcW w:w="155" w:type="dxa"/>
            <w:tcBorders/>
            <w:shd w:fill="CCEEFF" w:val="clear"/>
            <w:vAlign w:val="bottom"/>
          </w:tcPr>
          <w:p>
            <w:pPr>
              <w:pStyle w:val="TableContents"/>
              <w:bidi w:val="0"/>
              <w:spacing w:before="0" w:after="283"/>
              <w:jc w:val="left"/>
              <w:rPr>
                <w:b/>
              </w:rPr>
            </w:pPr>
            <w:r>
              <w:rPr>
                <w:b/>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b/>
              </w:rPr>
            </w:pPr>
            <w:r>
              <w:rPr>
                <w:b/>
              </w:rPr>
              <w:t>(32,453,090</w:t>
            </w:r>
          </w:p>
        </w:tc>
        <w:tc>
          <w:tcPr>
            <w:tcW w:w="155" w:type="dxa"/>
            <w:tcBorders/>
            <w:shd w:fill="CCEEFF" w:val="clear"/>
            <w:vAlign w:val="bottom"/>
          </w:tcPr>
          <w:p>
            <w:pPr>
              <w:pStyle w:val="TableContents"/>
              <w:bidi w:val="0"/>
              <w:spacing w:before="0" w:after="283"/>
              <w:jc w:val="left"/>
              <w:rPr>
                <w:b/>
              </w:rPr>
            </w:pPr>
            <w:r>
              <w:rPr>
                <w:b/>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b/>
              </w:rPr>
            </w:pPr>
            <w:r>
              <w:rPr>
                <w:b/>
              </w:rPr>
              <w:t>(35,793,886</w:t>
            </w:r>
          </w:p>
        </w:tc>
        <w:tc>
          <w:tcPr>
            <w:tcW w:w="165" w:type="dxa"/>
            <w:tcBorders/>
            <w:shd w:fill="CCEEFF" w:val="clear"/>
            <w:vAlign w:val="bottom"/>
          </w:tcPr>
          <w:p>
            <w:pPr>
              <w:pStyle w:val="TableContents"/>
              <w:bidi w:val="0"/>
              <w:spacing w:before="0" w:after="283"/>
              <w:jc w:val="left"/>
              <w:rPr>
                <w:b/>
              </w:rPr>
            </w:pPr>
            <w:r>
              <w:rPr>
                <w:b/>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(39,321,489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(N</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39,321,489</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(1,283,055</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(1,283,055</w:t>
            </w:r>
          </w:p>
        </w:tc>
        <w:tc>
          <w:tcPr>
            <w:tcW w:w="165" w:type="dxa"/>
            <w:tcBorders/>
            <w:vAlign w:val="bottom"/>
          </w:tcPr>
          <w:p>
            <w:pPr>
              <w:pStyle w:val="TableContents"/>
              <w:bidi w:val="0"/>
              <w:spacing w:before="0" w:after="283"/>
              <w:jc w:val="left"/>
              <w:rPr/>
            </w:pPr>
            <w:r>
              <w:rPr/>
              <w:t>) </w:t>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710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710</w:t>
            </w:r>
          </w:p>
        </w:tc>
        <w:tc>
          <w:tcPr>
            <w:tcW w:w="165" w:type="dxa"/>
            <w:tcBorders/>
            <w:shd w:fill="CCEEFF" w:val="clear"/>
            <w:vAlign w:val="bottom"/>
          </w:tcPr>
          <w:p>
            <w:pPr>
              <w:pStyle w:val="TableContents"/>
              <w:bidi w:val="0"/>
              <w:spacing w:before="0" w:after="283"/>
              <w:jc w:val="left"/>
              <w:rPr/>
            </w:pPr>
            <w:r>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dividend income on marketable securities held in Trust Account</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8,448,606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(O</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(8,448,606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76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b/>
              </w:rPr>
            </w:pPr>
            <w:r>
              <w:rPr>
                <w:b/>
              </w:rPr>
              <w:t>3,825,465</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b/>
              </w:rPr>
            </w:pPr>
            <w:r>
              <w:rPr>
                <w:b/>
              </w:rPr>
              <w:t>(71,774,579</w:t>
            </w:r>
          </w:p>
        </w:tc>
        <w:tc>
          <w:tcPr>
            <w:tcW w:w="155" w:type="dxa"/>
            <w:tcBorders/>
            <w:shd w:fill="CCEEFF" w:val="clear"/>
            <w:vAlign w:val="bottom"/>
          </w:tcPr>
          <w:p>
            <w:pPr>
              <w:pStyle w:val="TableContents"/>
              <w:bidi w:val="0"/>
              <w:spacing w:before="0" w:after="283"/>
              <w:jc w:val="left"/>
              <w:rPr>
                <w:b/>
              </w:rPr>
            </w:pPr>
            <w:r>
              <w:rPr>
                <w:b/>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30,872,883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b/>
              </w:rPr>
            </w:pPr>
            <w:r>
              <w:rPr>
                <w:b/>
              </w:rPr>
              <w:t>(37,076,231</w:t>
            </w:r>
          </w:p>
        </w:tc>
        <w:tc>
          <w:tcPr>
            <w:tcW w:w="165" w:type="dxa"/>
            <w:tcBorders/>
            <w:shd w:fill="CCEEFF" w:val="clear"/>
            <w:vAlign w:val="bottom"/>
          </w:tcPr>
          <w:p>
            <w:pPr>
              <w:pStyle w:val="TableContents"/>
              <w:bidi w:val="0"/>
              <w:spacing w:before="0" w:after="283"/>
              <w:jc w:val="left"/>
              <w:rPr>
                <w:b/>
              </w:rPr>
            </w:pPr>
            <w:r>
              <w:rPr>
                <w:b/>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76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7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(loss)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3,825,465</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(71,774,579</w:t>
            </w:r>
          </w:p>
        </w:tc>
        <w:tc>
          <w:tcPr>
            <w:tcW w:w="155" w:type="dxa"/>
            <w:tcBorders/>
            <w:shd w:fill="CCEEFF" w:val="clear"/>
            <w:vAlign w:val="bottom"/>
          </w:tcPr>
          <w:p>
            <w:pPr>
              <w:pStyle w:val="TableContents"/>
              <w:bidi w:val="0"/>
              <w:spacing w:before="0" w:after="283"/>
              <w:jc w:val="left"/>
              <w:rPr>
                <w:b/>
              </w:rPr>
            </w:pPr>
            <w:r>
              <w:rPr>
                <w:b/>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b/>
              </w:rPr>
            </w:pPr>
            <w:r>
              <w:rPr>
                <w:b/>
              </w:rPr>
              <w:t>30,872,883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(37,076,231</w:t>
            </w:r>
          </w:p>
        </w:tc>
        <w:tc>
          <w:tcPr>
            <w:tcW w:w="165" w:type="dxa"/>
            <w:tcBorders/>
            <w:shd w:fill="CCEEFF" w:val="clear"/>
            <w:vAlign w:val="bottom"/>
          </w:tcPr>
          <w:p>
            <w:pPr>
              <w:pStyle w:val="TableContents"/>
              <w:bidi w:val="0"/>
              <w:spacing w:before="0" w:after="283"/>
              <w:jc w:val="left"/>
              <w:rPr>
                <w:b/>
              </w:rPr>
            </w:pPr>
            <w:r>
              <w:rPr>
                <w:b/>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 outstanding of Post-Combination Company Common Stock - basic and diluted</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right"/>
              <w:rPr/>
            </w:pPr>
            <w:r>
              <w:rPr/>
              <w:t>(P</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71,498,842</w:t>
            </w:r>
          </w:p>
        </w:tc>
        <w:tc>
          <w:tcPr>
            <w:tcW w:w="165" w:type="dxa"/>
            <w:tcBorders/>
            <w:vAlign w:val="bottom"/>
          </w:tcPr>
          <w:p>
            <w:pPr>
              <w:pStyle w:val="TableContents"/>
              <w:bidi w:val="0"/>
              <w:spacing w:before="0" w:after="283"/>
              <w:jc w:val="left"/>
              <w:rPr/>
            </w:pPr>
            <w:r>
              <w:rPr/>
              <w:t> </w:t>
            </w:r>
          </w:p>
        </w:tc>
      </w:tr>
      <w:tr>
        <w:trPr/>
        <w:tc>
          <w:tcPr>
            <w:tcW w:w="27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share - Post-Combination Company Common Stock</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(0.52</w:t>
            </w:r>
          </w:p>
        </w:tc>
        <w:tc>
          <w:tcPr>
            <w:tcW w:w="165" w:type="dxa"/>
            <w:tcBorders/>
            <w:shd w:fill="CCEEFF" w:val="clear"/>
            <w:vAlign w:val="bottom"/>
          </w:tcPr>
          <w:p>
            <w:pPr>
              <w:pStyle w:val="TableContents"/>
              <w:bidi w:val="0"/>
              <w:spacing w:before="0" w:after="283"/>
              <w:jc w:val="left"/>
              <w:rPr>
                <w:b/>
              </w:rPr>
            </w:pPr>
            <w:r>
              <w:rPr>
                <w:b/>
              </w:rPr>
              <w:t>) </w:t>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Class A ordinary shares subject to possible redemption</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2,295,279</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shares outstanding, Class A ordinary shares subject to possible redemption</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20,000,000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 Class A ordinary shares subject to possible redemption</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153" w:type="dxa"/>
            <w:tcBorders/>
            <w:vAlign w:val="bottom"/>
          </w:tcPr>
          <w:p>
            <w:pPr>
              <w:pStyle w:val="TableContents"/>
              <w:bidi w:val="0"/>
              <w:spacing w:before="0" w:after="283"/>
              <w:jc w:val="right"/>
              <w:rPr>
                <w:b/>
              </w:rPr>
            </w:pPr>
            <w:r>
              <w:rPr>
                <w:b/>
              </w:rPr>
              <w:t>0.11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Class B non-redeemable ordinary shares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1,530,186</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Class B non-redeemable ordinary shares outstanding</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13,333,333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7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share, Class B non-redeemable ordinary shares</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53" w:type="dxa"/>
            <w:tcBorders/>
            <w:shd w:fill="CCEEFF" w:val="clear"/>
            <w:vAlign w:val="bottom"/>
          </w:tcPr>
          <w:p>
            <w:pPr>
              <w:pStyle w:val="TableContents"/>
              <w:bidi w:val="0"/>
              <w:spacing w:before="0" w:after="283"/>
              <w:jc w:val="right"/>
              <w:rPr>
                <w:b/>
              </w:rPr>
            </w:pPr>
            <w:r>
              <w:rPr>
                <w:b/>
              </w:rPr>
              <w:t>0.11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 outstanding of Hadron Energy common stock basic and diluted - common stock</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914,000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7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share - Hadron Energy Common Stock</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(78.53</w:t>
            </w:r>
          </w:p>
        </w:tc>
        <w:tc>
          <w:tcPr>
            <w:tcW w:w="155" w:type="dxa"/>
            <w:tcBorders/>
            <w:shd w:fill="CCEEFF" w:val="clear"/>
            <w:vAlign w:val="bottom"/>
          </w:tcPr>
          <w:p>
            <w:pPr>
              <w:pStyle w:val="TableContents"/>
              <w:bidi w:val="0"/>
              <w:spacing w:before="0" w:after="283"/>
              <w:jc w:val="left"/>
              <w:rPr>
                <w:b/>
              </w:rPr>
            </w:pPr>
            <w:r>
              <w:rPr>
                <w:b/>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Income (Loss)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remeasurement losses on Hadron Energy SAFEs of $39,321,489 as if the Business Combination was considered effective on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and dividend income of $8,448,606 on the marketable securities held in the Trust Account as if the Business Combination was considered effective on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135</Pages>
  <Words>75575</Words>
  <Characters>400080</Characters>
  <CharactersWithSpaces>478723</CharactersWithSpaces>
  <Paragraphs>6727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