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UNDER</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jc w:val="center"/>
        <w:ind w:right="-3"/>
        <w:spacing w:after="0" w:line="230" w:lineRule="auto"/>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
        <w:spacing w:after="0" w:line="231"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Hadron Energy,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33-4336458</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3 Twin Dolphin Drive, Ste 260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8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27" w:lineRule="exact"/>
        <w:rPr>
          <w:sz w:val="24"/>
          <w:szCs w:val="24"/>
          <w:color w:val="auto"/>
        </w:rPr>
      </w:pPr>
    </w:p>
    <w:p>
      <w:pPr>
        <w:ind w:left="4" w:right="4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 w:right="2560" w:hanging="4"/>
        <w:spacing w:after="0" w:line="395"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HDRN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HDRNW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 one share of Common Stock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820"/>
          </w:cols>
          <w:pgMar w:left="440" w:top="293" w:right="4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 Compensation</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3, 2026,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Hadron Energy,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approved the base salaries and target bonuses (together, the “</w:t>
      </w:r>
      <w:r>
        <w:rPr>
          <w:rFonts w:ascii="Times New Roman" w:cs="Times New Roman" w:eastAsia="Times New Roman" w:hAnsi="Times New Roman"/>
          <w:sz w:val="18"/>
          <w:szCs w:val="18"/>
          <w:b w:val="1"/>
          <w:bCs w:val="1"/>
          <w:i w:val="1"/>
          <w:iCs w:val="1"/>
          <w:color w:val="auto"/>
        </w:rPr>
        <w:t>Compensation</w:t>
      </w:r>
      <w:r>
        <w:rPr>
          <w:rFonts w:ascii="Times New Roman" w:cs="Times New Roman" w:eastAsia="Times New Roman" w:hAnsi="Times New Roman"/>
          <w:sz w:val="18"/>
          <w:szCs w:val="18"/>
          <w:color w:val="auto"/>
        </w:rPr>
        <w:t>”) of the following executive officers of the Company. The Compensation was approved following the closing of the Company’s business combination and reflects the initial compensation arrangements for these executive officers in their respective roles following such closing. Each executive officer shall have the opportunity to earn an annual bonus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under an executive incentive plan that is still to be established by the Board and which will be applicable to executives of the Company generally, with the actual amount of each Annual Bonus being determined by the Board or its designated committee,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based on the achievement of performance goals and target objectives to be established by the Board or the Compensation Committee, in its discretion, and for which the target of the Annual Bonus is set forth as a percentage of the annual base salary during the specific calendar year. Any Annual Bonus payable to an executive officer will be payable not later than two and one-half months following the close of the calendar year to which it pertains. The approved Compensation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tcPr>
          <w:p>
            <w:pPr>
              <w:spacing w:after="0"/>
              <w:rPr>
                <w:sz w:val="13"/>
                <w:szCs w:val="13"/>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Bonus (percent of Base</w:t>
            </w:r>
          </w:p>
        </w:tc>
        <w:tc>
          <w:tcPr>
            <w:tcW w:w="0" w:type="dxa"/>
            <w:vAlign w:val="bottom"/>
          </w:tcPr>
          <w:p>
            <w:pPr>
              <w:spacing w:after="0"/>
              <w:rPr>
                <w:sz w:val="1"/>
                <w:szCs w:val="1"/>
                <w:color w:val="auto"/>
              </w:rPr>
            </w:pPr>
          </w:p>
        </w:tc>
      </w:tr>
      <w:tr>
        <w:trPr>
          <w:trHeight w:val="173"/>
        </w:trPr>
        <w:tc>
          <w:tcPr>
            <w:tcW w:w="522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2180" w:type="dxa"/>
            <w:vAlign w:val="bottom"/>
            <w:gridSpan w:val="3"/>
            <w:vMerge w:val="continue"/>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Gibson, Chief Executive Officer</w:t>
            </w:r>
          </w:p>
        </w:tc>
        <w:tc>
          <w:tcPr>
            <w:tcW w:w="1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4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Rahul Shukla, Chief Financial Officer</w:t>
            </w:r>
          </w:p>
        </w:tc>
        <w:tc>
          <w:tcPr>
            <w:tcW w:w="19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350,000</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Andrew M. Ward, Chief Technology Officer</w:t>
            </w:r>
          </w:p>
        </w:tc>
        <w:tc>
          <w:tcPr>
            <w:tcW w:w="190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400"/>
              <w:spacing w:after="0"/>
              <w:rPr>
                <w:sz w:val="20"/>
                <w:szCs w:val="20"/>
                <w:color w:val="auto"/>
              </w:rPr>
            </w:pPr>
            <w:r>
              <w:rPr>
                <w:rFonts w:ascii="Times New Roman" w:cs="Times New Roman" w:eastAsia="Times New Roman" w:hAnsi="Times New Roman"/>
                <w:sz w:val="18"/>
                <w:szCs w:val="18"/>
                <w:color w:val="auto"/>
              </w:rPr>
              <w:t>300,000</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Ken Canavan, Chief Operating Officer</w:t>
            </w:r>
          </w:p>
        </w:tc>
        <w:tc>
          <w:tcPr>
            <w:tcW w:w="19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1400"/>
              <w:spacing w:after="0"/>
              <w:rPr>
                <w:sz w:val="20"/>
                <w:szCs w:val="20"/>
                <w:color w:val="auto"/>
              </w:rPr>
            </w:pPr>
            <w:r>
              <w:rPr>
                <w:rFonts w:ascii="Times New Roman" w:cs="Times New Roman" w:eastAsia="Times New Roman" w:hAnsi="Times New Roman"/>
                <w:sz w:val="18"/>
                <w:szCs w:val="18"/>
                <w:color w:val="auto"/>
              </w:rPr>
              <w:t>300,000</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Compensation reflected above does not include any equity-based compensation awards that may be granted to officers in the future under the Company’s 2026 equity incentive plan.</w:t>
      </w:r>
    </w:p>
    <w:p>
      <w:pPr>
        <w:sectPr>
          <w:pgSz w:w="11900" w:h="16838" w:orient="portrait"/>
          <w:cols w:equalWidth="0" w:num="1">
            <w:col w:w="11020"/>
          </w:cols>
          <w:pgMar w:left="440" w:top="293" w:right="43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Hadron Energy,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2026</w:t>
      </w:r>
    </w:p>
    <w:p>
      <w:pPr>
        <w:spacing w:after="0" w:line="11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Samuel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320"/>
      </w:cols>
      <w:pgMar w:left="440" w:top="293"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2026-06-05T15:09:36Z</dcterms:created>
  <dcterms:modified xsi:type="dcterms:W3CDTF">2026-06-05T15:09:36Z</dcterms:modified>
</cp:coreProperties>
</file>