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Ward Andrew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Hadron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HDRN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40" w:type="dxa"/>
            <w:vAlign w:val="bottom"/>
          </w:tcPr>
          <w:p>
            <w:pPr>
              <w:ind w:left="40"/>
              <w:spacing w:after="0"/>
              <w:rPr>
                <w:sz w:val="20"/>
                <w:szCs w:val="20"/>
                <w:color w:val="auto"/>
              </w:rPr>
            </w:pPr>
            <w:r>
              <w:rPr>
                <w:rFonts w:ascii="Arial" w:cs="Arial" w:eastAsia="Arial" w:hAnsi="Arial"/>
                <w:sz w:val="15"/>
                <w:szCs w:val="15"/>
                <w:color w:val="auto"/>
              </w:rPr>
              <w:t>(Last)</w:t>
            </w:r>
          </w:p>
        </w:tc>
        <w:tc>
          <w:tcPr>
            <w:tcW w:w="720" w:type="dxa"/>
            <w:vAlign w:val="bottom"/>
          </w:tcPr>
          <w:p>
            <w:pPr>
              <w:jc w:val="center"/>
              <w:ind w:right="214"/>
              <w:spacing w:after="0"/>
              <w:rPr>
                <w:sz w:val="20"/>
                <w:szCs w:val="20"/>
                <w:color w:val="auto"/>
              </w:rPr>
            </w:pPr>
            <w:r>
              <w:rPr>
                <w:rFonts w:ascii="Arial" w:cs="Arial" w:eastAsia="Arial" w:hAnsi="Arial"/>
                <w:sz w:val="15"/>
                <w:szCs w:val="15"/>
                <w:color w:val="auto"/>
                <w:w w:val="96"/>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3 TWIN DOLPHIN DRIVE, STE 260</w:t>
            </w:r>
          </w:p>
        </w:tc>
      </w:tr>
      <w:tr>
        <w:trPr>
          <w:trHeight w:val="237"/>
        </w:trPr>
        <w:tc>
          <w:tcPr>
            <w:tcW w:w="104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7"/>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5"/>
              </w:rPr>
              <w:t>REDWOOD</w:t>
            </w:r>
          </w:p>
        </w:tc>
        <w:tc>
          <w:tcPr>
            <w:tcW w:w="720" w:type="dxa"/>
            <w:vAlign w:val="bottom"/>
          </w:tcPr>
          <w:p>
            <w:pPr>
              <w:jc w:val="center"/>
              <w:ind w:right="234"/>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94065</w:t>
            </w:r>
          </w:p>
        </w:tc>
      </w:tr>
      <w:tr>
        <w:trPr>
          <w:trHeight w:val="254"/>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20"/>
                <w:szCs w:val="20"/>
                <w:color w:val="0000FF"/>
              </w:rPr>
              <w:t>124,997</w:t>
            </w:r>
            <w:r>
              <w:rPr>
                <w:rFonts w:ascii="Times New Roman" w:cs="Times New Roman" w:eastAsia="Times New Roman" w:hAnsi="Times New Roman"/>
                <w:sz w:val="25"/>
                <w:szCs w:val="25"/>
                <w:color w:val="008000"/>
                <w:vertAlign w:val="superscript"/>
              </w:rPr>
              <w:t>(1)(2)</w:t>
            </w:r>
          </w:p>
        </w:tc>
        <w:tc>
          <w:tcPr>
            <w:tcW w:w="9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by the reporting person in exchange for 2,500 shares of Hadron Energy, Inc. ("Hadron") held by reporting person in connection with the merger of Hadron into a subsidiary of GigCapital7 Corp. (the "Company") (the "Merger") pursuant to the exchange ratio set forth in the business combination agreement between Hadron and the Company. The acquisition of these shares is an exempt transaction under Rule 16b-3, promulgated by the U.S. Securities and Exchange pursuant to the Securities and Exchange Act of 1934, as amended.</w:t>
      </w:r>
    </w:p>
    <w:p>
      <w:pPr>
        <w:spacing w:after="0" w:line="33" w:lineRule="exact"/>
        <w:rPr>
          <w:rFonts w:ascii="Times New Roman" w:cs="Times New Roman" w:eastAsia="Times New Roman" w:hAnsi="Times New Roman"/>
          <w:sz w:val="15"/>
          <w:szCs w:val="15"/>
          <w:color w:val="008000"/>
        </w:rPr>
      </w:pPr>
    </w:p>
    <w:p>
      <w:pPr>
        <w:ind w:left="40" w:right="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were acquired pursuant to a Restricted Stock Purchase Award Agreement dated February 13, 2026, and are subject to a right of repurchase by the Company which shall lapse in accordance with the vesting schedule. Effective as of the closing of the Merger, on May 22, 2026, the right of repurchase with respect to one tenth (1/10) of the shares lapsed. On August 29, 2026, the right of repurchase with respect to an additional one-fourth (1/4) shall lapse. Beginning the end of September 2026 and continuing at the end of each full month thereafter, the right of repurchase with respect to one-forty eighth (1/48) of the shares shall lapse until such time as the Company no longer has a right of repurchase as a result of the full vesting of the shares.</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Dr. Andrew M. Ward</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06/05/2026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0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3869" TargetMode="External"/><Relationship Id="rId11" Type="http://schemas.openxmlformats.org/officeDocument/2006/relationships/hyperlink" Target="http://www.sec.gov/cgi-bin/browse-edgar?action=getcompany&amp;CIK=0002023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2026-06-05T17:25:58Z</dcterms:created>
  <dcterms:modified xsi:type="dcterms:W3CDTF">2026-06-05T17:25:58Z</dcterms:modified>
</cp:coreProperties>
</file>