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Ridenoure Ross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Hadron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HDRN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jc w:val="center"/>
              <w:ind w:right="214"/>
              <w:spacing w:after="0"/>
              <w:rPr>
                <w:sz w:val="20"/>
                <w:szCs w:val="20"/>
                <w:color w:val="auto"/>
              </w:rPr>
            </w:pPr>
            <w:r>
              <w:rPr>
                <w:rFonts w:ascii="Arial" w:cs="Arial" w:eastAsia="Arial" w:hAnsi="Arial"/>
                <w:sz w:val="15"/>
                <w:szCs w:val="15"/>
                <w:color w:val="auto"/>
                <w:w w:val="96"/>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HADRON ENERGY,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3 TWIN DOLPHIN DRIVE, STE 260</w:t>
            </w:r>
          </w:p>
        </w:tc>
      </w:tr>
      <w:tr>
        <w:trPr>
          <w:trHeight w:val="177"/>
        </w:trPr>
        <w:tc>
          <w:tcPr>
            <w:tcW w:w="10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7"/>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5"/>
              </w:rPr>
              <w:t>REDWOOD</w:t>
            </w:r>
          </w:p>
        </w:tc>
        <w:tc>
          <w:tcPr>
            <w:tcW w:w="720" w:type="dxa"/>
            <w:vAlign w:val="bottom"/>
          </w:tcPr>
          <w:p>
            <w:pPr>
              <w:jc w:val="center"/>
              <w:ind w:right="234"/>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94065</w:t>
            </w: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Nuclear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9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499,900</w:t>
            </w:r>
            <w:r>
              <w:rPr>
                <w:rFonts w:ascii="Times New Roman" w:cs="Times New Roman" w:eastAsia="Times New Roman" w:hAnsi="Times New Roman"/>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by the reporting person in exchange for 10,000 shares of Hadron Energy, Inc. ("Hadron") held by reporting person in connection with the merger of Hadron into a subsidiary of GigCapital7 Corp. (the "Company") (the "Merger") pursuant to the exchange ratio set forth in the business combination agreement between Hadron and the Company. The acquisition of these shares is an exempt transaction under Rule 16b-3, promulgated by the U.S. Securities and Exchange pursuant to the Securities and Exchange Act of 1934, as amended.</w:t>
      </w:r>
    </w:p>
    <w:p>
      <w:pPr>
        <w:spacing w:after="0" w:line="33"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were acquired pursuant to a Restricted Stock Purchase Award Agreement dated February 13, 2026, and are subject to a right of repurchase by the Company which shall lapse in accordance with the vesting schedule. Effective as of the closing of the Merger, on May 22, 2026, the right of repurchase with respect to one tenth (1/10) of the shares lapsed. On August 29, 2026, the right of repurchase with respect to an additional one-fourth (1/4) shall lapse. Beginning the end of September 2026 and continuing at the end of each full month thereafter, the right of repurchase with respect to one-forty eighth (1/48) of the shares shall lapse until such time as the Company no longer has a right of repurchase as a result of the full vesting of the shares.</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Ross T. Ridenoure</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06/05/2026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36076" TargetMode="External"/><Relationship Id="rId11" Type="http://schemas.openxmlformats.org/officeDocument/2006/relationships/hyperlink" Target="http://www.sec.gov/cgi-bin/browse-edgar?action=getcompany&amp;CIK=0002023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2026-06-05T17:57:52Z</dcterms:created>
  <dcterms:modified xsi:type="dcterms:W3CDTF">2026-06-05T17:57:52Z</dcterms:modified>
</cp:coreProperties>
</file>