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June 15, 2026.</w:t>
      </w:r>
    </w:p>
    <w:p>
      <w:pPr>
        <w:spacing w:after="0" w:line="23"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882650</wp:posOffset>
            </wp:positionH>
            <wp:positionV relativeFrom="paragraph">
              <wp:posOffset>76200</wp:posOffset>
            </wp:positionV>
            <wp:extent cx="54025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109220</wp:posOffset>
            </wp:positionV>
            <wp:extent cx="54025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pacing w:after="0" w:line="2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109220</wp:posOffset>
            </wp:positionV>
            <wp:extent cx="11385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4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109220</wp:posOffset>
            </wp:positionV>
            <wp:extent cx="11385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33"/>
          <w:szCs w:val="33"/>
          <w:b w:val="1"/>
          <w:bCs w:val="1"/>
          <w:color w:val="auto"/>
        </w:rPr>
        <w:t>Hadron Energy, Inc.</w:t>
      </w:r>
    </w:p>
    <w:p>
      <w:pPr>
        <w:spacing w:after="0" w:line="4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111760</wp:posOffset>
            </wp:positionV>
            <wp:extent cx="11385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68" w:lineRule="exact"/>
        <w:rPr>
          <w:sz w:val="24"/>
          <w:szCs w:val="24"/>
          <w:color w:val="auto"/>
        </w:rPr>
      </w:pPr>
    </w:p>
    <w:tbl>
      <w:tblPr>
        <w:tblLayout w:type="fixed"/>
        <w:tblInd w:w="1700" w:type="dxa"/>
        <w:tblCellMar>
          <w:top w:w="0" w:type="dxa"/>
          <w:left w:w="0" w:type="dxa"/>
          <w:bottom w:w="0" w:type="dxa"/>
          <w:right w:w="0" w:type="dxa"/>
        </w:tblCellMar>
      </w:tblPr>
      <w:tr>
        <w:trPr>
          <w:trHeight w:val="150"/>
        </w:trPr>
        <w:tc>
          <w:tcPr>
            <w:tcW w:w="2500" w:type="dxa"/>
            <w:vAlign w:val="bottom"/>
          </w:tcPr>
          <w:p>
            <w:pPr>
              <w:jc w:val="center"/>
              <w:ind w:right="182"/>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360" w:type="dxa"/>
            <w:vAlign w:val="bottom"/>
          </w:tcPr>
          <w:p>
            <w:pPr>
              <w:jc w:val="right"/>
              <w:ind w:right="1641"/>
              <w:spacing w:after="0"/>
              <w:rPr>
                <w:sz w:val="20"/>
                <w:szCs w:val="20"/>
                <w:color w:val="auto"/>
              </w:rPr>
            </w:pPr>
            <w:r>
              <w:rPr>
                <w:rFonts w:ascii="Times New Roman" w:cs="Times New Roman" w:eastAsia="Times New Roman" w:hAnsi="Times New Roman"/>
                <w:sz w:val="13"/>
                <w:szCs w:val="13"/>
                <w:b w:val="1"/>
                <w:bCs w:val="1"/>
                <w:color w:val="auto"/>
              </w:rPr>
              <w:t>4991</w:t>
            </w:r>
          </w:p>
        </w:tc>
        <w:tc>
          <w:tcPr>
            <w:tcW w:w="1420" w:type="dxa"/>
            <w:vAlign w:val="bottom"/>
          </w:tcPr>
          <w:p>
            <w:pPr>
              <w:jc w:val="center"/>
              <w:ind w:left="482"/>
              <w:spacing w:after="0"/>
              <w:rPr>
                <w:sz w:val="20"/>
                <w:szCs w:val="20"/>
                <w:color w:val="auto"/>
              </w:rPr>
            </w:pPr>
            <w:r>
              <w:rPr>
                <w:rFonts w:ascii="Times New Roman" w:cs="Times New Roman" w:eastAsia="Times New Roman" w:hAnsi="Times New Roman"/>
                <w:sz w:val="13"/>
                <w:szCs w:val="13"/>
                <w:b w:val="1"/>
                <w:bCs w:val="1"/>
                <w:color w:val="auto"/>
                <w:w w:val="95"/>
              </w:rPr>
              <w:t>33-4336458</w:t>
            </w:r>
          </w:p>
        </w:tc>
      </w:tr>
      <w:tr>
        <w:trPr>
          <w:trHeight w:val="115"/>
        </w:trPr>
        <w:tc>
          <w:tcPr>
            <w:tcW w:w="2500" w:type="dxa"/>
            <w:vAlign w:val="bottom"/>
          </w:tcPr>
          <w:p>
            <w:pPr>
              <w:jc w:val="center"/>
              <w:ind w:right="182"/>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 Incorporation or</w:t>
            </w:r>
          </w:p>
        </w:tc>
        <w:tc>
          <w:tcPr>
            <w:tcW w:w="3360" w:type="dxa"/>
            <w:vAlign w:val="bottom"/>
          </w:tcPr>
          <w:p>
            <w:pPr>
              <w:jc w:val="center"/>
              <w:ind w:right="241"/>
              <w:spacing w:after="0" w:line="115" w:lineRule="exact"/>
              <w:rPr>
                <w:sz w:val="20"/>
                <w:szCs w:val="20"/>
                <w:color w:val="auto"/>
              </w:rPr>
            </w:pPr>
            <w:r>
              <w:rPr>
                <w:rFonts w:ascii="Times New Roman" w:cs="Times New Roman" w:eastAsia="Times New Roman" w:hAnsi="Times New Roman"/>
                <w:sz w:val="11"/>
                <w:szCs w:val="11"/>
                <w:b w:val="1"/>
                <w:bCs w:val="1"/>
                <w:color w:val="auto"/>
              </w:rPr>
              <w:t>(Primary Standard Industrial Classification Code No.)</w:t>
            </w:r>
          </w:p>
        </w:tc>
        <w:tc>
          <w:tcPr>
            <w:tcW w:w="1420" w:type="dxa"/>
            <w:vAlign w:val="bottom"/>
          </w:tcPr>
          <w:p>
            <w:pPr>
              <w:jc w:val="center"/>
              <w:ind w:left="482"/>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7"/>
        </w:trPr>
        <w:tc>
          <w:tcPr>
            <w:tcW w:w="2500" w:type="dxa"/>
            <w:vAlign w:val="bottom"/>
          </w:tcPr>
          <w:p>
            <w:pPr>
              <w:jc w:val="center"/>
              <w:ind w:right="182"/>
              <w:spacing w:after="0"/>
              <w:rPr>
                <w:sz w:val="20"/>
                <w:szCs w:val="20"/>
                <w:color w:val="auto"/>
              </w:rPr>
            </w:pPr>
            <w:r>
              <w:rPr>
                <w:rFonts w:ascii="Times New Roman" w:cs="Times New Roman" w:eastAsia="Times New Roman" w:hAnsi="Times New Roman"/>
                <w:sz w:val="11"/>
                <w:szCs w:val="11"/>
                <w:b w:val="1"/>
                <w:bCs w:val="1"/>
                <w:color w:val="auto"/>
                <w:w w:val="99"/>
              </w:rPr>
              <w:t>Organization)</w:t>
            </w:r>
          </w:p>
        </w:tc>
        <w:tc>
          <w:tcPr>
            <w:tcW w:w="3360" w:type="dxa"/>
            <w:vAlign w:val="bottom"/>
          </w:tcPr>
          <w:p>
            <w:pPr>
              <w:spacing w:after="0"/>
              <w:rPr>
                <w:sz w:val="12"/>
                <w:szCs w:val="12"/>
                <w:color w:val="auto"/>
              </w:rPr>
            </w:pPr>
          </w:p>
        </w:tc>
        <w:tc>
          <w:tcPr>
            <w:tcW w:w="1420" w:type="dxa"/>
            <w:vAlign w:val="bottom"/>
          </w:tcPr>
          <w:p>
            <w:pPr>
              <w:jc w:val="center"/>
              <w:ind w:left="482"/>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5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Samuel Gibson</w:t>
      </w:r>
    </w:p>
    <w:p>
      <w:pPr>
        <w:jc w:val="center"/>
        <w:ind w:right="-1140"/>
        <w:spacing w:after="0" w:line="219" w:lineRule="auto"/>
        <w:rPr>
          <w:sz w:val="20"/>
          <w:szCs w:val="20"/>
          <w:color w:val="auto"/>
        </w:rPr>
      </w:pPr>
      <w:r>
        <w:rPr>
          <w:rFonts w:ascii="Times New Roman" w:cs="Times New Roman" w:eastAsia="Times New Roman" w:hAnsi="Times New Roman"/>
          <w:sz w:val="12"/>
          <w:szCs w:val="12"/>
          <w:b w:val="1"/>
          <w:bCs w:val="1"/>
          <w:color w:val="auto"/>
        </w:rPr>
        <w:t>Chief Executive Officer</w:t>
      </w:r>
    </w:p>
    <w:p>
      <w:pPr>
        <w:jc w:val="center"/>
        <w:ind w:right="-1120"/>
        <w:spacing w:after="0" w:line="218" w:lineRule="auto"/>
        <w:rPr>
          <w:sz w:val="20"/>
          <w:szCs w:val="20"/>
          <w:color w:val="auto"/>
        </w:rPr>
      </w:pPr>
      <w:r>
        <w:rPr>
          <w:rFonts w:ascii="Times New Roman" w:cs="Times New Roman" w:eastAsia="Times New Roman" w:hAnsi="Times New Roman"/>
          <w:sz w:val="12"/>
          <w:szCs w:val="12"/>
          <w:b w:val="1"/>
          <w:bCs w:val="1"/>
          <w:color w:val="auto"/>
        </w:rPr>
        <w:t>3 Twin Dolphin Drive, Suite 260,</w:t>
      </w:r>
    </w:p>
    <w:p>
      <w:pPr>
        <w:jc w:val="center"/>
        <w:ind w:right="-1140"/>
        <w:spacing w:after="0" w:line="217" w:lineRule="auto"/>
        <w:rPr>
          <w:sz w:val="20"/>
          <w:szCs w:val="20"/>
          <w:color w:val="auto"/>
        </w:rPr>
      </w:pPr>
      <w:r>
        <w:rPr>
          <w:rFonts w:ascii="Times New Roman" w:cs="Times New Roman" w:eastAsia="Times New Roman" w:hAnsi="Times New Roman"/>
          <w:sz w:val="12"/>
          <w:szCs w:val="12"/>
          <w:b w:val="1"/>
          <w:bCs w:val="1"/>
          <w:color w:val="auto"/>
        </w:rPr>
        <w:t>Redwood City, CA 94065</w:t>
      </w:r>
    </w:p>
    <w:p>
      <w:pPr>
        <w:jc w:val="center"/>
        <w:ind w:right="-1140"/>
        <w:spacing w:after="0" w:line="211" w:lineRule="auto"/>
        <w:rPr>
          <w:sz w:val="20"/>
          <w:szCs w:val="20"/>
          <w:color w:val="auto"/>
        </w:rPr>
      </w:pPr>
      <w:r>
        <w:rPr>
          <w:rFonts w:ascii="Times New Roman" w:cs="Times New Roman" w:eastAsia="Times New Roman" w:hAnsi="Times New Roman"/>
          <w:sz w:val="12"/>
          <w:szCs w:val="12"/>
          <w:b w:val="1"/>
          <w:bCs w:val="1"/>
          <w:color w:val="auto"/>
        </w:rPr>
        <w:t>Telephone: (650) 395-0050</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123825</wp:posOffset>
            </wp:positionV>
            <wp:extent cx="1138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spacing w:after="0" w:line="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Jeffrey C. Selman</w:t>
      </w:r>
    </w:p>
    <w:p>
      <w:pPr>
        <w:jc w:val="center"/>
        <w:ind w:right="-1140"/>
        <w:spacing w:after="0" w:line="219" w:lineRule="auto"/>
        <w:rPr>
          <w:sz w:val="20"/>
          <w:szCs w:val="20"/>
          <w:color w:val="auto"/>
        </w:rPr>
      </w:pPr>
      <w:r>
        <w:rPr>
          <w:rFonts w:ascii="Times New Roman" w:cs="Times New Roman" w:eastAsia="Times New Roman" w:hAnsi="Times New Roman"/>
          <w:sz w:val="12"/>
          <w:szCs w:val="12"/>
          <w:b w:val="1"/>
          <w:bCs w:val="1"/>
          <w:color w:val="auto"/>
        </w:rPr>
        <w:t>DLA Piper LLP (US)</w:t>
      </w:r>
    </w:p>
    <w:p>
      <w:pPr>
        <w:jc w:val="center"/>
        <w:ind w:right="-1140"/>
        <w:spacing w:after="0" w:line="218" w:lineRule="auto"/>
        <w:rPr>
          <w:sz w:val="20"/>
          <w:szCs w:val="20"/>
          <w:color w:val="auto"/>
        </w:rPr>
      </w:pPr>
      <w:r>
        <w:rPr>
          <w:rFonts w:ascii="Times New Roman" w:cs="Times New Roman" w:eastAsia="Times New Roman" w:hAnsi="Times New Roman"/>
          <w:sz w:val="12"/>
          <w:szCs w:val="12"/>
          <w:b w:val="1"/>
          <w:bCs w:val="1"/>
          <w:color w:val="auto"/>
        </w:rPr>
        <w:t>555 Mission Street, Suite 2400</w:t>
      </w:r>
    </w:p>
    <w:p>
      <w:pPr>
        <w:jc w:val="center"/>
        <w:ind w:right="-1140"/>
        <w:spacing w:after="0" w:line="217" w:lineRule="auto"/>
        <w:rPr>
          <w:sz w:val="20"/>
          <w:szCs w:val="20"/>
          <w:color w:val="auto"/>
        </w:rPr>
      </w:pPr>
      <w:r>
        <w:rPr>
          <w:rFonts w:ascii="Times New Roman" w:cs="Times New Roman" w:eastAsia="Times New Roman" w:hAnsi="Times New Roman"/>
          <w:sz w:val="12"/>
          <w:szCs w:val="12"/>
          <w:b w:val="1"/>
          <w:bCs w:val="1"/>
          <w:color w:val="auto"/>
        </w:rPr>
        <w:t>San Francisco, California 94105</w:t>
      </w: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Tel: (415) 615-6035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104775</wp:posOffset>
            </wp:positionV>
            <wp:extent cx="1138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24"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73" w:lineRule="exact"/>
        <w:rPr>
          <w:sz w:val="24"/>
          <w:szCs w:val="24"/>
          <w:color w:val="auto"/>
        </w:rPr>
      </w:pPr>
    </w:p>
    <w:p>
      <w:pPr>
        <w:ind w:left="1400" w:right="339" w:firstLine="340"/>
        <w:spacing w:after="0" w:line="153"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49" w:lineRule="exact"/>
        <w:rPr>
          <w:sz w:val="24"/>
          <w:szCs w:val="24"/>
          <w:color w:val="auto"/>
        </w:rPr>
      </w:pPr>
    </w:p>
    <w:p>
      <w:pPr>
        <w:ind w:left="1400" w:right="419" w:firstLine="340"/>
        <w:spacing w:after="0" w:line="153"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9" w:lineRule="exact"/>
        <w:rPr>
          <w:sz w:val="24"/>
          <w:szCs w:val="24"/>
          <w:color w:val="auto"/>
        </w:rPr>
      </w:pPr>
    </w:p>
    <w:p>
      <w:pPr>
        <w:ind w:left="1400" w:right="359" w:firstLine="340"/>
        <w:spacing w:after="0" w:line="153"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9" w:lineRule="exact"/>
        <w:rPr>
          <w:sz w:val="24"/>
          <w:szCs w:val="24"/>
          <w:color w:val="auto"/>
        </w:rPr>
      </w:pPr>
    </w:p>
    <w:p>
      <w:pPr>
        <w:ind w:left="1400" w:right="359" w:firstLine="340"/>
        <w:spacing w:after="0" w:line="153"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9" w:lineRule="exact"/>
        <w:rPr>
          <w:sz w:val="24"/>
          <w:szCs w:val="24"/>
          <w:color w:val="auto"/>
        </w:rPr>
      </w:pPr>
    </w:p>
    <w:p>
      <w:pPr>
        <w:ind w:left="1400" w:right="419" w:firstLine="340"/>
        <w:spacing w:after="0" w:line="233"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51" w:lineRule="exact"/>
        <w:rPr>
          <w:sz w:val="24"/>
          <w:szCs w:val="24"/>
          <w:color w:val="auto"/>
        </w:rPr>
      </w:pPr>
    </w:p>
    <w:tbl>
      <w:tblPr>
        <w:tblLayout w:type="fixed"/>
        <w:tblInd w:w="1400" w:type="dxa"/>
        <w:tblCellMar>
          <w:top w:w="0" w:type="dxa"/>
          <w:left w:w="0" w:type="dxa"/>
          <w:bottom w:w="0" w:type="dxa"/>
          <w:right w:w="0" w:type="dxa"/>
        </w:tblCellMar>
      </w:tblPr>
      <w:tr>
        <w:trPr>
          <w:trHeight w:val="198"/>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80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Accelerated filer</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80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9"/>
        </w:trPr>
        <w:tc>
          <w:tcPr>
            <w:tcW w:w="1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98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Emerging growth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8" w:lineRule="exact"/>
        <w:rPr>
          <w:sz w:val="24"/>
          <w:szCs w:val="24"/>
          <w:color w:val="auto"/>
        </w:rPr>
      </w:pPr>
    </w:p>
    <w:p>
      <w:pPr>
        <w:ind w:left="1400" w:right="659" w:firstLine="340"/>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98425</wp:posOffset>
            </wp:positionV>
            <wp:extent cx="11385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14" w:lineRule="exact"/>
        <w:rPr>
          <w:sz w:val="24"/>
          <w:szCs w:val="24"/>
          <w:color w:val="auto"/>
        </w:rPr>
      </w:pPr>
    </w:p>
    <w:p>
      <w:pPr>
        <w:ind w:left="1400" w:right="279" w:firstLine="340"/>
        <w:spacing w:after="0" w:line="235"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882650</wp:posOffset>
            </wp:positionH>
            <wp:positionV relativeFrom="paragraph">
              <wp:posOffset>63500</wp:posOffset>
            </wp:positionV>
            <wp:extent cx="54025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96520</wp:posOffset>
            </wp:positionV>
            <wp:extent cx="54025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3" w:lineRule="exact"/>
        <w:rPr>
          <w:sz w:val="20"/>
          <w:szCs w:val="20"/>
          <w:color w:val="auto"/>
        </w:rPr>
      </w:pPr>
    </w:p>
    <w:tbl>
      <w:tblPr>
        <w:tblLayout w:type="fixed"/>
        <w:tblInd w:w="1400" w:type="dxa"/>
        <w:tblCellMar>
          <w:top w:w="0" w:type="dxa"/>
          <w:left w:w="0" w:type="dxa"/>
          <w:bottom w:w="0" w:type="dxa"/>
          <w:right w:w="0" w:type="dxa"/>
        </w:tblCellMar>
      </w:tblPr>
      <w:tr>
        <w:trPr>
          <w:trHeight w:val="1127"/>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sell these securities</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offer to sell these</w:t>
            </w:r>
          </w:p>
        </w:tc>
        <w:tc>
          <w:tcPr>
            <w:tcW w:w="140" w:type="dxa"/>
            <w:vAlign w:val="bottom"/>
          </w:tcPr>
          <w:p>
            <w:pPr>
              <w:spacing w:after="0"/>
              <w:rPr>
                <w:sz w:val="24"/>
                <w:szCs w:val="24"/>
                <w:color w:val="auto"/>
              </w:rPr>
            </w:pPr>
          </w:p>
        </w:tc>
      </w:tr>
      <w:tr>
        <w:trPr>
          <w:trHeight w:val="7873"/>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The information in this preliminary prospectus is not complete and may be changed. Neither we nor the Selling Securityholders may</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until the registration statement filed with the Securities and Exchange Commission is effective. This preliminary prospectus is not an</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securities and is not soliciting an offer to buy these securities in any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937"/>
        <w:spacing w:after="0"/>
        <w:rPr>
          <w:sz w:val="20"/>
          <w:szCs w:val="20"/>
          <w:color w:val="auto"/>
        </w:rPr>
      </w:pPr>
      <w:r>
        <w:rPr>
          <w:rFonts w:ascii="Times New Roman" w:cs="Times New Roman" w:eastAsia="Times New Roman" w:hAnsi="Times New Roman"/>
          <w:sz w:val="14"/>
          <w:szCs w:val="14"/>
          <w:b w:val="1"/>
          <w:bCs w:val="1"/>
          <w:color w:val="FF4338"/>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-600710</wp:posOffset>
            </wp:positionV>
            <wp:extent cx="7202170" cy="45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45720"/>
                    </a:xfrm>
                    <a:prstGeom prst="rect">
                      <a:avLst/>
                    </a:prstGeom>
                    <a:noFill/>
                  </pic:spPr>
                </pic:pic>
              </a:graphicData>
            </a:graphic>
          </wp:anchor>
        </w:drawing>
      </w:r>
    </w:p>
    <w:p>
      <w:pPr>
        <w:spacing w:after="0" w:line="3" w:lineRule="exact"/>
        <w:rPr>
          <w:sz w:val="20"/>
          <w:szCs w:val="20"/>
          <w:color w:val="auto"/>
        </w:rPr>
      </w:pPr>
    </w:p>
    <w:p>
      <w:pPr>
        <w:jc w:val="center"/>
        <w:ind w:right="937"/>
        <w:spacing w:after="0"/>
        <w:rPr>
          <w:sz w:val="20"/>
          <w:szCs w:val="20"/>
          <w:color w:val="auto"/>
        </w:rPr>
      </w:pPr>
      <w:r>
        <w:rPr>
          <w:rFonts w:ascii="Times New Roman" w:cs="Times New Roman" w:eastAsia="Times New Roman" w:hAnsi="Times New Roman"/>
          <w:sz w:val="14"/>
          <w:szCs w:val="14"/>
          <w:b w:val="1"/>
          <w:bCs w:val="1"/>
          <w:color w:val="FF4338"/>
        </w:rPr>
        <w:t>SUBJECT TO COMPLETION-DATED JUNE 15, 2026</w:t>
      </w:r>
    </w:p>
    <w:p>
      <w:pPr>
        <w:spacing w:after="0" w:line="133" w:lineRule="exact"/>
        <w:rPr>
          <w:sz w:val="20"/>
          <w:szCs w:val="20"/>
          <w:color w:val="auto"/>
        </w:rPr>
      </w:pPr>
    </w:p>
    <w:p>
      <w:pPr>
        <w:jc w:val="center"/>
        <w:ind w:right="937"/>
        <w:spacing w:after="0"/>
        <w:rPr>
          <w:sz w:val="20"/>
          <w:szCs w:val="20"/>
          <w:color w:val="auto"/>
        </w:rPr>
      </w:pPr>
      <w:r>
        <w:rPr>
          <w:rFonts w:ascii="Times New Roman" w:cs="Times New Roman" w:eastAsia="Times New Roman" w:hAnsi="Times New Roman"/>
          <w:sz w:val="33"/>
          <w:szCs w:val="33"/>
          <w:b w:val="1"/>
          <w:bCs w:val="1"/>
          <w:color w:val="auto"/>
        </w:rPr>
        <w:t>HADRON ENERGY, INC.</w:t>
      </w:r>
    </w:p>
    <w:p>
      <w:pPr>
        <w:spacing w:after="0" w:line="190"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9"/>
          <w:szCs w:val="19"/>
          <w:b w:val="1"/>
          <w:bCs w:val="1"/>
          <w:color w:val="auto"/>
        </w:rPr>
        <w:t>Up to 28,719,000 Shares of Common Stock</w:t>
      </w:r>
    </w:p>
    <w:p>
      <w:pPr>
        <w:spacing w:after="0" w:line="17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9"/>
          <w:szCs w:val="19"/>
          <w:b w:val="1"/>
          <w:bCs w:val="1"/>
          <w:color w:val="auto"/>
        </w:rPr>
        <w:t>Up to 57,432,395 shares of Common Stock by the Selling Securityholders</w:t>
      </w:r>
    </w:p>
    <w:p>
      <w:pPr>
        <w:spacing w:after="0" w:line="37" w:lineRule="exact"/>
        <w:rPr>
          <w:sz w:val="20"/>
          <w:szCs w:val="20"/>
          <w:color w:val="auto"/>
        </w:rPr>
      </w:pPr>
    </w:p>
    <w:p>
      <w:pPr>
        <w:ind w:left="1183"/>
        <w:spacing w:after="0"/>
        <w:rPr>
          <w:sz w:val="20"/>
          <w:szCs w:val="20"/>
          <w:color w:val="auto"/>
        </w:rPr>
      </w:pPr>
      <w:r>
        <w:rPr>
          <w:rFonts w:ascii="Times New Roman" w:cs="Times New Roman" w:eastAsia="Times New Roman" w:hAnsi="Times New Roman"/>
          <w:sz w:val="19"/>
          <w:szCs w:val="19"/>
          <w:b w:val="1"/>
          <w:bCs w:val="1"/>
          <w:color w:val="auto"/>
        </w:rPr>
        <w:t>3,719,000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176530</wp:posOffset>
            </wp:positionV>
            <wp:extent cx="9531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 w:right="1019" w:firstLine="287"/>
        <w:spacing w:after="0" w:line="251" w:lineRule="auto"/>
        <w:rPr>
          <w:sz w:val="20"/>
          <w:szCs w:val="20"/>
          <w:color w:val="auto"/>
        </w:rPr>
      </w:pPr>
      <w:r>
        <w:rPr>
          <w:rFonts w:ascii="Times New Roman" w:cs="Times New Roman" w:eastAsia="Times New Roman" w:hAnsi="Times New Roman"/>
          <w:sz w:val="14"/>
          <w:szCs w:val="14"/>
          <w:color w:val="auto"/>
        </w:rPr>
        <w:t>This prospectus relates to the issuance by us of an aggregate of up to 28,719,000 shares of common stock, $0.0001 par value per share, (the “Common Stock”) of Hadron Energy, Inc. (“Hadron Energy” or the “Company”), which consists of (i) up to 20,000,000 shares of Common Stock that are issuable upon the exercise of 20,000,000 warrants, each exercisable for one share of Common Stock at a price of $11.50 per warrant (the “Public Warrants”), originally issued in the initial public offering (“IPO”) of GigCapital7 Corp. (“GigCapital7”) by the holders thereof, (ii) up to 3,719,000 shares of Common Stock that are issuable upon the exercise of 3,719,000 private placement warrants, each exercisable for one share of Common Stock at a price of $11.50 per warrant (the “Private Warrants”), originally issued in the private placement of units that closed concurrently with the IPO, and (iii) up to 5,000,000 shares of Common Stock that are issuable upon the exercise of 5,000,000 warrants, each exercisable for one share of Common Stock at a price of $12.00 per warrant (the “Hadron Private Warrants”), originally issued at the closing of the merger (the “Merger”) between MMR Merger Sub, Inc. (“Merger Sub”) and Hadron Energy Operating Company, Inc. (“Hadron OpCo”) in exchange for warrants previously issued by Hadron OpCo (the Hadron Private Warrants, together with the Public Warrants and the Private Warrants, the “Warrants”).</w:t>
      </w:r>
    </w:p>
    <w:p>
      <w:pPr>
        <w:spacing w:after="0" w:line="14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4"/>
          <w:szCs w:val="14"/>
          <w:color w:val="auto"/>
        </w:rPr>
        <w:t>We will receive the proceeds from any exercise of any Warrants for cash.</w:t>
      </w:r>
    </w:p>
    <w:p>
      <w:pPr>
        <w:spacing w:after="0" w:line="173" w:lineRule="exact"/>
        <w:rPr>
          <w:sz w:val="20"/>
          <w:szCs w:val="20"/>
          <w:color w:val="auto"/>
        </w:rPr>
      </w:pPr>
    </w:p>
    <w:p>
      <w:pPr>
        <w:ind w:left="3" w:right="959" w:firstLine="287"/>
        <w:spacing w:after="0" w:line="269" w:lineRule="auto"/>
        <w:rPr>
          <w:sz w:val="20"/>
          <w:szCs w:val="20"/>
          <w:color w:val="auto"/>
        </w:rPr>
      </w:pPr>
      <w:r>
        <w:rPr>
          <w:rFonts w:ascii="Times New Roman" w:cs="Times New Roman" w:eastAsia="Times New Roman" w:hAnsi="Times New Roman"/>
          <w:sz w:val="13"/>
          <w:szCs w:val="13"/>
          <w:color w:val="auto"/>
        </w:rPr>
        <w:t>This prospectus also relates to the offer and sale from time to time by the selling securityholders named in this prospectus (the “Selling Securityholders”) of up to 57,432,395 shares of Common Stock and warrants to purchase up to 3,719,000 shares of Common Stock, consisting of (i) 10,207,246 shares of Common Stock (the “Founder Shares”) initially acquired by our predecessor’s sponsor, GigAcquisitions7 Corp., a Cayman Islands exempted company (the “Sponsor”), at an effective purchase price of $0.00979696 per share, of which the Sponsor retains 9,932,246 shares and previously transferred 100,000 shares to the Philharmonic-Symphonic Society of New York (the “NY Philharmonic”) as a charitable contribution, and 175,000 shares to Yield Point NY LLC (“Yield Point”) in a sale on January 21, 2026 for an aggregate purchase price of $148,750, (ii) 3,126,087 shares of Common Stock (the “Private Placement Shares”) acquired by certain non-managing investors in private placements of shares prior to the IPO (300,000 shares) at an effective purchase price of $0.01 per share or concurrently with the IPO (2,826,087 shares) at an effective purchase price of $1.15 per share, (iii) 44,099,062 shares of Common Stock (“Closing Shares”) issued to former holders of shares of common stock of Hadron OpCo as merger consideration for such shares in connection with the Business Combination, which are parties to the Amended and Restated Registration Rights Agreement, dated May 22, 2026, and the closing price of the shares issued as merger consideration on such date was $5.16 per share, and</w:t>
      </w:r>
    </w:p>
    <w:p>
      <w:pPr>
        <w:spacing w:after="0" w:line="6" w:lineRule="exact"/>
        <w:rPr>
          <w:sz w:val="20"/>
          <w:szCs w:val="20"/>
          <w:color w:val="auto"/>
        </w:rPr>
      </w:pPr>
    </w:p>
    <w:p>
      <w:pPr>
        <w:ind w:left="3" w:right="1039" w:hanging="3"/>
        <w:spacing w:after="0" w:line="250" w:lineRule="auto"/>
        <w:tabs>
          <w:tab w:leader="none" w:pos="23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3,719,000 Private Warrants issued to the Sponsor as a part of the units in the private placement, at an effective purchase price of $11.50 per warrant. We will not receive any proceeds from the sale of shares of Common Stock or Private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 Additional details regarding the securities to which this prospectus relates and the Selling Securityholders are set forth in this prospectus under the heading “</w:t>
      </w:r>
      <w:r>
        <w:rPr>
          <w:rFonts w:ascii="Times New Roman" w:cs="Times New Roman" w:eastAsia="Times New Roman" w:hAnsi="Times New Roman"/>
          <w:sz w:val="14"/>
          <w:szCs w:val="14"/>
          <w:i w:val="1"/>
          <w:iCs w:val="1"/>
          <w:color w:val="auto"/>
        </w:rPr>
        <w:t>Description of Securities</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3" w:right="979" w:firstLine="287"/>
        <w:spacing w:after="0" w:line="254" w:lineRule="auto"/>
        <w:rPr>
          <w:sz w:val="20"/>
          <w:szCs w:val="20"/>
          <w:color w:val="auto"/>
        </w:rPr>
      </w:pPr>
      <w:r>
        <w:rPr>
          <w:rFonts w:ascii="Times New Roman" w:cs="Times New Roman" w:eastAsia="Times New Roman" w:hAnsi="Times New Roman"/>
          <w:sz w:val="14"/>
          <w:szCs w:val="14"/>
          <w:color w:val="auto"/>
        </w:rPr>
        <w:t>We could receive up to an aggregate of approximately $333 million if all of the Warrants are exercised for cash. However, we will only receive such proceeds if and when the holders of the Warrants exercise the Warrants for cash. The exercise of the Warrants, and any proceeds we may receive from any of their exercise, are highly dependent on the price of our shares of Common Stock and the spread between the exercise price of the Warrants and the price of our Common Stock at the time of exercise. We have outstanding (i) 20,000,000 Public Warrants to purchase 20,000,000 shares of our Common Stock, exercisable at an exercise price of $11.50 per warrant, (ii)</w:t>
      </w:r>
    </w:p>
    <w:p>
      <w:pPr>
        <w:sectPr>
          <w:pgSz w:w="11900" w:h="16838" w:orient="portrait"/>
          <w:cols w:equalWidth="0" w:num="2">
            <w:col w:w="1840" w:space="217"/>
            <w:col w:w="8102"/>
          </w:cols>
          <w:pgMar w:left="300" w:top="40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3,719,000 Private Warrants to purchase 3,719,000 shares of our Common Stock, exercisable at an exercise price of $11.50 per warrant, and (iii) 5,000,000 Hadron Private Warrants to purchase 5,000,000 shares of our Common Stock, exercisable at an exercise price of $12.00 per warrant. If the market price of our Common Stock is less than the exercise price of a holder’s Warrants, it is unlikely that holders will exercise their Warrants. As of June 12, 2026, the closing price of our Common Stock was $2.74 per share. There can be no assurance that our Warrants will be in the money prior to their expiration. Our Public Warrants under certain conditions, as described in the Warrant Agreement (as defined below), are redeemable by us at a price of $0.01 per Public Warrant. The Private Warrants and Hadron Private Warrants are not redeemable and are exercisable on a cash or cashless basis; if the Private Warrants or Hadron Private Warrants are exercised on a “cashless basis,” whether or not the Private Warrants or Hadron Private Warrants are in the money, we will not receive cash for such exercise. As such, it is possible that we may never generate any cash proceeds from the exercise of our Warrants.</w:t>
      </w:r>
    </w:p>
    <w:p>
      <w:pPr>
        <w:spacing w:after="0" w:line="147" w:lineRule="exact"/>
        <w:rPr>
          <w:sz w:val="20"/>
          <w:szCs w:val="20"/>
          <w:color w:val="auto"/>
        </w:rPr>
      </w:pPr>
    </w:p>
    <w:p>
      <w:pPr>
        <w:ind w:left="1400" w:right="359" w:firstLine="340"/>
        <w:spacing w:after="0" w:line="254" w:lineRule="auto"/>
        <w:rPr>
          <w:sz w:val="20"/>
          <w:szCs w:val="20"/>
          <w:color w:val="auto"/>
        </w:rPr>
      </w:pPr>
      <w:r>
        <w:rPr>
          <w:rFonts w:ascii="Times New Roman" w:cs="Times New Roman" w:eastAsia="Times New Roman" w:hAnsi="Times New Roman"/>
          <w:sz w:val="14"/>
          <w:szCs w:val="14"/>
          <w:color w:val="auto"/>
        </w:rPr>
        <w:t>We are registering the securities for resale pursuant to the Selling Securityholders’ registration rights under certain agreements between us and such persons. Our registration of the securities covered by this prospectus does not mean that the Selling Securityholders will offer or sell any of the shares of Common Stock. The Selling Securityholders may offer, sell or distribute all or a portion of their shares of Common Stock publicly or through private transactions at prevailing market prices or at negotiated prices. We will not receive any proceeds from the sale of shares of Common Stock by the Selling Securityholders, pursuant to this prospectus. We provide more information about how the Selling Securityholders may sell the shares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400" w:right="499" w:firstLine="340"/>
        <w:spacing w:after="0" w:line="319" w:lineRule="auto"/>
        <w:rPr>
          <w:sz w:val="20"/>
          <w:szCs w:val="20"/>
          <w:color w:val="auto"/>
        </w:rPr>
      </w:pPr>
      <w:r>
        <w:rPr>
          <w:rFonts w:ascii="Times New Roman" w:cs="Times New Roman" w:eastAsia="Times New Roman" w:hAnsi="Times New Roman"/>
          <w:sz w:val="13"/>
          <w:szCs w:val="13"/>
          <w:color w:val="auto"/>
        </w:rPr>
        <w:t>We are an “emerging growth company” as defined in Section 2(a) of the Securities Act of 1933, as amended, and are subject to reduced public company reporting requirements. This prospectus complies with the requirements that apply to an issuer that is an emerging growth company.</w:t>
      </w:r>
    </w:p>
    <w:p>
      <w:pPr>
        <w:spacing w:after="0" w:line="103"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Sales of a substantial number of shares of Common Stock in the public market, including the resale of the shares of Common Stock held by our stockholders pursuant to this prospectus or pursuant to Rule 144, could occur at any time. These sales, or the perception in the market that the holders of a large number of shares of Common Stock intend to sell shares, could reduce the market price of the Common Stock and make it more difficult for you to sell your holdings at times and prices that you determine are appropriate. Shares of Common Stock held by certain of our stockholders, including the Sponsor, were purchased at an effective price lower than the current market price of our Common Stock. Accordingly, such stockholders could sell their securities at a per-share price that is less than the purchase price other stockholders paid and still realize a significant profit from the sale of those securities that could not be realized by our other stockholders. Furthermore, we expect that, because there is a large number of shares being registered pursuant to the registration statement of which this prospectus forms a part, the Selling Securityholders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150"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Our Common Stock is listed on The Nasdaq Global Market (“Nasdaq”) under the symbol “HDRN,” and our Public Warrants are traded on Nasdaq under the symbol “HDRNW.” On June 12, 2026, the closing price of our Common Stock was $2.74, and on June 12, 2026, the closing price for our Public Warrants was $0.28.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161925</wp:posOffset>
            </wp:positionV>
            <wp:extent cx="113855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388" w:lineRule="exact"/>
        <w:rPr>
          <w:sz w:val="20"/>
          <w:szCs w:val="20"/>
          <w:color w:val="auto"/>
        </w:rPr>
      </w:pPr>
    </w:p>
    <w:p>
      <w:pPr>
        <w:ind w:left="1400" w:right="519" w:firstLine="340"/>
        <w:spacing w:after="0" w:line="261" w:lineRule="auto"/>
        <w:rPr>
          <w:sz w:val="20"/>
          <w:szCs w:val="20"/>
          <w:color w:val="auto"/>
        </w:rPr>
      </w:pPr>
      <w:r>
        <w:rPr>
          <w:rFonts w:ascii="Times New Roman" w:cs="Times New Roman" w:eastAsia="Times New Roman" w:hAnsi="Times New Roman"/>
          <w:sz w:val="17"/>
          <w:szCs w:val="17"/>
          <w:b w:val="1"/>
          <w:bCs w:val="1"/>
          <w:color w:val="auto"/>
        </w:rPr>
        <w:t>See the section entitled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15 of this prospectus to read about factors you should consider before buying our securities.</w:t>
      </w:r>
    </w:p>
    <w:p>
      <w:pPr>
        <w:spacing w:after="0" w:line="125" w:lineRule="exact"/>
        <w:rPr>
          <w:sz w:val="20"/>
          <w:szCs w:val="20"/>
          <w:color w:val="auto"/>
        </w:rPr>
      </w:pPr>
    </w:p>
    <w:p>
      <w:pPr>
        <w:ind w:left="1400" w:right="37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154305</wp:posOffset>
            </wp:positionV>
            <wp:extent cx="113855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date of this prospectus is [   ], 2026.</w:t>
      </w:r>
    </w:p>
    <w:p>
      <w:pPr>
        <w:spacing w:after="0" w:line="173" w:lineRule="exact"/>
        <w:rPr>
          <w:sz w:val="20"/>
          <w:szCs w:val="20"/>
          <w:color w:val="auto"/>
        </w:rPr>
      </w:pPr>
    </w:p>
    <w:p>
      <w:pPr>
        <w:ind w:left="1400" w:right="359" w:firstLine="340"/>
        <w:spacing w:after="0" w:line="255"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ectPr>
          <w:pgSz w:w="11900" w:h="16838" w:orient="portrait"/>
          <w:cols w:equalWidth="0" w:num="1">
            <w:col w:w="10159"/>
          </w:cols>
          <w:pgMar w:left="300" w:top="40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4"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150"/>
        </w:trPr>
        <w:tc>
          <w:tcPr>
            <w:tcW w:w="1720" w:type="dxa"/>
            <w:vAlign w:val="bottom"/>
            <w:tcBorders>
              <w:bottom w:val="single" w:sz="8" w:color="0000EE"/>
            </w:tcBorders>
            <w:gridSpan w:val="12"/>
          </w:tcPr>
          <w:p>
            <w:pPr>
              <w:spacing w:after="0" w:line="151"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6220" w:type="dxa"/>
            <w:vAlign w:val="bottom"/>
            <w:gridSpan w:val="13"/>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4460" w:type="dxa"/>
            <w:vAlign w:val="bottom"/>
            <w:tcBorders>
              <w:bottom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3480" w:type="dxa"/>
            <w:vAlign w:val="bottom"/>
            <w:gridSpan w:val="3"/>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r>
      <w:tr>
        <w:trPr>
          <w:trHeight w:val="147"/>
        </w:trPr>
        <w:tc>
          <w:tcPr>
            <w:tcW w:w="794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PROSPECTUS SUMMARY</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96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5"/>
              </w:rPr>
              <w:t>RISK FACTORS</w:t>
            </w:r>
          </w:p>
        </w:tc>
        <w:tc>
          <w:tcPr>
            <w:tcW w:w="640" w:type="dxa"/>
            <w:vAlign w:val="bottom"/>
            <w:tcBorders>
              <w:top w:val="single" w:sz="8" w:color="0000EE"/>
            </w:tcBorders>
            <w:gridSpan w:val="6"/>
          </w:tcPr>
          <w:p>
            <w:pPr>
              <w:spacing w:after="0"/>
              <w:rPr>
                <w:sz w:val="12"/>
                <w:szCs w:val="12"/>
                <w:color w:val="auto"/>
              </w:rPr>
            </w:pPr>
          </w:p>
        </w:tc>
        <w:tc>
          <w:tcPr>
            <w:tcW w:w="6340" w:type="dxa"/>
            <w:vAlign w:val="bottom"/>
            <w:gridSpan w:val="14"/>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7"/>
        </w:trPr>
        <w:tc>
          <w:tcPr>
            <w:tcW w:w="122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6720" w:type="dxa"/>
            <w:vAlign w:val="bottom"/>
            <w:gridSpan w:val="16"/>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45</w:t>
            </w:r>
          </w:p>
        </w:tc>
      </w:tr>
      <w:tr>
        <w:trPr>
          <w:trHeight w:val="147"/>
        </w:trPr>
        <w:tc>
          <w:tcPr>
            <w:tcW w:w="248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7"/>
              </w:rPr>
              <w:t>DETERMINATION OF OFFERING PRICE</w:t>
            </w:r>
          </w:p>
        </w:tc>
        <w:tc>
          <w:tcPr>
            <w:tcW w:w="5460" w:type="dxa"/>
            <w:vAlign w:val="bottom"/>
            <w:gridSpan w:val="9"/>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46</w:t>
            </w:r>
          </w:p>
        </w:tc>
      </w:tr>
      <w:tr>
        <w:trPr>
          <w:trHeight w:val="147"/>
        </w:trPr>
        <w:tc>
          <w:tcPr>
            <w:tcW w:w="794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DIVIDEND POLICY</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w:t>
            </w:r>
          </w:p>
        </w:tc>
      </w:tr>
      <w:tr>
        <w:trPr>
          <w:trHeight w:val="20"/>
        </w:trPr>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7"/>
        </w:trPr>
        <w:tc>
          <w:tcPr>
            <w:tcW w:w="420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w w:val="98"/>
              </w:rPr>
              <w:t>UNAUDITED PRO FORMA COMBINED FINANCIAL INFORMATION</w:t>
            </w:r>
          </w:p>
        </w:tc>
        <w:tc>
          <w:tcPr>
            <w:tcW w:w="3740" w:type="dxa"/>
            <w:vAlign w:val="bottom"/>
            <w:gridSpan w:val="5"/>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48</w:t>
            </w:r>
          </w:p>
        </w:tc>
      </w:tr>
      <w:tr>
        <w:trPr>
          <w:trHeight w:val="147"/>
        </w:trPr>
        <w:tc>
          <w:tcPr>
            <w:tcW w:w="7680" w:type="dxa"/>
            <w:vAlign w:val="bottom"/>
            <w:tcBorders>
              <w:bottom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4"/>
                <w:szCs w:val="14"/>
                <w:color w:val="0000EE"/>
                <w:w w:val="97"/>
              </w:rPr>
              <w:t>MANAGEMENT’S DISCUSSION AND ANALYSIS OF FINANCIAL CONDITION AND RESULTS OF OPERATIONS OF PRIVATE</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7"/>
        </w:trPr>
        <w:tc>
          <w:tcPr>
            <w:tcW w:w="120" w:type="dxa"/>
            <w:vAlign w:val="bottom"/>
          </w:tcPr>
          <w:p>
            <w:pPr>
              <w:spacing w:after="0"/>
              <w:rPr>
                <w:sz w:val="12"/>
                <w:szCs w:val="12"/>
                <w:color w:val="auto"/>
              </w:rPr>
            </w:pPr>
          </w:p>
        </w:tc>
        <w:tc>
          <w:tcPr>
            <w:tcW w:w="782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HADRON</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7"/>
        </w:trPr>
        <w:tc>
          <w:tcPr>
            <w:tcW w:w="794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BUSINESS</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7"/>
        </w:trPr>
        <w:tc>
          <w:tcPr>
            <w:tcW w:w="100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6"/>
              </w:rPr>
              <w:t>MANAGEMENT</w:t>
            </w:r>
          </w:p>
        </w:tc>
        <w:tc>
          <w:tcPr>
            <w:tcW w:w="6940" w:type="dxa"/>
            <w:vAlign w:val="bottom"/>
            <w:gridSpan w:val="19"/>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86</w:t>
            </w:r>
          </w:p>
        </w:tc>
      </w:tr>
      <w:tr>
        <w:trPr>
          <w:trHeight w:val="147"/>
        </w:trPr>
        <w:tc>
          <w:tcPr>
            <w:tcW w:w="296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8"/>
              </w:rPr>
              <w:t>EXECUTIVE AND DIRECTOR COMPENSATION</w:t>
            </w:r>
          </w:p>
        </w:tc>
        <w:tc>
          <w:tcPr>
            <w:tcW w:w="4980" w:type="dxa"/>
            <w:vAlign w:val="bottom"/>
            <w:gridSpan w:val="7"/>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99</w:t>
            </w:r>
          </w:p>
        </w:tc>
      </w:tr>
      <w:tr>
        <w:trPr>
          <w:trHeight w:val="147"/>
        </w:trPr>
        <w:tc>
          <w:tcPr>
            <w:tcW w:w="4220" w:type="dxa"/>
            <w:vAlign w:val="bottom"/>
            <w:tcBorders>
              <w:bottom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w w:val="97"/>
              </w:rPr>
              <w:t>CERTAIN RELATIONSHIPS AND RELATED PARTY TRANSACTIONS</w:t>
            </w:r>
          </w:p>
        </w:tc>
        <w:tc>
          <w:tcPr>
            <w:tcW w:w="3720" w:type="dxa"/>
            <w:vAlign w:val="bottom"/>
            <w:gridSpan w:val="4"/>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102</w:t>
            </w:r>
          </w:p>
        </w:tc>
      </w:tr>
      <w:tr>
        <w:trPr>
          <w:trHeight w:val="147"/>
        </w:trPr>
        <w:tc>
          <w:tcPr>
            <w:tcW w:w="206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7"/>
              </w:rPr>
              <w:t>PRINCIPAL SECURITYHOLDERS</w:t>
            </w:r>
          </w:p>
        </w:tc>
        <w:tc>
          <w:tcPr>
            <w:tcW w:w="5880" w:type="dxa"/>
            <w:vAlign w:val="bottom"/>
            <w:gridSpan w:val="11"/>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105</w:t>
            </w:r>
          </w:p>
        </w:tc>
      </w:tr>
      <w:tr>
        <w:trPr>
          <w:trHeight w:val="147"/>
        </w:trPr>
        <w:tc>
          <w:tcPr>
            <w:tcW w:w="794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SELLING SECURITYHOLDERS</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7"/>
        </w:trPr>
        <w:tc>
          <w:tcPr>
            <w:tcW w:w="794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DESCRIPTION OF SECURITIES</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7"/>
        </w:trPr>
        <w:tc>
          <w:tcPr>
            <w:tcW w:w="4540" w:type="dxa"/>
            <w:vAlign w:val="bottom"/>
            <w:tcBorders>
              <w:bottom w:val="single" w:sz="8" w:color="0000EE"/>
            </w:tcBorders>
            <w:gridSpan w:val="23"/>
          </w:tcPr>
          <w:p>
            <w:pPr>
              <w:spacing w:after="0" w:line="147" w:lineRule="exact"/>
              <w:rPr>
                <w:sz w:val="20"/>
                <w:szCs w:val="20"/>
                <w:color w:val="auto"/>
              </w:rPr>
            </w:pPr>
            <w:r>
              <w:rPr>
                <w:rFonts w:ascii="Times New Roman" w:cs="Times New Roman" w:eastAsia="Times New Roman" w:hAnsi="Times New Roman"/>
                <w:sz w:val="14"/>
                <w:szCs w:val="14"/>
                <w:color w:val="0000EE"/>
                <w:w w:val="97"/>
              </w:rPr>
              <w:t>MATERIAL UNITED STATES FEDERAL INCOME TAX CONSIDERATIONS</w:t>
            </w:r>
          </w:p>
        </w:tc>
        <w:tc>
          <w:tcPr>
            <w:tcW w:w="3400" w:type="dxa"/>
            <w:vAlign w:val="bottom"/>
            <w:gridSpan w:val="2"/>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121</w:t>
            </w:r>
          </w:p>
        </w:tc>
      </w:tr>
      <w:tr>
        <w:trPr>
          <w:trHeight w:val="147"/>
        </w:trPr>
        <w:tc>
          <w:tcPr>
            <w:tcW w:w="158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6360" w:type="dxa"/>
            <w:vAlign w:val="bottom"/>
            <w:gridSpan w:val="15"/>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128</w:t>
            </w:r>
          </w:p>
        </w:tc>
      </w:tr>
      <w:tr>
        <w:trPr>
          <w:trHeight w:val="147"/>
        </w:trPr>
        <w:tc>
          <w:tcPr>
            <w:tcW w:w="112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5"/>
              </w:rPr>
              <w:t>LEGAL MATTERS</w:t>
            </w:r>
          </w:p>
        </w:tc>
        <w:tc>
          <w:tcPr>
            <w:tcW w:w="6820" w:type="dxa"/>
            <w:vAlign w:val="bottom"/>
            <w:gridSpan w:val="18"/>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131</w:t>
            </w:r>
          </w:p>
        </w:tc>
      </w:tr>
      <w:tr>
        <w:trPr>
          <w:trHeight w:val="147"/>
        </w:trPr>
        <w:tc>
          <w:tcPr>
            <w:tcW w:w="794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47"/>
        </w:trPr>
        <w:tc>
          <w:tcPr>
            <w:tcW w:w="2940" w:type="dxa"/>
            <w:vAlign w:val="bottom"/>
            <w:tcBorders>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5000" w:type="dxa"/>
            <w:vAlign w:val="bottom"/>
            <w:gridSpan w:val="8"/>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131</w:t>
            </w:r>
          </w:p>
        </w:tc>
      </w:tr>
      <w:tr>
        <w:trPr>
          <w:trHeight w:val="314"/>
        </w:trPr>
        <w:tc>
          <w:tcPr>
            <w:tcW w:w="23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w w:val="96"/>
              </w:rPr>
              <w:t>INDEX TO FINANCIAL STATEMENTS</w:t>
            </w:r>
          </w:p>
        </w:tc>
        <w:tc>
          <w:tcPr>
            <w:tcW w:w="560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F-1</w:t>
            </w:r>
          </w:p>
        </w:tc>
      </w:tr>
      <w:tr>
        <w:trPr>
          <w:trHeight w:val="147"/>
        </w:trPr>
        <w:tc>
          <w:tcPr>
            <w:tcW w:w="794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PART II INFORMATION NOT REQUIRED IN PROSPECTUS</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II-1</w:t>
            </w:r>
          </w:p>
        </w:tc>
      </w:tr>
      <w:tr>
        <w:trPr>
          <w:trHeight w:val="147"/>
        </w:trPr>
        <w:tc>
          <w:tcPr>
            <w:tcW w:w="840" w:type="dxa"/>
            <w:vAlign w:val="bottom"/>
            <w:tcBorders>
              <w:top w:val="single" w:sz="8" w:color="0000EE"/>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4"/>
              </w:rPr>
              <w:t>SIGNATURES</w:t>
            </w:r>
          </w:p>
        </w:tc>
        <w:tc>
          <w:tcPr>
            <w:tcW w:w="2740" w:type="dxa"/>
            <w:vAlign w:val="bottom"/>
            <w:tcBorders>
              <w:top w:val="single" w:sz="8" w:color="0000EE"/>
            </w:tcBorders>
            <w:gridSpan w:val="15"/>
          </w:tcPr>
          <w:p>
            <w:pPr>
              <w:spacing w:after="0"/>
              <w:rPr>
                <w:sz w:val="12"/>
                <w:szCs w:val="12"/>
                <w:color w:val="auto"/>
              </w:rPr>
            </w:pPr>
          </w:p>
        </w:tc>
        <w:tc>
          <w:tcPr>
            <w:tcW w:w="4360" w:type="dxa"/>
            <w:vAlign w:val="bottom"/>
            <w:gridSpan w:val="6"/>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II-9</w:t>
            </w:r>
          </w:p>
        </w:tc>
      </w:tr>
    </w:tbl>
    <w:p>
      <w:pPr>
        <w:sectPr>
          <w:pgSz w:w="11900" w:h="16838" w:orient="portrait"/>
          <w:cols w:equalWidth="0" w:num="1">
            <w:col w:w="10159"/>
          </w:cols>
          <w:pgMar w:left="300" w:top="40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5"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 of the securities offered by them described in this prospectus. This prospectus also relates to the issuance by us of the shares of the Common Stock issuable upon the exercise of any Warrants. We will not receive any proceeds from the sale of shares of the Common Stock underlying the Warrants pursuant to this prospectus, except with respect to amounts received by us upon the exercise of the Warrants for cash. The exercise of the Warrants, and any proceeds we may receive from any of their exercise, are highly dependent on the price of our shares of the Common Stock and the spread between the exercise price of the Warrants and the price of our Common Stock at the time of exercise. If the market price of our Common Stock is less than the exercise price of a holder’s Warrants, it is unlikely that holders will exercise their Warrants. There can be no assurance that our Warrants will be in the money prior to their expiration.</w:t>
      </w:r>
    </w:p>
    <w:p>
      <w:pPr>
        <w:spacing w:after="0" w:line="147"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 You should not assume that the information contained in this prospectus is accurate as of any date other than the date of this prospectus. Our business, financial condition, results of operations and prospects may have changed since that date.</w:t>
      </w:r>
    </w:p>
    <w:p>
      <w:pPr>
        <w:spacing w:after="0" w:line="145"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4"/>
          <w:szCs w:val="14"/>
          <w:i w:val="1"/>
          <w:iCs w:val="1"/>
          <w:color w:val="auto"/>
        </w:rPr>
        <w:t>Where You Can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Find More Information</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400" w:right="339" w:firstLine="340"/>
        <w:spacing w:after="0" w:line="273" w:lineRule="auto"/>
        <w:rPr>
          <w:sz w:val="20"/>
          <w:szCs w:val="20"/>
          <w:color w:val="auto"/>
        </w:rPr>
      </w:pPr>
      <w:r>
        <w:rPr>
          <w:rFonts w:ascii="Times New Roman" w:cs="Times New Roman" w:eastAsia="Times New Roman" w:hAnsi="Times New Roman"/>
          <w:sz w:val="13"/>
          <w:szCs w:val="13"/>
          <w:color w:val="auto"/>
        </w:rPr>
        <w:t>On September 27, 2025, GigCapital7 Corp., a Cayman Islands exempted company (“GigCapital7”) entered into a Business Combination Agreement, as amended (the “Business Combination Agreement”), with Hadron Energy, Inc., a Delaware corporation (“Private Hadron”), pursuant to which, following the domestication of GigCapital7 from the Cayman Islands to the State of Delaware (“Domesticated GigCapital7”) (the “Domestication”), MMR Merger Sub, Inc., a Delaware corporation and wholly owned subsidiary of GigCapital7 (“Merger Sub”) merged with and into Private Hadron, with Private Hadron surviving the merger as a wholly owned subsidiary of GigCapital7 (the “Merger” and, together with the Domestication and the other transactions contemplated by the Business Combination Agreement, the “Business Combination”) and being renamed as “Hadron Energy Operating Company, Inc.” (“Hadron OpCo”). Following the closing of the Business Combination on May 22, 2026 (the “Closing”), Domesticated GigCapital7 was renamed “Hadron Energy, Inc.” and is referred to herein as the “Company” or “Hadron Energy.” Unless the context indicates otherwise, references in this prospectus to the “Company,” “Hadron Energy,” “we,” “us,” “our” and similar terms refer to Hadron Energy, Inc. (f/k/a GigCapital7 Corp.). References to “GigCapital7” refer to our predecessor company prior to the consummation of the Business Combination.</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40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819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8295" cy="4819015"/>
                    </a:xfrm>
                    <a:prstGeom prst="rect">
                      <a:avLst/>
                    </a:prstGeom>
                    <a:noFill/>
                  </pic:spPr>
                </pic:pic>
              </a:graphicData>
            </a:graphic>
          </wp:anchor>
        </w:drawing>
      </w:r>
    </w:p>
    <w:p>
      <w:pPr>
        <w:spacing w:after="0" w:line="36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5" w:lineRule="exact"/>
        <w:rPr>
          <w:sz w:val="20"/>
          <w:szCs w:val="20"/>
          <w:color w:val="auto"/>
        </w:rPr>
      </w:pPr>
    </w:p>
    <w:p>
      <w:pPr>
        <w:ind w:left="1540" w:right="419" w:firstLine="329"/>
        <w:spacing w:after="0" w:line="252" w:lineRule="auto"/>
        <w:rPr>
          <w:sz w:val="20"/>
          <w:szCs w:val="20"/>
          <w:color w:val="auto"/>
        </w:rPr>
      </w:pPr>
      <w:r>
        <w:rPr>
          <w:rFonts w:ascii="Times New Roman" w:cs="Times New Roman" w:eastAsia="Times New Roman" w:hAnsi="Times New Roman"/>
          <w:sz w:val="14"/>
          <w:szCs w:val="14"/>
          <w:color w:val="auto"/>
        </w:rPr>
        <w:t>The Company makes forward-looking statements in this prospectus and in documents incorporated herein by reference. All statements, other than statements of present or historical fact included in or incorporated by reference in this prospectus, regarding the Company’s future financial performance, as well as the Company’s strategy, future operations, financial position, estimated revenues, and losses, projected costs, prospects, plans and objectives of management are forward-looking statements. When used in this prospectus, the words “anticipate,” “believe,” “continue,” “could,” “estimate,” “expect,” “intends,” “may,” “might,” “plan,” “possible,” “potential,” “predict,” “project,” “should,” “will,” “would” and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spacing w:after="0" w:line="145" w:lineRule="exact"/>
        <w:rPr>
          <w:sz w:val="20"/>
          <w:szCs w:val="20"/>
          <w:color w:val="auto"/>
        </w:rPr>
      </w:pPr>
    </w:p>
    <w:p>
      <w:pPr>
        <w:ind w:left="1540" w:right="399" w:firstLine="329"/>
        <w:spacing w:after="0" w:line="253"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prospectus and the Company’s management team’s current expectations, forecasts and assumptions, and involve a number of judgments, known and unknown risks and uncertainties and other factors, many of which are outside the control of the Company and its directors, officers and affiliates. Accordingly, forward-looking statements should not be relied upon as representing the Company’s management team’s views as of any subsequent date. The Company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47" w:lineRule="exact"/>
        <w:rPr>
          <w:sz w:val="20"/>
          <w:szCs w:val="20"/>
          <w:color w:val="auto"/>
        </w:rPr>
      </w:pPr>
    </w:p>
    <w:p>
      <w:pPr>
        <w:ind w:left="1540" w:right="459" w:firstLine="329"/>
        <w:spacing w:after="0" w:line="259"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66" w:lineRule="exact"/>
        <w:rPr>
          <w:sz w:val="20"/>
          <w:szCs w:val="20"/>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estimates and forecasts of revenue and other financial and performance metrics;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about industry trends and market opportunity;</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scale and grow its business;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meet and maintain listing standards following the business combination;</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recognize the anticipated benefits of the business combination;</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and regulations;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market volatility;</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Company does not ever enter into any definitive agreements in connection with commercialization of its technology;</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Company is pursuing an emerging market;</w:t>
      </w:r>
    </w:p>
    <w:p>
      <w:pPr>
        <w:spacing w:after="0" w:line="97"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set forth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other documents filed, or to be filed, with the SEC by the Company;</w:t>
      </w:r>
    </w:p>
    <w:p>
      <w:pPr>
        <w:spacing w:after="0" w:line="101"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time delays, unforeseen expenses, increased capital costs, and other complications;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obtain sufficient capital or other resources necessary to provide for such production;</w:t>
      </w:r>
    </w:p>
    <w:p>
      <w:pPr>
        <w:spacing w:after="0" w:line="26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40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826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08295" cy="4826000"/>
                    </a:xfrm>
                    <a:prstGeom prst="rect">
                      <a:avLst/>
                    </a:prstGeom>
                    <a:noFill/>
                  </pic:spPr>
                </pic:pic>
              </a:graphicData>
            </a:graphic>
          </wp:anchor>
        </w:drawing>
      </w:r>
    </w:p>
    <w:p>
      <w:pPr>
        <w:spacing w:after="0" w:line="363" w:lineRule="exact"/>
        <w:rPr>
          <w:sz w:val="20"/>
          <w:szCs w:val="20"/>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by management to manage growth properly could negatively impact our business;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or other utility disruption or shortage;</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costs, including rising electricity and other utility costs, or limited access to raw materials;</w:t>
      </w:r>
    </w:p>
    <w:p>
      <w:pPr>
        <w:spacing w:after="0" w:line="99" w:lineRule="exact"/>
        <w:rPr>
          <w:rFonts w:ascii="Times New Roman" w:cs="Times New Roman" w:eastAsia="Times New Roman" w:hAnsi="Times New Roman"/>
          <w:sz w:val="14"/>
          <w:szCs w:val="14"/>
          <w:color w:val="auto"/>
        </w:rPr>
      </w:pPr>
    </w:p>
    <w:p>
      <w:pPr>
        <w:ind w:left="2260" w:right="939" w:hanging="322"/>
        <w:spacing w:after="0" w:line="279"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comply with the laws and regulations governing the use, transportation, and disposal of toxic, hazardous and/or radioactive materials;</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to meet individual customer specifications;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or similar difficulties, breakdown in labor relations, or a shortage of skilled technicians and engineers;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retain key personnel or attract additional qualified personnel;</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force majeure events;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extensive and costly environmental requirements;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obtain and sustain governmental permits and approvals;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applicable anti-corruption, anti-bribery, anti-money laundering and similar laws and regulations;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compliance with environmental, health and safety regulations;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climate change;</w:t>
      </w:r>
    </w:p>
    <w:p>
      <w:pPr>
        <w:spacing w:after="0" w:line="99" w:lineRule="exact"/>
        <w:rPr>
          <w:rFonts w:ascii="Times New Roman" w:cs="Times New Roman" w:eastAsia="Times New Roman" w:hAnsi="Times New Roman"/>
          <w:sz w:val="14"/>
          <w:szCs w:val="14"/>
          <w:color w:val="auto"/>
        </w:rPr>
      </w:pPr>
    </w:p>
    <w:p>
      <w:pPr>
        <w:ind w:left="2260" w:right="679" w:hanging="322"/>
        <w:spacing w:after="0" w:line="279"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litigation risks, including permit disputes (including in respect of access and/or validity of tenure), environmental claims, occupational health and safety claims and employee claims;</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infringement of the intellectual property rights of third parties;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protect intellectual property rights;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with information technology systems, including cyber threats, disruption, damage and failure;</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resources and management attention related to the requirements of being a public company in the United States;</w:t>
      </w:r>
    </w:p>
    <w:p>
      <w:pPr>
        <w:spacing w:after="0" w:line="99"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the negative public or political perception of Hadron Energy or the nuclear energy industry in general;</w:t>
      </w:r>
    </w:p>
    <w:p>
      <w:pPr>
        <w:spacing w:after="0" w:line="99" w:lineRule="exact"/>
        <w:rPr>
          <w:rFonts w:ascii="Times New Roman" w:cs="Times New Roman" w:eastAsia="Times New Roman" w:hAnsi="Times New Roman"/>
          <w:sz w:val="14"/>
          <w:szCs w:val="14"/>
          <w:color w:val="auto"/>
        </w:rPr>
      </w:pPr>
    </w:p>
    <w:p>
      <w:pPr>
        <w:ind w:left="2260" w:right="839" w:hanging="322"/>
        <w:spacing w:after="0" w:line="279" w:lineRule="auto"/>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United States trade policies, including new tariffs or the renegotiation or termination of existing trade agreements or treaties;</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governmental support for competing technologies or their fuel supply may reduce our competitive advantage; and</w:t>
      </w:r>
    </w:p>
    <w:p>
      <w:pPr>
        <w:spacing w:after="0" w:line="97"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set forth in this prospectus in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15.</w:t>
      </w:r>
    </w:p>
    <w:p>
      <w:pPr>
        <w:spacing w:after="0" w:line="175" w:lineRule="exact"/>
        <w:rPr>
          <w:sz w:val="20"/>
          <w:szCs w:val="20"/>
          <w:color w:val="auto"/>
        </w:rPr>
      </w:pPr>
    </w:p>
    <w:p>
      <w:pPr>
        <w:ind w:left="1540" w:right="519" w:firstLine="329"/>
        <w:spacing w:after="0" w:line="254" w:lineRule="auto"/>
        <w:rPr>
          <w:sz w:val="20"/>
          <w:szCs w:val="20"/>
          <w:color w:val="auto"/>
        </w:rPr>
      </w:pPr>
      <w:r>
        <w:rPr>
          <w:rFonts w:ascii="Times New Roman" w:cs="Times New Roman" w:eastAsia="Times New Roman" w:hAnsi="Times New Roman"/>
          <w:sz w:val="14"/>
          <w:szCs w:val="14"/>
          <w:color w:val="auto"/>
        </w:rPr>
        <w:t>If any of these risks materialize or our assumptions prove incorrect, actual results could differ materially from the results implied by these forward-looking statements. The risks and uncertainties above are not exhaustive, and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prospectus. The Company anticipates that subsequent events and developments will cause the Company’s assessments to change. However, while the Company may</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40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8295" cy="608330"/>
                    </a:xfrm>
                    <a:prstGeom prst="rect">
                      <a:avLst/>
                    </a:prstGeom>
                    <a:noFill/>
                  </pic:spPr>
                </pic:pic>
              </a:graphicData>
            </a:graphic>
          </wp:anchor>
        </w:drawing>
      </w:r>
    </w:p>
    <w:p>
      <w:pPr>
        <w:spacing w:after="0" w:line="363" w:lineRule="exact"/>
        <w:rPr>
          <w:sz w:val="20"/>
          <w:szCs w:val="20"/>
          <w:color w:val="auto"/>
        </w:rPr>
      </w:pPr>
    </w:p>
    <w:p>
      <w:pPr>
        <w:ind w:left="1540" w:right="619"/>
        <w:spacing w:after="0" w:line="259" w:lineRule="auto"/>
        <w:rPr>
          <w:sz w:val="20"/>
          <w:szCs w:val="20"/>
          <w:color w:val="auto"/>
        </w:rPr>
      </w:pPr>
      <w:r>
        <w:rPr>
          <w:rFonts w:ascii="Times New Roman" w:cs="Times New Roman" w:eastAsia="Times New Roman" w:hAnsi="Times New Roman"/>
          <w:sz w:val="14"/>
          <w:szCs w:val="14"/>
          <w:color w:val="auto"/>
        </w:rPr>
        <w:t>elect to update these forward-looking statements at some point in the future, the Company specifically disclaims any obligation to do so. All forward- looking statements attributable to the Company or persons acting on its behalf are expressly qualified in their entirety by the foregoing cautionary statements. These forward-looking statements should not be relied upon as representing the Company’s assessments as of any date subsequent to the date of this prospectus. Accordingly, undue reliance should not be placed upon the forward-looking statements.</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40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845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8295" cy="4845685"/>
                    </a:xfrm>
                    <a:prstGeom prst="rect">
                      <a:avLst/>
                    </a:prstGeom>
                    <a:noFill/>
                  </pic:spPr>
                </pic:pic>
              </a:graphicData>
            </a:graphic>
          </wp:anchor>
        </w:drawing>
      </w: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ind w:left="1540" w:right="439" w:firstLine="329"/>
        <w:spacing w:after="0" w:line="256" w:lineRule="auto"/>
        <w:rPr>
          <w:sz w:val="20"/>
          <w:szCs w:val="20"/>
          <w:color w:val="auto"/>
        </w:rPr>
      </w:pPr>
      <w:r>
        <w:rPr>
          <w:rFonts w:ascii="Times New Roman" w:cs="Times New Roman" w:eastAsia="Times New Roman" w:hAnsi="Times New Roman"/>
          <w:sz w:val="14"/>
          <w:szCs w:val="14"/>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Management’s Discussion and Analysis of Financial Condition and Results of Operations of Private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Hadron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Unaudited Pro Forma Condensed Combined Financial Information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and the consolidated financial statements and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notes included elsewhere in this prospectus before making an investment decision.</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91" w:lineRule="exact"/>
        <w:rPr>
          <w:sz w:val="20"/>
          <w:szCs w:val="20"/>
          <w:color w:val="auto"/>
        </w:rPr>
      </w:pPr>
    </w:p>
    <w:p>
      <w:pPr>
        <w:ind w:left="1540" w:right="479" w:firstLine="329"/>
        <w:spacing w:after="0" w:line="252" w:lineRule="auto"/>
        <w:rPr>
          <w:sz w:val="20"/>
          <w:szCs w:val="20"/>
          <w:color w:val="auto"/>
        </w:rPr>
      </w:pPr>
      <w:r>
        <w:rPr>
          <w:rFonts w:ascii="Times New Roman" w:cs="Times New Roman" w:eastAsia="Times New Roman" w:hAnsi="Times New Roman"/>
          <w:sz w:val="14"/>
          <w:szCs w:val="14"/>
          <w:color w:val="auto"/>
        </w:rPr>
        <w:t>Hadron Energy, Inc., a Delaware corporation (“Hadron Energy” or the “Company”) was incorporated May 2024 as a blank check company under the name GigCapital7 Corp. (“GigCapital7”). In May 2026, the Company completed its business combination with Hadron Energy, Inc. (“Private Hadron”), which resulted in Private Hadron becoming a wholly-owned subsidiary of the Company and being renamed as Hadron Energy Operating Company, Inc. (“Hadron OpCo”). Hadron OpCo is a nuclear energy company founded in 2024 and is a pioneer in Micro Modular Nuclear Reactor (“MMR”) technology. Designed to deliver 10 MW of power, Hadron Energy’s MMR, the Hadron Halo (“Hadron Halo”) is expected to be smaller, more cost-effective, and faster to deploy than other proposed MMR power solutions. The revolutionary design of the Hadron Halo will allow its reactor core and containment shell to be transportable in a shipping container, providing a versatile deployment model for end users. Whether powering an artificial intelligence data center, remote community, or an industrial hub, the Hadron Halo is expected to provide a reliable, safe and scalable nuclear energy solution.</w:t>
      </w:r>
    </w:p>
    <w:p>
      <w:pPr>
        <w:spacing w:after="0" w:line="145" w:lineRule="exact"/>
        <w:rPr>
          <w:sz w:val="20"/>
          <w:szCs w:val="20"/>
          <w:color w:val="auto"/>
        </w:rPr>
      </w:pPr>
    </w:p>
    <w:p>
      <w:pPr>
        <w:ind w:left="1540" w:right="699" w:firstLine="329"/>
        <w:spacing w:after="0" w:line="282" w:lineRule="auto"/>
        <w:rPr>
          <w:sz w:val="20"/>
          <w:szCs w:val="20"/>
          <w:color w:val="auto"/>
        </w:rPr>
      </w:pPr>
      <w:r>
        <w:rPr>
          <w:rFonts w:ascii="Times New Roman" w:cs="Times New Roman" w:eastAsia="Times New Roman" w:hAnsi="Times New Roman"/>
          <w:sz w:val="14"/>
          <w:szCs w:val="14"/>
          <w:color w:val="auto"/>
        </w:rPr>
        <w:t>For more information about the Company, see the sections entitled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Condition and Results of Operations of Private Hadron</w:t>
      </w:r>
      <w:r>
        <w:rPr>
          <w:rFonts w:ascii="Times New Roman" w:cs="Times New Roman" w:eastAsia="Times New Roman" w:hAnsi="Times New Roman"/>
          <w:sz w:val="14"/>
          <w:szCs w:val="14"/>
          <w:color w:val="auto"/>
        </w:rPr>
        <w:t>.”</w:t>
      </w:r>
    </w:p>
    <w:p>
      <w:pPr>
        <w:spacing w:after="0" w:line="20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Products and Services</w:t>
      </w:r>
    </w:p>
    <w:p>
      <w:pPr>
        <w:spacing w:after="0" w:line="9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Company currently intends to offer one product: the Hadron Halo.</w:t>
      </w:r>
    </w:p>
    <w:p>
      <w:pPr>
        <w:spacing w:after="0" w:line="173" w:lineRule="exact"/>
        <w:rPr>
          <w:sz w:val="20"/>
          <w:szCs w:val="20"/>
          <w:color w:val="auto"/>
        </w:rPr>
      </w:pPr>
    </w:p>
    <w:p>
      <w:pPr>
        <w:ind w:left="1540" w:right="479" w:firstLine="329"/>
        <w:spacing w:after="0" w:line="254" w:lineRule="auto"/>
        <w:rPr>
          <w:sz w:val="20"/>
          <w:szCs w:val="20"/>
          <w:color w:val="auto"/>
        </w:rPr>
      </w:pPr>
      <w:r>
        <w:rPr>
          <w:rFonts w:ascii="Times New Roman" w:cs="Times New Roman" w:eastAsia="Times New Roman" w:hAnsi="Times New Roman"/>
          <w:sz w:val="14"/>
          <w:szCs w:val="14"/>
          <w:color w:val="auto"/>
        </w:rPr>
        <w:t>The Hadron Halo will be a 10 megawatt-electric (“MWe”), 35 megawatt-thermal (“MWth”) MMR built on a pressurized water reactor (“PWR”) design using light-water reactor technology, the same proven foundation that powers every operating commercial reactor in the United States and approximately 95% of all commercial nuclear power plants worldwide. The reactor is being designed to deliver continuous, carbon-free power for up to 10 years without refueling and will have a projected useful life of 50 years. Its compact, factory-fabricated design houses all primary-loop equipment, including the reactor core, pumps, and steam generator, inside a single pressure vessel, minimizing external piping and virtually eliminating the possibility of a large-break coolant accident.</w:t>
      </w:r>
    </w:p>
    <w:p>
      <w:pPr>
        <w:spacing w:after="0" w:line="145" w:lineRule="exact"/>
        <w:rPr>
          <w:sz w:val="20"/>
          <w:szCs w:val="20"/>
          <w:color w:val="auto"/>
        </w:rPr>
      </w:pPr>
    </w:p>
    <w:p>
      <w:pPr>
        <w:ind w:left="1540" w:right="439" w:firstLine="329"/>
        <w:spacing w:after="0" w:line="169" w:lineRule="exact"/>
        <w:rPr>
          <w:sz w:val="20"/>
          <w:szCs w:val="20"/>
          <w:color w:val="auto"/>
        </w:rPr>
      </w:pPr>
      <w:r>
        <w:rPr>
          <w:rFonts w:ascii="Times New Roman" w:cs="Times New Roman" w:eastAsia="Times New Roman" w:hAnsi="Times New Roman"/>
          <w:sz w:val="13"/>
          <w:szCs w:val="13"/>
          <w:color w:val="auto"/>
        </w:rPr>
        <w:t>A distinguishing feature of the Hadron Halo is its transportability and deployment flexibility. The reactor vessel, core, and containment shell are designed to be fully truck-transportable using standard shipping containers, and the unit occupies less than one acre of land. The reactor is fueled by Low-Enriched Uranium Plus (LEU+), supported by a domestic supply chain that includes a Uranium Conversion Services Agreement with ConverDyn, the sole supplier of commercially produced uranium hexafluoride (“UF”) in the United States. Private Hadron has also entered into a collaboration with Paragon Energy Solutions, a Mirion Technologies company, for the development of the reactor’s Instrumentation and Control (“I&amp;C”) architecture, has selected GSE Performance Solutions, LLC. (dba GSE Solutions), a global leader in nuclear plant training simulation, as its supplier for the design, development, delivery, installation, and commissioning of a full-scope, high-fidelity training simulator for the Hadron Halo, and has signed a Uranium Conversion Services Agreement with ConverDyn, GP, the marketing agent for the only commercial uranium hexafluoride (UF</w:t>
      </w:r>
      <w:r>
        <w:rPr>
          <w:rFonts w:ascii="MS PGothic" w:cs="MS PGothic" w:eastAsia="MS PGothic" w:hAnsi="MS PGothic"/>
          <w:sz w:val="13"/>
          <w:szCs w:val="13"/>
          <w:color w:val="auto"/>
        </w:rPr>
        <w:t>₆</w:t>
      </w:r>
      <w:r>
        <w:rPr>
          <w:rFonts w:ascii="Times New Roman" w:cs="Times New Roman" w:eastAsia="Times New Roman" w:hAnsi="Times New Roman"/>
          <w:sz w:val="13"/>
          <w:szCs w:val="13"/>
          <w:color w:val="auto"/>
        </w:rPr>
        <w:t>) conversion facility in the United States, which is owned and operated by Solstice Advanced Materials (Nasdaq: SOLS), to support its domestic fuel supply pathway beginning with the Hadron Halo’s First-of-a-Kind (“FOAK”) deployment.</w:t>
      </w:r>
    </w:p>
    <w:p>
      <w:pPr>
        <w:spacing w:after="0" w:line="24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40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35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8295" cy="4435475"/>
                    </a:xfrm>
                    <a:prstGeom prst="rect">
                      <a:avLst/>
                    </a:prstGeom>
                    <a:noFill/>
                  </pic:spPr>
                </pic:pic>
              </a:graphicData>
            </a:graphic>
          </wp:anchor>
        </w:drawing>
      </w:r>
    </w:p>
    <w:p>
      <w:pPr>
        <w:spacing w:after="0" w:line="363" w:lineRule="exact"/>
        <w:rPr>
          <w:sz w:val="20"/>
          <w:szCs w:val="20"/>
          <w:color w:val="auto"/>
        </w:rPr>
      </w:pPr>
    </w:p>
    <w:p>
      <w:pPr>
        <w:ind w:left="1540" w:right="1039" w:firstLine="329"/>
        <w:spacing w:after="0" w:line="279" w:lineRule="auto"/>
        <w:rPr>
          <w:sz w:val="20"/>
          <w:szCs w:val="20"/>
          <w:color w:val="auto"/>
        </w:rPr>
      </w:pPr>
      <w:r>
        <w:rPr>
          <w:rFonts w:ascii="Times New Roman" w:cs="Times New Roman" w:eastAsia="Times New Roman" w:hAnsi="Times New Roman"/>
          <w:sz w:val="14"/>
          <w:szCs w:val="14"/>
          <w:color w:val="auto"/>
        </w:rPr>
        <w:t>The Hadron Halo targets a range of high-demand applications, including artificial intelligence data centers, industrial hubs, remote communities, and defense installations.</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91" w:lineRule="exact"/>
        <w:rPr>
          <w:sz w:val="20"/>
          <w:szCs w:val="20"/>
          <w:color w:val="auto"/>
        </w:rPr>
      </w:pPr>
    </w:p>
    <w:p>
      <w:pPr>
        <w:jc w:val="both"/>
        <w:ind w:left="1540" w:right="439" w:firstLine="329"/>
        <w:spacing w:after="0" w:line="293" w:lineRule="auto"/>
        <w:rPr>
          <w:sz w:val="20"/>
          <w:szCs w:val="20"/>
          <w:color w:val="auto"/>
        </w:rPr>
      </w:pPr>
      <w:r>
        <w:rPr>
          <w:rFonts w:ascii="Times New Roman" w:cs="Times New Roman" w:eastAsia="Times New Roman" w:hAnsi="Times New Roman"/>
          <w:sz w:val="13"/>
          <w:szCs w:val="13"/>
          <w:color w:val="auto"/>
        </w:rPr>
        <w:t>Since our inception, we have devoted substantially all of our resources to developing the Hadron Halo, conducting research and development activities, pursuing regulatory engagement, securing strategic partnerships, and general corporate operations. There has been strong market interest in the Hadron Halo from companies across multiple industries, including data centers, industrials, government, and remote communities.</w:t>
      </w:r>
    </w:p>
    <w:p>
      <w:pPr>
        <w:spacing w:after="0" w:line="120" w:lineRule="exact"/>
        <w:rPr>
          <w:sz w:val="20"/>
          <w:szCs w:val="20"/>
          <w:color w:val="auto"/>
        </w:rPr>
      </w:pPr>
    </w:p>
    <w:p>
      <w:pPr>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The Company has pursued a proactive licensing approach with the U.S. Nuclear Regulatory Commission (“NRC”). In April 2025, we submitted a Letter of Intent and initial Regulatory Engagement Plan (“REP”) to begin formal pre-application engagement. The Company has since filed its Quality Assurance Program Description (“QAPD”) Topical Report, and in May 2026, the staff of the NRC has issued a final safety evaluation finding Revision 3 of the Company’s QAPD Topical Report acceptable for referencing in its future licensing applications under 10 CFR Part 52. The Company has also submitted its Principal Design Criteria (“PDC”) White Paper as part of the formal pre-application process with the NRC. The NRC provided favorable feedback on Hadron’s proposed regulatory approach during a December 2025 pre-application meeting.</w:t>
      </w:r>
    </w:p>
    <w:p>
      <w:pPr>
        <w:spacing w:after="0" w:line="12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Company has also engaged with the U.S. Department of War (“DOW”) and the Department of Energy (“DOE”).</w:t>
      </w:r>
    </w:p>
    <w:p>
      <w:pPr>
        <w:spacing w:after="0" w:line="173" w:lineRule="exact"/>
        <w:rPr>
          <w:sz w:val="20"/>
          <w:szCs w:val="20"/>
          <w:color w:val="auto"/>
        </w:rPr>
      </w:pPr>
    </w:p>
    <w:p>
      <w:pPr>
        <w:ind w:left="1540" w:right="519" w:firstLine="329"/>
        <w:spacing w:after="0" w:line="264" w:lineRule="auto"/>
        <w:rPr>
          <w:sz w:val="20"/>
          <w:szCs w:val="20"/>
          <w:color w:val="auto"/>
        </w:rPr>
      </w:pPr>
      <w:r>
        <w:rPr>
          <w:rFonts w:ascii="Times New Roman" w:cs="Times New Roman" w:eastAsia="Times New Roman" w:hAnsi="Times New Roman"/>
          <w:sz w:val="14"/>
          <w:szCs w:val="14"/>
          <w:color w:val="auto"/>
        </w:rPr>
        <w:t>The Company entered into a Memorandum of Understanding with Smartland Energy (the “Smartland MOU”), pursuant to which the parties agreed to collaborate on the deployment of Hadron Halo. In connection with the Smartland MOU, Smartland also made an initial strategic investment in us.</w:t>
      </w:r>
    </w:p>
    <w:p>
      <w:pPr>
        <w:spacing w:after="0" w:line="2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We believe that Hadron Energy has several competitive strengths that position us well in the advanced nuclear industry:</w:t>
      </w:r>
    </w:p>
    <w:p>
      <w:pPr>
        <w:spacing w:after="0" w:line="98" w:lineRule="exact"/>
        <w:rPr>
          <w:sz w:val="20"/>
          <w:szCs w:val="20"/>
          <w:color w:val="auto"/>
        </w:rPr>
      </w:pPr>
    </w:p>
    <w:p>
      <w:pPr>
        <w:ind w:left="1840" w:right="419" w:hanging="236"/>
        <w:spacing w:after="0" w:line="254" w:lineRule="auto"/>
        <w:tabs>
          <w:tab w:leader="none" w:pos="1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Factory-Built, Modular Design</w:t>
      </w:r>
      <w:r>
        <w:rPr>
          <w:rFonts w:ascii="Times New Roman" w:cs="Times New Roman" w:eastAsia="Times New Roman" w:hAnsi="Times New Roman"/>
          <w:sz w:val="14"/>
          <w:szCs w:val="14"/>
          <w:color w:val="auto"/>
        </w:rPr>
        <w:t>: Our approach to mass-manufacturing and assembly of the Hadron Halo in a factory versus on-site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construction could dramatically reduce unit costs and deployment times compared to large conventional nuclear power plant construction projects. For these large plants, producing about one gigawatt of electricity, much more of the work is done on the build site, rather than the controlled environment of a factory. Since large nuclear power plants are more of a project than a product, there is less standardization of their design from one site to another, increasing engineering costs. By contrast, Hadron Halo units will be interchangeable, minimizing custom engineering work for each installation. Modular production also means revenue generation can begin faster (12-18 months from groundbreaking) versus a decade-long wait for a traditional nuclear power plant to come online.</w:t>
      </w:r>
    </w:p>
    <w:p>
      <w:pPr>
        <w:spacing w:after="0" w:line="68" w:lineRule="exact"/>
        <w:rPr>
          <w:rFonts w:ascii="Times New Roman" w:cs="Times New Roman" w:eastAsia="Times New Roman" w:hAnsi="Times New Roman"/>
          <w:sz w:val="14"/>
          <w:szCs w:val="14"/>
          <w:color w:val="auto"/>
        </w:rPr>
      </w:pPr>
    </w:p>
    <w:p>
      <w:pPr>
        <w:ind w:left="2260" w:right="499" w:hanging="322"/>
        <w:spacing w:after="0" w:line="277" w:lineRule="auto"/>
        <w:tabs>
          <w:tab w:leader="none" w:pos="226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Early Regulatory Engagement</w:t>
      </w:r>
      <w:r>
        <w:rPr>
          <w:rFonts w:ascii="Times New Roman" w:cs="Times New Roman" w:eastAsia="Times New Roman" w:hAnsi="Times New Roman"/>
          <w:sz w:val="13"/>
          <w:szCs w:val="13"/>
          <w:color w:val="auto"/>
        </w:rPr>
        <w:t>: We are proactively working with the NRC and other regulatory agencies to accelerate licensing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Hadron Halo. We are targeting an NRC 10 CFR Part 52 manufacturing license (“ML”) submission by 2027–2028, leveraging the new regulatory frameworks being developed for MMRs. In addition to applying for our ML, we are pursuing a combined license (“COL”) through NRC 10 CFR Part 52. By engaging early and often with regulatory agencies, we aim to shorten the licensing timeline from the historical 8-10 years for large reactors to approximately 3-4 years from incorporation of our design, consistent with recent NRC guidance for advanced reactors. Efficient licensing will allow us to commercialize sooner and capture first-mover advantages. For further information on regulatory oversight, please refer to the section below entitled “</w:t>
      </w:r>
      <w:r>
        <w:rPr>
          <w:rFonts w:ascii="Times New Roman" w:cs="Times New Roman" w:eastAsia="Times New Roman" w:hAnsi="Times New Roman"/>
          <w:sz w:val="13"/>
          <w:szCs w:val="13"/>
          <w:i w:val="1"/>
          <w:iCs w:val="1"/>
          <w:color w:val="auto"/>
        </w:rPr>
        <w:t>Government Regulations</w:t>
      </w:r>
      <w:r>
        <w:rPr>
          <w:rFonts w:ascii="Times New Roman" w:cs="Times New Roman" w:eastAsia="Times New Roman" w:hAnsi="Times New Roman"/>
          <w:sz w:val="13"/>
          <w:szCs w:val="13"/>
          <w:color w:val="auto"/>
        </w:rPr>
        <w:t>”.</w:t>
      </w: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40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342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8295" cy="4342765"/>
                    </a:xfrm>
                    <a:prstGeom prst="rect">
                      <a:avLst/>
                    </a:prstGeom>
                    <a:noFill/>
                  </pic:spPr>
                </pic:pic>
              </a:graphicData>
            </a:graphic>
          </wp:anchor>
        </w:drawing>
      </w:r>
    </w:p>
    <w:p>
      <w:pPr>
        <w:spacing w:after="0" w:line="361" w:lineRule="exact"/>
        <w:rPr>
          <w:sz w:val="20"/>
          <w:szCs w:val="20"/>
          <w:color w:val="auto"/>
        </w:rPr>
      </w:pPr>
    </w:p>
    <w:p>
      <w:pPr>
        <w:ind w:left="2260" w:right="439" w:hanging="322"/>
        <w:spacing w:after="0" w:line="260" w:lineRule="auto"/>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Customer Pipeline</w:t>
      </w:r>
      <w:r>
        <w:rPr>
          <w:rFonts w:ascii="Times New Roman" w:cs="Times New Roman" w:eastAsia="Times New Roman" w:hAnsi="Times New Roman"/>
          <w:sz w:val="14"/>
          <w:szCs w:val="14"/>
          <w:color w:val="auto"/>
        </w:rPr>
        <w:t>: We have already received substantial market interest in our MMR power solution. We have already engaged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key potential customers for future deployments of the Hadron Halo. These early indications of interest span data center operators, industrial firms, and government entities, indicating broad demand across some of our target sectors. A strong pipeline not only validates our selection of target markets but also provides leverage in raising capital and scaling operations.</w:t>
      </w:r>
    </w:p>
    <w:p>
      <w:pPr>
        <w:spacing w:after="0" w:line="63" w:lineRule="exact"/>
        <w:rPr>
          <w:rFonts w:ascii="Times New Roman" w:cs="Times New Roman" w:eastAsia="Times New Roman" w:hAnsi="Times New Roman"/>
          <w:sz w:val="14"/>
          <w:szCs w:val="14"/>
          <w:color w:val="auto"/>
        </w:rPr>
      </w:pPr>
    </w:p>
    <w:p>
      <w:pPr>
        <w:ind w:left="2260" w:right="439" w:hanging="322"/>
        <w:spacing w:after="0" w:line="278" w:lineRule="auto"/>
        <w:tabs>
          <w:tab w:leader="none" w:pos="2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Experienced Team</w:t>
      </w:r>
      <w:r>
        <w:rPr>
          <w:rFonts w:ascii="Times New Roman" w:cs="Times New Roman" w:eastAsia="Times New Roman" w:hAnsi="Times New Roman"/>
          <w:sz w:val="13"/>
          <w:szCs w:val="13"/>
          <w:color w:val="auto"/>
        </w:rPr>
        <w:t>: Hadron Energy’s leadership and engineering team bring deep expertise from across the nuclear, energy,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technology sectors. Our team of employees and consultants includes former NRC regulators (including a former director of the NRC’s Office of Nuclear Reactor Regulation) who advise on our licensing strategy, a former chief nuclear officer of operating power plants who guides our reactor engineering, operations and safety culture, experienced manufacturing and supply chain executives, and finance professionals. This combination of nuclear industry knowledge and execution experience gives us confidence in our ability to achieve our goals. For further information on our team, please refer to the section below entitled “</w:t>
      </w:r>
      <w:r>
        <w:rPr>
          <w:rFonts w:ascii="Times New Roman" w:cs="Times New Roman" w:eastAsia="Times New Roman" w:hAnsi="Times New Roman"/>
          <w:sz w:val="13"/>
          <w:szCs w:val="13"/>
          <w:i w:val="1"/>
          <w:iCs w:val="1"/>
          <w:color w:val="auto"/>
        </w:rPr>
        <w:t>Human Capital</w:t>
      </w:r>
      <w:r>
        <w:rPr>
          <w:rFonts w:ascii="Times New Roman" w:cs="Times New Roman" w:eastAsia="Times New Roman" w:hAnsi="Times New Roman"/>
          <w:sz w:val="13"/>
          <w:szCs w:val="13"/>
          <w:color w:val="auto"/>
        </w:rPr>
        <w:t>”.</w:t>
      </w:r>
    </w:p>
    <w:p>
      <w:pPr>
        <w:spacing w:after="0" w:line="55" w:lineRule="exact"/>
        <w:rPr>
          <w:rFonts w:ascii="Times New Roman" w:cs="Times New Roman" w:eastAsia="Times New Roman" w:hAnsi="Times New Roman"/>
          <w:sz w:val="13"/>
          <w:szCs w:val="13"/>
          <w:color w:val="auto"/>
        </w:rPr>
      </w:pPr>
    </w:p>
    <w:p>
      <w:pPr>
        <w:ind w:left="2260" w:right="519" w:hanging="322"/>
        <w:spacing w:after="0" w:line="255" w:lineRule="auto"/>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Strategic Fuel Supply Position</w:t>
      </w:r>
      <w:r>
        <w:rPr>
          <w:rFonts w:ascii="Times New Roman" w:cs="Times New Roman" w:eastAsia="Times New Roman" w:hAnsi="Times New Roman"/>
          <w:sz w:val="14"/>
          <w:szCs w:val="14"/>
          <w:color w:val="auto"/>
        </w:rPr>
        <w:t>: Our strategy centers on using LEU+ fuel (enriched to 5-10% U-235) to achieve long core life.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Sourcing LEU+ fuel is integral to our strategy because it avoids the long lead time and approvals still required for high-assay low-enriched uranium (“HALEU”) (fuel enriched from 5-20%). As a member of the DOE HALEU Consortium, we are positioned to benefit from federal support in developing the HALEU supply chain, but we avoid the risk and uncertainty of using HALEU fuel directly. We are also exploring partnerships in fuel fabrication and potential fuel recycling to vertically integrate our fuel cycle over time.</w:t>
      </w:r>
    </w:p>
    <w:p>
      <w:pPr>
        <w:spacing w:after="0" w:line="112" w:lineRule="exact"/>
        <w:rPr>
          <w:sz w:val="20"/>
          <w:szCs w:val="20"/>
          <w:color w:val="auto"/>
        </w:rPr>
      </w:pPr>
    </w:p>
    <w:p>
      <w:pPr>
        <w:ind w:left="1540" w:right="439"/>
        <w:spacing w:after="0" w:line="256" w:lineRule="auto"/>
        <w:rPr>
          <w:sz w:val="20"/>
          <w:szCs w:val="20"/>
          <w:color w:val="auto"/>
        </w:rPr>
      </w:pPr>
      <w:r>
        <w:rPr>
          <w:rFonts w:ascii="Times New Roman" w:cs="Times New Roman" w:eastAsia="Times New Roman" w:hAnsi="Times New Roman"/>
          <w:sz w:val="14"/>
          <w:szCs w:val="14"/>
          <w:color w:val="auto"/>
        </w:rPr>
        <w:t>These key competitive strengths, including our cost-efficient modular product, our fast-track licensing plan, early engagement with potential customers, our seasoned team, and our secure fuel strategy, provide a solid foundation as we move toward commercial deployment of the Hadron Halo. Although other advanced reactor developers exist, we believe our focus on small (10 MWe) transportable MMRs and a strategy focused on engaging concurrently and early with regulators, suppliers, strategic partners, states, and customers will differentiate us in the market and enable us to achieve first mover advantage.</w:t>
      </w:r>
    </w:p>
    <w:p>
      <w:pPr>
        <w:spacing w:after="0" w:line="20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Recent Key Agreements</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Memorandum of Understanding with Paragon Energy Solutions (a Mirion Technologies Company)</w:t>
      </w:r>
    </w:p>
    <w:p>
      <w:pPr>
        <w:spacing w:after="0" w:line="91" w:lineRule="exact"/>
        <w:rPr>
          <w:sz w:val="20"/>
          <w:szCs w:val="20"/>
          <w:color w:val="auto"/>
        </w:rPr>
      </w:pPr>
    </w:p>
    <w:p>
      <w:pPr>
        <w:ind w:left="1540" w:right="599" w:firstLine="329"/>
        <w:spacing w:after="0" w:line="264" w:lineRule="auto"/>
        <w:rPr>
          <w:sz w:val="20"/>
          <w:szCs w:val="20"/>
          <w:color w:val="auto"/>
        </w:rPr>
      </w:pPr>
      <w:r>
        <w:rPr>
          <w:rFonts w:ascii="Times New Roman" w:cs="Times New Roman" w:eastAsia="Times New Roman" w:hAnsi="Times New Roman"/>
          <w:sz w:val="14"/>
          <w:szCs w:val="14"/>
          <w:color w:val="auto"/>
        </w:rPr>
        <w:t>On March 17, 2026, the Company entered into a non-binding Memorandum of Understanding (the “Paragon MOU”) with Paragon Energy Solutions, a Mirion Technologies Company (“Paragon”), establishing a framework for collaboration on the design, development, and implementation of the I&amp;C architecture for Hadron’s Halo program.</w:t>
      </w:r>
    </w:p>
    <w:p>
      <w:pPr>
        <w:spacing w:after="0" w:line="136" w:lineRule="exact"/>
        <w:rPr>
          <w:sz w:val="20"/>
          <w:szCs w:val="20"/>
          <w:color w:val="auto"/>
        </w:rPr>
      </w:pPr>
    </w:p>
    <w:p>
      <w:pPr>
        <w:ind w:left="1540" w:right="399" w:firstLine="329"/>
        <w:spacing w:after="0" w:line="275" w:lineRule="auto"/>
        <w:rPr>
          <w:sz w:val="20"/>
          <w:szCs w:val="20"/>
          <w:color w:val="auto"/>
        </w:rPr>
      </w:pPr>
      <w:r>
        <w:rPr>
          <w:rFonts w:ascii="Times New Roman" w:cs="Times New Roman" w:eastAsia="Times New Roman" w:hAnsi="Times New Roman"/>
          <w:sz w:val="13"/>
          <w:szCs w:val="13"/>
          <w:color w:val="auto"/>
        </w:rPr>
        <w:t>Under the Paragon MOU, Paragon will support the development of the Halo’s overall I&amp;C system architecture and integration framework, including safety and non-safety I&amp;C platform integration, control logic development, human-machine interface (“HMI”) support, and cybersecurity considerations. Paragon will also supply the physical instrumentation devices and associated hardware, including sensors, transmitters, control cabinets, networking components, and other field and control room equipment necessary to implement the I&amp;C system. The collaboration is intended to span Hadron Energy’s FOAK deployment, with potential expansion to subsequent commercial units. The Paragon MOU is non-binding and reflects our commitment to engaging best-in-class suppliers in the design process, ensuring that the I&amp;C architecture is developed in parallel with, and fully integrated into, the Company’s broader licensing and engineering program. Paragon’s proven supply chain capability, backed by Mirion’s global nuclear technology platform, validates the manufacturability and commercial readiness of our reactor design.</w:t>
      </w:r>
    </w:p>
    <w:p>
      <w:pPr>
        <w:spacing w:after="0" w:line="2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40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474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08295" cy="4474845"/>
                    </a:xfrm>
                    <a:prstGeom prst="rect">
                      <a:avLst/>
                    </a:prstGeom>
                    <a:noFill/>
                  </pic:spPr>
                </pic:pic>
              </a:graphicData>
            </a:graphic>
          </wp:anchor>
        </w:drawing>
      </w:r>
    </w:p>
    <w:p>
      <w:pPr>
        <w:spacing w:after="0" w:line="3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Memorandum of Understanding with Smartland Energy, LLC</w:t>
      </w:r>
    </w:p>
    <w:p>
      <w:pPr>
        <w:spacing w:after="0" w:line="91" w:lineRule="exact"/>
        <w:rPr>
          <w:sz w:val="20"/>
          <w:szCs w:val="20"/>
          <w:color w:val="auto"/>
        </w:rPr>
      </w:pPr>
    </w:p>
    <w:p>
      <w:pPr>
        <w:ind w:left="1540" w:right="699" w:firstLine="329"/>
        <w:spacing w:after="0" w:line="285" w:lineRule="auto"/>
        <w:rPr>
          <w:sz w:val="20"/>
          <w:szCs w:val="20"/>
          <w:color w:val="auto"/>
        </w:rPr>
      </w:pPr>
      <w:r>
        <w:rPr>
          <w:rFonts w:ascii="Times New Roman" w:cs="Times New Roman" w:eastAsia="Times New Roman" w:hAnsi="Times New Roman"/>
          <w:sz w:val="13"/>
          <w:szCs w:val="13"/>
          <w:color w:val="auto"/>
        </w:rPr>
        <w:t>The Company entered into a non-binding Memorandum of Understanding (the “Smartland MOU”) with Smartland Energy, LLC (“Smartland”), establishing a portfolio-scale framework for the potential deployment of the Hadron Halo across up to five qualified Smartland behind-the-meter power projects over time. Smartland is developing approximately 150 megawatts of electricity (“MWe”) per project, with 12 projects targeted for completion by 2035, representing aggregate capacity demand of approximately 1.8 gigawatts of electricity (“GWe”).</w:t>
      </w:r>
    </w:p>
    <w:p>
      <w:pPr>
        <w:spacing w:after="0" w:line="124" w:lineRule="exact"/>
        <w:rPr>
          <w:sz w:val="20"/>
          <w:szCs w:val="20"/>
          <w:color w:val="auto"/>
        </w:rPr>
      </w:pPr>
    </w:p>
    <w:p>
      <w:pPr>
        <w:ind w:left="1540" w:right="439" w:firstLine="329"/>
        <w:spacing w:after="0" w:line="256" w:lineRule="auto"/>
        <w:rPr>
          <w:sz w:val="20"/>
          <w:szCs w:val="20"/>
          <w:color w:val="auto"/>
        </w:rPr>
      </w:pPr>
      <w:r>
        <w:rPr>
          <w:rFonts w:ascii="Times New Roman" w:cs="Times New Roman" w:eastAsia="Times New Roman" w:hAnsi="Times New Roman"/>
          <w:sz w:val="14"/>
          <w:szCs w:val="14"/>
          <w:color w:val="auto"/>
        </w:rPr>
        <w:t>The Smartland MOU is non-binding and does not constitute a binding commitment by either party to purchase or deploy the Hadron Halo. In connection with the Smartland MOU, Smartland made an initial strategic investment in Private Hadron via a Simple Agreement for Future Equity (“SAFE”), reflecting long-term conviction in the platform’s commercial viability. The framework contemplates that Hadron’s 10 MWe MMR would serve Smartland’s behind-the-meter power needs for industrial and digital infrastructure operators facing unprecedented load growth, multi-year grid interconnection queues, and increasing urgency around reliable, on-site firm power.</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Uranium Conversion Services Agreement with ConverDyn, GP</w:t>
      </w:r>
    </w:p>
    <w:p>
      <w:pPr>
        <w:spacing w:after="0" w:line="91" w:lineRule="exact"/>
        <w:rPr>
          <w:sz w:val="20"/>
          <w:szCs w:val="20"/>
          <w:color w:val="auto"/>
        </w:rPr>
      </w:pPr>
    </w:p>
    <w:p>
      <w:pPr>
        <w:jc w:val="both"/>
        <w:ind w:left="1540" w:right="419" w:firstLine="329"/>
        <w:spacing w:after="0" w:line="259" w:lineRule="auto"/>
        <w:rPr>
          <w:sz w:val="20"/>
          <w:szCs w:val="20"/>
          <w:color w:val="auto"/>
        </w:rPr>
      </w:pPr>
      <w:r>
        <w:rPr>
          <w:rFonts w:ascii="Times New Roman" w:cs="Times New Roman" w:eastAsia="Times New Roman" w:hAnsi="Times New Roman"/>
          <w:sz w:val="14"/>
          <w:szCs w:val="14"/>
          <w:color w:val="auto"/>
        </w:rPr>
        <w:t>The Company entered into a Uranium Conversion Services Agreement (the “ConverDyn Agreement”) with ConverDyn, GP (“ConverDyn”), the exclusive marketing and purchase agent for Solstice Advanced Materials Inc.’s (Nasdaq: SOLS) Metropolis Works uranium conversion facility located in Metropolis, Illinois, the only operating commercial uranium hexafluoride (“UF6”) conversion facility in the United States. ConverDyn is a joint venture between Solstice Advanced Materials Inc. and General Atomics Inc.</w:t>
      </w:r>
    </w:p>
    <w:p>
      <w:pPr>
        <w:spacing w:after="0" w:line="139" w:lineRule="exact"/>
        <w:rPr>
          <w:sz w:val="20"/>
          <w:szCs w:val="20"/>
          <w:color w:val="auto"/>
        </w:rPr>
      </w:pPr>
    </w:p>
    <w:p>
      <w:pPr>
        <w:ind w:left="1540" w:right="419" w:firstLine="329"/>
        <w:spacing w:after="0" w:line="253" w:lineRule="auto"/>
        <w:rPr>
          <w:sz w:val="20"/>
          <w:szCs w:val="20"/>
          <w:color w:val="auto"/>
        </w:rPr>
      </w:pPr>
      <w:r>
        <w:rPr>
          <w:rFonts w:ascii="Times New Roman" w:cs="Times New Roman" w:eastAsia="Times New Roman" w:hAnsi="Times New Roman"/>
          <w:sz w:val="14"/>
          <w:szCs w:val="14"/>
          <w:color w:val="auto"/>
        </w:rPr>
        <w:t>Under the ConverDyn Agreement, ConverDyn will supply UF6 supporting Hadron Energy’s fuel fabrication pathway beginning with the Hadron Halo’s FOAK deployment, with the potential to expand across subsequent commercial units as we scale toward repeatable delivery. The collaboration spans the full commercialization of Hadron’s Halo microreactor commercial roadmap from first reactor to fleet-scale deployment. Uranium conversion is the critical first step in transforming mined uranium into reactor fuel; before uranium can be enriched and fabricated into fuel assemblies, it must first be converted into UF6. By securing ConverDyn as a partner, the Company has established a fully domestic fuel supply pathway that is resilient, U.S.-based, and anchored in proven infrastructure, reducing geopolitical supply chain risk. Our LEU+ fuel pathway plugs into the existing domestic light-water reactor fuel cycle, avoiding the HALEU or TRi-structural ISOtropic fuel (“TRISO”) supply-chain bottleneck that constrains many other advanced reactor developers.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Strategic Alliance with GSE Performance Solutions, LLC</w:t>
      </w:r>
    </w:p>
    <w:p>
      <w:pPr>
        <w:spacing w:after="0" w:line="91" w:lineRule="exact"/>
        <w:rPr>
          <w:sz w:val="20"/>
          <w:szCs w:val="20"/>
          <w:color w:val="auto"/>
        </w:rPr>
      </w:pPr>
    </w:p>
    <w:p>
      <w:pPr>
        <w:ind w:left="1540" w:right="419" w:firstLine="329"/>
        <w:spacing w:after="0" w:line="259" w:lineRule="auto"/>
        <w:rPr>
          <w:sz w:val="20"/>
          <w:szCs w:val="20"/>
          <w:color w:val="auto"/>
        </w:rPr>
      </w:pPr>
      <w:r>
        <w:rPr>
          <w:rFonts w:ascii="Times New Roman" w:cs="Times New Roman" w:eastAsia="Times New Roman" w:hAnsi="Times New Roman"/>
          <w:sz w:val="14"/>
          <w:szCs w:val="14"/>
          <w:color w:val="auto"/>
        </w:rPr>
        <w:t>The Company has selected GSE Performance Solutions, LLC (dba GSE Solutions), a global leader in nuclear plant training simulation, as its supplier for the design, development, delivery, installation, and commissioning of a full-scope, high-fidelity training simulator for the Hadron Halo. The selection advances the parties’ relationship into a committed strategic alliance and establishes a cornerstone of the Company’s operator-readiness strategy for the Hadron Halo.</w:t>
      </w:r>
    </w:p>
    <w:p>
      <w:pPr>
        <w:spacing w:after="0" w:line="139" w:lineRule="exact"/>
        <w:rPr>
          <w:sz w:val="20"/>
          <w:szCs w:val="20"/>
          <w:color w:val="auto"/>
        </w:rPr>
      </w:pPr>
    </w:p>
    <w:p>
      <w:pPr>
        <w:ind w:left="1540" w:right="399" w:firstLine="329"/>
        <w:spacing w:after="0" w:line="256" w:lineRule="auto"/>
        <w:rPr>
          <w:sz w:val="20"/>
          <w:szCs w:val="20"/>
          <w:color w:val="auto"/>
        </w:rPr>
      </w:pPr>
      <w:r>
        <w:rPr>
          <w:rFonts w:ascii="Times New Roman" w:cs="Times New Roman" w:eastAsia="Times New Roman" w:hAnsi="Times New Roman"/>
          <w:sz w:val="14"/>
          <w:szCs w:val="14"/>
          <w:color w:val="auto"/>
        </w:rPr>
        <w:t>Under the alliance, GSE is expected to lead end-to-end development and commissioning of a plant-specific simulator intended to replicate the full range of the Hadron Halo’s expected operating behavior, including normal power operations, anticipated operational occurrences, design-basis events and beyond-design-basis scenarios. The simulator is expected to serve as the principal training platform for reactor operators, senior reactor operators, shift technical advisors and engineering staff for the Company’s FOAK deployment, with provisions to extend support to subsequent commercial units as the Company scales toward repeatable delivery.</w:t>
      </w: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40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368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08295" cy="4368800"/>
                    </a:xfrm>
                    <a:prstGeom prst="rect">
                      <a:avLst/>
                    </a:prstGeom>
                    <a:noFill/>
                  </pic:spPr>
                </pic:pic>
              </a:graphicData>
            </a:graphic>
          </wp:anchor>
        </w:drawing>
      </w:r>
    </w:p>
    <w:p>
      <w:pPr>
        <w:spacing w:after="0" w:line="3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Registration Rights Agreement</w:t>
      </w:r>
    </w:p>
    <w:p>
      <w:pPr>
        <w:spacing w:after="0" w:line="91" w:lineRule="exact"/>
        <w:rPr>
          <w:sz w:val="20"/>
          <w:szCs w:val="20"/>
          <w:color w:val="auto"/>
        </w:rPr>
      </w:pPr>
    </w:p>
    <w:p>
      <w:pPr>
        <w:ind w:left="1540" w:right="419" w:firstLine="329"/>
        <w:spacing w:after="0" w:line="251" w:lineRule="auto"/>
        <w:rPr>
          <w:sz w:val="20"/>
          <w:szCs w:val="20"/>
          <w:color w:val="auto"/>
        </w:rPr>
      </w:pPr>
      <w:r>
        <w:rPr>
          <w:rFonts w:ascii="Times New Roman" w:cs="Times New Roman" w:eastAsia="Times New Roman" w:hAnsi="Times New Roman"/>
          <w:sz w:val="14"/>
          <w:szCs w:val="14"/>
          <w:color w:val="auto"/>
        </w:rPr>
        <w:t>In connection with the Closing, GigCapital7 and certain stockholders of the Company which had been stockholders of Private Hadron (the “Registration Rights Holders”) entered into an Amended and Restated Registration Rights Agreement, dated May 22, 2026 (the “Amended and Restated Registration Rights Agreement”). Pursuant to the terms of the Amended and Restated Registration Rights Agreement, the Company is obligated to file one or more registration statements to register the resales of the Common Stock held by such Registration Rights Holders after the Closing. Registration Rights Holders holding at least a majority in interest of the registrable securities owned by all Registration Rights Holders are entitled under the Amended and Restated Registration Rights Agreement to make a written demand for registration under the Securities Act of all or part of their registrable securities, up to a total of three such demands. In addition, subject to certain requirements and customary conditions, such Registration Rights Holders may demand at any time or from time to time that the Company file a registration statement on Form S-3 (or any similar short-form registration that may be available) to register the resale of their registrable securities when the Company is Form S-3 eligible. The Amended and Restated Registration Rights Agreement also provides such Registration Rights Holders with “piggy-back” registration rights, subject to certain requirements and customary conditions.</w:t>
      </w:r>
    </w:p>
    <w:p>
      <w:pPr>
        <w:spacing w:after="0" w:line="150" w:lineRule="exact"/>
        <w:rPr>
          <w:sz w:val="20"/>
          <w:szCs w:val="20"/>
          <w:color w:val="auto"/>
        </w:rPr>
      </w:pPr>
    </w:p>
    <w:p>
      <w:pPr>
        <w:ind w:left="1540" w:right="419" w:firstLine="329"/>
        <w:spacing w:after="0" w:line="252" w:lineRule="auto"/>
        <w:rPr>
          <w:sz w:val="20"/>
          <w:szCs w:val="20"/>
          <w:color w:val="auto"/>
        </w:rPr>
      </w:pPr>
      <w:r>
        <w:rPr>
          <w:rFonts w:ascii="Times New Roman" w:cs="Times New Roman" w:eastAsia="Times New Roman" w:hAnsi="Times New Roman"/>
          <w:sz w:val="14"/>
          <w:szCs w:val="14"/>
          <w:color w:val="auto"/>
        </w:rPr>
        <w:t>Under the Amended and Restated Registration Rights Agreement, the Company will indemnify such Registration Rights Holders and certain persons or entities related to such Registration Rights Holders such as their officers, employees, directors, and agents against any losses or damages resulting from any untrue or alleged untrue statement, or omission or alleged omission, of a material fact in any registration statement or prospectus pursuant to which the Registration Rights Holders sell their registrable securities, unless such liability arose from such Registration Rights Holder’s misstatement or alleged misstatement, or omission or alleged omission. The Registration Rights Holders including registrable securities in any registration statement or prospectus will indemnify the Company and certain persons or entities related to the Company such as its officers and directors and underwriters against all losses caused by their misstatements or omissions (or alleged misstatements or omissions) in those documents. The Company will pay reasonable registration expenses (other than underwriting discounts and commissions) in connection with any registrations under the Amended and Restated Registration Rights Agreement.</w:t>
      </w:r>
    </w:p>
    <w:p>
      <w:pPr>
        <w:spacing w:after="0" w:line="2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Lock-Up Agreement</w:t>
      </w:r>
    </w:p>
    <w:p>
      <w:pPr>
        <w:spacing w:after="0" w:line="91" w:lineRule="exact"/>
        <w:rPr>
          <w:sz w:val="20"/>
          <w:szCs w:val="20"/>
          <w:color w:val="auto"/>
        </w:rPr>
      </w:pPr>
    </w:p>
    <w:p>
      <w:pPr>
        <w:ind w:left="1540" w:right="459" w:firstLine="329"/>
        <w:spacing w:after="0" w:line="253" w:lineRule="auto"/>
        <w:rPr>
          <w:sz w:val="20"/>
          <w:szCs w:val="20"/>
          <w:color w:val="auto"/>
        </w:rPr>
      </w:pPr>
      <w:r>
        <w:rPr>
          <w:rFonts w:ascii="Times New Roman" w:cs="Times New Roman" w:eastAsia="Times New Roman" w:hAnsi="Times New Roman"/>
          <w:sz w:val="14"/>
          <w:szCs w:val="14"/>
          <w:color w:val="auto"/>
        </w:rPr>
        <w:t>GigCapital7 and certain stockholders of the Company entered into a Lock-Up Agreement (the “Lock-Up Agreement”) at the Closing. The Lock-Up Agreement provides that, subject to certain exceptions, each of such stockholders will not transfer any shares of the Common Stock beneficially owned or owned of record by such of the stockholders until the earlier of (a) six months following the Closing; (b) subsequent to the Closing, the date on which the reported closing price of one share of the Common Stock quoted on the Nasdaq equals or exceeds $11.50 per share (as adjusted for stock splits, stock dividends, reorganizations, recapitalizations and the like occurring after the Closing) for any twenty trading days within any thirty consecutive trading day period commencing at least ninety days after the Closing; and (c) subsequent to the Closing, the date on which the Company completes a liquidation, merger, stock exchange or other similar transaction that results in all of the Company’s stockholders having the right to exchange their Company securities for cash, securities or other property.</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ind w:left="1540" w:right="599" w:firstLine="329"/>
        <w:spacing w:after="0" w:line="264" w:lineRule="auto"/>
        <w:rPr>
          <w:sz w:val="20"/>
          <w:szCs w:val="20"/>
          <w:color w:val="auto"/>
        </w:rPr>
      </w:pPr>
      <w:r>
        <w:rPr>
          <w:rFonts w:ascii="Times New Roman" w:cs="Times New Roman" w:eastAsia="Times New Roman" w:hAnsi="Times New Roman"/>
          <w:sz w:val="14"/>
          <w:szCs w:val="14"/>
          <w:color w:val="auto"/>
        </w:rPr>
        <w:t>GigCapital7, our predecessor company, was incorporated in the Cayman Islands in May 2024 for the purpose of effecting a merger, capital stock exchange, asset acquisition, stock purchase, reorganization or similar business combination with one or more businesses. GigCapital7 completed its initial public offering in August 2024.</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40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2515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8295" cy="2515235"/>
                    </a:xfrm>
                    <a:prstGeom prst="rect">
                      <a:avLst/>
                    </a:prstGeom>
                    <a:noFill/>
                  </pic:spPr>
                </pic:pic>
              </a:graphicData>
            </a:graphic>
          </wp:anchor>
        </w:drawing>
      </w:r>
    </w:p>
    <w:p>
      <w:pPr>
        <w:spacing w:after="0" w:line="363" w:lineRule="exact"/>
        <w:rPr>
          <w:sz w:val="20"/>
          <w:szCs w:val="20"/>
          <w:color w:val="auto"/>
        </w:rPr>
      </w:pPr>
    </w:p>
    <w:p>
      <w:pPr>
        <w:ind w:left="1540" w:right="539" w:firstLine="329"/>
        <w:spacing w:after="0" w:line="259" w:lineRule="auto"/>
        <w:rPr>
          <w:sz w:val="20"/>
          <w:szCs w:val="20"/>
          <w:color w:val="auto"/>
        </w:rPr>
      </w:pPr>
      <w:r>
        <w:rPr>
          <w:rFonts w:ascii="Times New Roman" w:cs="Times New Roman" w:eastAsia="Times New Roman" w:hAnsi="Times New Roman"/>
          <w:sz w:val="14"/>
          <w:szCs w:val="14"/>
          <w:color w:val="auto"/>
        </w:rPr>
        <w:t>Private Hadron was initially incorporated under the laws of the State of Delaware in July 2024. In May 2026, Merger Sub merged with and into Private Hadron, with Hadron OpCo surviving the merger as a wholly owned subsidiary of GigCapital7. In connection with the Merger, GigCapital7 was renamed “Hadron Energy, Inc.” and is referred to herein as the “Company” or “Hadron Energy.” The corporate office of Hadron Energy, Inc. is located at 3 Twin Dolphin Drive, Suite 260, Redwood City, CA 94065 and its phone number is (650) 395-0050.</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91" w:lineRule="exact"/>
        <w:rPr>
          <w:sz w:val="20"/>
          <w:szCs w:val="20"/>
          <w:color w:val="auto"/>
        </w:rPr>
      </w:pPr>
    </w:p>
    <w:p>
      <w:pPr>
        <w:ind w:left="1540" w:right="479" w:firstLine="329"/>
        <w:spacing w:after="0" w:line="256"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We will remain an emerging growth company under the JOBS Act until the earliest of (i) the last day of our first fiscal year (a) following the fifth anniversary of GigCapital7’s IPO (August 2029),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spacing w:after="0" w:line="142" w:lineRule="exact"/>
        <w:rPr>
          <w:sz w:val="20"/>
          <w:szCs w:val="20"/>
          <w:color w:val="auto"/>
        </w:rPr>
      </w:pPr>
    </w:p>
    <w:p>
      <w:pPr>
        <w:ind w:left="1540" w:right="419" w:firstLine="329"/>
        <w:spacing w:after="0" w:line="254" w:lineRule="auto"/>
        <w:rPr>
          <w:sz w:val="20"/>
          <w:szCs w:val="20"/>
          <w:color w:val="auto"/>
        </w:rPr>
      </w:pPr>
      <w:r>
        <w:rPr>
          <w:rFonts w:ascii="Times New Roman" w:cs="Times New Roman" w:eastAsia="Times New Roman" w:hAnsi="Times New Roman"/>
          <w:sz w:val="14"/>
          <w:szCs w:val="14"/>
          <w:color w:val="auto"/>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45" w:lineRule="exact"/>
        <w:rPr>
          <w:sz w:val="20"/>
          <w:szCs w:val="20"/>
          <w:color w:val="auto"/>
        </w:rPr>
      </w:pPr>
    </w:p>
    <w:p>
      <w:pPr>
        <w:ind w:left="1540" w:right="459" w:firstLine="329"/>
        <w:spacing w:after="0" w:line="279" w:lineRule="auto"/>
        <w:rPr>
          <w:sz w:val="20"/>
          <w:szCs w:val="20"/>
          <w:color w:val="auto"/>
        </w:rPr>
      </w:pPr>
      <w:r>
        <w:rPr>
          <w:rFonts w:ascii="Times New Roman" w:cs="Times New Roman" w:eastAsia="Times New Roman" w:hAnsi="Times New Roman"/>
          <w:sz w:val="14"/>
          <w:szCs w:val="14"/>
          <w:color w:val="auto"/>
        </w:rPr>
        <w:t>As a result, the information in this prospectus and that we provide to our investors in the future may be different than what you might receive from other public reporting companies.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40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307"/>
        </w:trPr>
        <w:tc>
          <w:tcPr>
            <w:tcW w:w="3080" w:type="dxa"/>
            <w:vAlign w:val="bottom"/>
            <w:tcBorders>
              <w:top w:val="single" w:sz="8" w:color="auto"/>
              <w:left w:val="single" w:sz="8" w:color="auto"/>
            </w:tcBorders>
          </w:tcPr>
          <w:p>
            <w:pPr>
              <w:spacing w:after="0"/>
              <w:rPr>
                <w:sz w:val="24"/>
                <w:szCs w:val="24"/>
                <w:color w:val="auto"/>
              </w:rPr>
            </w:pPr>
          </w:p>
        </w:tc>
        <w:tc>
          <w:tcPr>
            <w:tcW w:w="544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4"/>
        </w:trPr>
        <w:tc>
          <w:tcPr>
            <w:tcW w:w="30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Hadron Energy, Inc. (f/k/a GigCapital7 Corp.).</w:t>
            </w:r>
          </w:p>
        </w:tc>
      </w:tr>
      <w:tr>
        <w:trPr>
          <w:trHeight w:val="271"/>
        </w:trPr>
        <w:tc>
          <w:tcPr>
            <w:tcW w:w="30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Shares of Common Stock Offered by us</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28,719,000 shares of Common Stock of the Company, which includes:</w:t>
            </w:r>
          </w:p>
        </w:tc>
      </w:tr>
      <w:tr>
        <w:trPr>
          <w:trHeight w:val="256"/>
        </w:trPr>
        <w:tc>
          <w:tcPr>
            <w:tcW w:w="3080" w:type="dxa"/>
            <w:vAlign w:val="bottom"/>
            <w:tcBorders>
              <w:left w:val="single" w:sz="8" w:color="auto"/>
            </w:tcBorders>
          </w:tcPr>
          <w:p>
            <w:pPr>
              <w:spacing w:after="0"/>
              <w:rPr>
                <w:sz w:val="22"/>
                <w:szCs w:val="22"/>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up to 20,000,000 shares of Common Stock that are issuable upon the exercise of the Public</w:t>
            </w:r>
          </w:p>
        </w:tc>
      </w:tr>
      <w:tr>
        <w:trPr>
          <w:trHeight w:val="182"/>
        </w:trPr>
        <w:tc>
          <w:tcPr>
            <w:tcW w:w="3080" w:type="dxa"/>
            <w:vAlign w:val="bottom"/>
            <w:tcBorders>
              <w:left w:val="single" w:sz="8" w:color="auto"/>
            </w:tcBorders>
          </w:tcPr>
          <w:p>
            <w:pPr>
              <w:spacing w:after="0"/>
              <w:rPr>
                <w:sz w:val="15"/>
                <w:szCs w:val="15"/>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Warrants;</w:t>
            </w:r>
          </w:p>
        </w:tc>
      </w:tr>
      <w:tr>
        <w:trPr>
          <w:trHeight w:val="246"/>
        </w:trPr>
        <w:tc>
          <w:tcPr>
            <w:tcW w:w="3080" w:type="dxa"/>
            <w:vAlign w:val="bottom"/>
            <w:tcBorders>
              <w:left w:val="single" w:sz="8" w:color="auto"/>
            </w:tcBorders>
          </w:tcPr>
          <w:p>
            <w:pPr>
              <w:spacing w:after="0"/>
              <w:rPr>
                <w:sz w:val="21"/>
                <w:szCs w:val="21"/>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up to 3,719,000 shares of Common Stock that are issuable upon the exercise of the Private</w:t>
            </w:r>
          </w:p>
        </w:tc>
      </w:tr>
      <w:tr>
        <w:trPr>
          <w:trHeight w:val="182"/>
        </w:trPr>
        <w:tc>
          <w:tcPr>
            <w:tcW w:w="3080" w:type="dxa"/>
            <w:vAlign w:val="bottom"/>
            <w:tcBorders>
              <w:left w:val="single" w:sz="8" w:color="auto"/>
            </w:tcBorders>
          </w:tcPr>
          <w:p>
            <w:pPr>
              <w:spacing w:after="0"/>
              <w:rPr>
                <w:sz w:val="15"/>
                <w:szCs w:val="15"/>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Warrants; and</w:t>
            </w:r>
          </w:p>
        </w:tc>
      </w:tr>
      <w:tr>
        <w:trPr>
          <w:trHeight w:val="246"/>
        </w:trPr>
        <w:tc>
          <w:tcPr>
            <w:tcW w:w="3080" w:type="dxa"/>
            <w:vAlign w:val="bottom"/>
            <w:tcBorders>
              <w:left w:val="single" w:sz="8" w:color="auto"/>
            </w:tcBorders>
          </w:tcPr>
          <w:p>
            <w:pPr>
              <w:spacing w:after="0"/>
              <w:rPr>
                <w:sz w:val="21"/>
                <w:szCs w:val="21"/>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up to 5,000,000 shares of Common Stock that are issuable upon the exercise of the Hadron</w:t>
            </w:r>
          </w:p>
        </w:tc>
      </w:tr>
      <w:tr>
        <w:trPr>
          <w:trHeight w:val="182"/>
        </w:trPr>
        <w:tc>
          <w:tcPr>
            <w:tcW w:w="3080" w:type="dxa"/>
            <w:vAlign w:val="bottom"/>
            <w:tcBorders>
              <w:left w:val="single" w:sz="8" w:color="auto"/>
            </w:tcBorders>
          </w:tcPr>
          <w:p>
            <w:pPr>
              <w:spacing w:after="0"/>
              <w:rPr>
                <w:sz w:val="15"/>
                <w:szCs w:val="15"/>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Private Warrants.</w:t>
            </w:r>
          </w:p>
        </w:tc>
      </w:tr>
      <w:tr>
        <w:trPr>
          <w:trHeight w:val="246"/>
        </w:trPr>
        <w:tc>
          <w:tcPr>
            <w:tcW w:w="30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Shares of Common Stock Offered by the Selling</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57,432,395 shares of Common Stock of the Company, which includes:</w:t>
            </w:r>
          </w:p>
        </w:tc>
      </w:tr>
      <w:tr>
        <w:trPr>
          <w:trHeight w:val="182"/>
        </w:trPr>
        <w:tc>
          <w:tcPr>
            <w:tcW w:w="30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Securityholders</w:t>
            </w:r>
          </w:p>
        </w:tc>
        <w:tc>
          <w:tcPr>
            <w:tcW w:w="5440" w:type="dxa"/>
            <w:vAlign w:val="bottom"/>
            <w:tcBorders>
              <w:right w:val="single" w:sz="8" w:color="auto"/>
            </w:tcBorders>
          </w:tcPr>
          <w:p>
            <w:pPr>
              <w:spacing w:after="0"/>
              <w:rPr>
                <w:sz w:val="15"/>
                <w:szCs w:val="15"/>
                <w:color w:val="auto"/>
              </w:rPr>
            </w:pPr>
          </w:p>
        </w:tc>
      </w:tr>
      <w:tr>
        <w:trPr>
          <w:trHeight w:val="271"/>
        </w:trPr>
        <w:tc>
          <w:tcPr>
            <w:tcW w:w="3080" w:type="dxa"/>
            <w:vAlign w:val="bottom"/>
            <w:tcBorders>
              <w:left w:val="single" w:sz="8" w:color="auto"/>
            </w:tcBorders>
          </w:tcPr>
          <w:p>
            <w:pPr>
              <w:spacing w:after="0"/>
              <w:rPr>
                <w:sz w:val="23"/>
                <w:szCs w:val="23"/>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10,207,246 Founder Shares;</w:t>
            </w:r>
          </w:p>
        </w:tc>
      </w:tr>
      <w:tr>
        <w:trPr>
          <w:trHeight w:val="261"/>
        </w:trPr>
        <w:tc>
          <w:tcPr>
            <w:tcW w:w="3080" w:type="dxa"/>
            <w:vAlign w:val="bottom"/>
            <w:tcBorders>
              <w:left w:val="single" w:sz="8" w:color="auto"/>
            </w:tcBorders>
          </w:tcPr>
          <w:p>
            <w:pPr>
              <w:spacing w:after="0"/>
              <w:rPr>
                <w:sz w:val="22"/>
                <w:szCs w:val="22"/>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3,126,087 Private Placement Shares;</w:t>
            </w:r>
          </w:p>
        </w:tc>
      </w:tr>
      <w:tr>
        <w:trPr>
          <w:trHeight w:val="261"/>
        </w:trPr>
        <w:tc>
          <w:tcPr>
            <w:tcW w:w="3080" w:type="dxa"/>
            <w:vAlign w:val="bottom"/>
            <w:tcBorders>
              <w:left w:val="single" w:sz="8" w:color="auto"/>
            </w:tcBorders>
          </w:tcPr>
          <w:p>
            <w:pPr>
              <w:spacing w:after="0"/>
              <w:rPr>
                <w:sz w:val="22"/>
                <w:szCs w:val="22"/>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44,099,062 Closing Shares;</w:t>
            </w:r>
          </w:p>
        </w:tc>
      </w:tr>
      <w:tr>
        <w:trPr>
          <w:trHeight w:val="246"/>
        </w:trPr>
        <w:tc>
          <w:tcPr>
            <w:tcW w:w="3080" w:type="dxa"/>
            <w:vAlign w:val="bottom"/>
            <w:tcBorders>
              <w:left w:val="single" w:sz="8" w:color="auto"/>
            </w:tcBorders>
          </w:tcPr>
          <w:p>
            <w:pPr>
              <w:spacing w:after="0"/>
              <w:rPr>
                <w:sz w:val="21"/>
                <w:szCs w:val="21"/>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 addition, we are registering 3,719,000 Private Warrants to purchase 3,719,000 shares of</w:t>
            </w:r>
          </w:p>
        </w:tc>
      </w:tr>
      <w:tr>
        <w:trPr>
          <w:trHeight w:val="182"/>
        </w:trPr>
        <w:tc>
          <w:tcPr>
            <w:tcW w:w="3080" w:type="dxa"/>
            <w:vAlign w:val="bottom"/>
            <w:tcBorders>
              <w:left w:val="single" w:sz="8" w:color="auto"/>
            </w:tcBorders>
          </w:tcPr>
          <w:p>
            <w:pPr>
              <w:spacing w:after="0"/>
              <w:rPr>
                <w:sz w:val="15"/>
                <w:szCs w:val="15"/>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Common Stock of the Company.</w:t>
            </w:r>
          </w:p>
        </w:tc>
      </w:tr>
      <w:tr>
        <w:trPr>
          <w:trHeight w:val="246"/>
        </w:trPr>
        <w:tc>
          <w:tcPr>
            <w:tcW w:w="852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Shares of Common Stock Outstanding Prior to Exercise71,498,842 shares of Common Stock (as of June 12, 2026).</w:t>
            </w:r>
          </w:p>
        </w:tc>
      </w:tr>
      <w:tr>
        <w:trPr>
          <w:trHeight w:val="182"/>
        </w:trPr>
        <w:tc>
          <w:tcPr>
            <w:tcW w:w="30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of All Warrants</w:t>
            </w:r>
          </w:p>
        </w:tc>
        <w:tc>
          <w:tcPr>
            <w:tcW w:w="5440" w:type="dxa"/>
            <w:vAlign w:val="bottom"/>
            <w:tcBorders>
              <w:right w:val="single" w:sz="8" w:color="auto"/>
            </w:tcBorders>
          </w:tcPr>
          <w:p>
            <w:pPr>
              <w:spacing w:after="0"/>
              <w:rPr>
                <w:sz w:val="15"/>
                <w:szCs w:val="15"/>
                <w:color w:val="auto"/>
              </w:rPr>
            </w:pPr>
          </w:p>
        </w:tc>
      </w:tr>
      <w:tr>
        <w:trPr>
          <w:trHeight w:val="256"/>
        </w:trPr>
        <w:tc>
          <w:tcPr>
            <w:tcW w:w="30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Shares of Common Stock Outstanding Assuming</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91,498,842 shares of Common Stock (based on total shares of Common Stock outstanding</w:t>
            </w:r>
          </w:p>
        </w:tc>
      </w:tr>
      <w:tr>
        <w:trPr>
          <w:trHeight w:val="182"/>
        </w:trPr>
        <w:tc>
          <w:tcPr>
            <w:tcW w:w="30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Exercise of All Public Warrants</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as of June 12, 2026).</w:t>
            </w:r>
          </w:p>
        </w:tc>
      </w:tr>
      <w:tr>
        <w:trPr>
          <w:trHeight w:val="256"/>
        </w:trPr>
        <w:tc>
          <w:tcPr>
            <w:tcW w:w="30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Shares of Common Stock Outstanding Assuming</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100,217,842 shares of Common Stock (based on total shares of Common Stock</w:t>
            </w:r>
          </w:p>
        </w:tc>
      </w:tr>
      <w:tr>
        <w:trPr>
          <w:trHeight w:val="182"/>
        </w:trPr>
        <w:tc>
          <w:tcPr>
            <w:tcW w:w="30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Exercise of All Warrants</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outstanding as of June 12, 2026).</w:t>
            </w:r>
          </w:p>
        </w:tc>
      </w:tr>
      <w:tr>
        <w:trPr>
          <w:trHeight w:val="256"/>
        </w:trPr>
        <w:tc>
          <w:tcPr>
            <w:tcW w:w="30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We will not receive any proceeds from the resale of shares of Common Stock by the</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Selling Securityholders. We could also receive up to an aggregate of approximately</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$333 million if all of the Warrants held by the Selling Securityholders are exercised for</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cash. However, we will only receive such proceeds if and when the holders of the Warrants</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exercise the Warrants for cash. The exercise of the Warrants, and any proceeds we may</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receive from any exercise, are highly dependent on the price of our shares of Common</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Stock and the spread between the exercise price of the Warrants and the price of our</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Common Stock at the time of exercise. We have (i) 20,000,000 outstanding Public</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Warrants to purchase 20,000,000 shares of our Common Stock, exercisable at an exercise</w:t>
            </w:r>
          </w:p>
        </w:tc>
      </w:tr>
      <w:tr>
        <w:trPr>
          <w:trHeight w:val="167"/>
        </w:trPr>
        <w:tc>
          <w:tcPr>
            <w:tcW w:w="3080" w:type="dxa"/>
            <w:vAlign w:val="bottom"/>
            <w:tcBorders>
              <w:left w:val="single" w:sz="8" w:color="auto"/>
            </w:tcBorders>
          </w:tcPr>
          <w:p>
            <w:pPr>
              <w:spacing w:after="0"/>
              <w:rPr>
                <w:sz w:val="14"/>
                <w:szCs w:val="14"/>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price of $11.50 per share, (ii) 3,719,000 Private Warrants to purchase 3,719,000 shares of</w:t>
            </w:r>
          </w:p>
        </w:tc>
      </w:tr>
      <w:tr>
        <w:trPr>
          <w:trHeight w:val="182"/>
        </w:trPr>
        <w:tc>
          <w:tcPr>
            <w:tcW w:w="3080" w:type="dxa"/>
            <w:vAlign w:val="bottom"/>
            <w:tcBorders>
              <w:left w:val="single" w:sz="8" w:color="auto"/>
            </w:tcBorders>
          </w:tcPr>
          <w:p>
            <w:pPr>
              <w:spacing w:after="0"/>
              <w:rPr>
                <w:sz w:val="15"/>
                <w:szCs w:val="15"/>
                <w:color w:val="auto"/>
              </w:rPr>
            </w:pPr>
          </w:p>
        </w:tc>
        <w:tc>
          <w:tcPr>
            <w:tcW w:w="5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our Common Stock, exercisable at an exercise price of $11.50 per share,</w:t>
            </w:r>
          </w:p>
        </w:tc>
      </w:tr>
      <w:tr>
        <w:trPr>
          <w:trHeight w:val="130"/>
        </w:trPr>
        <w:tc>
          <w:tcPr>
            <w:tcW w:w="3080" w:type="dxa"/>
            <w:vAlign w:val="bottom"/>
            <w:tcBorders>
              <w:left w:val="single" w:sz="8" w:color="auto"/>
              <w:bottom w:val="single" w:sz="8" w:color="auto"/>
            </w:tcBorders>
          </w:tcPr>
          <w:p>
            <w:pPr>
              <w:spacing w:after="0"/>
              <w:rPr>
                <w:sz w:val="11"/>
                <w:szCs w:val="11"/>
                <w:color w:val="auto"/>
              </w:rPr>
            </w:pPr>
          </w:p>
        </w:tc>
        <w:tc>
          <w:tcPr>
            <w:tcW w:w="5440" w:type="dxa"/>
            <w:vAlign w:val="bottom"/>
            <w:tcBorders>
              <w:bottom w:val="single" w:sz="8" w:color="auto"/>
              <w:right w:val="single" w:sz="8" w:color="auto"/>
            </w:tcBorders>
          </w:tcPr>
          <w:p>
            <w:pPr>
              <w:spacing w:after="0"/>
              <w:rPr>
                <w:sz w:val="11"/>
                <w:szCs w:val="11"/>
                <w:color w:val="auto"/>
              </w:rPr>
            </w:pPr>
          </w:p>
        </w:tc>
      </w:tr>
      <w:tr>
        <w:trPr>
          <w:trHeight w:val="277"/>
        </w:trPr>
        <w:tc>
          <w:tcPr>
            <w:tcW w:w="3080" w:type="dxa"/>
            <w:vAlign w:val="bottom"/>
          </w:tcPr>
          <w:p>
            <w:pPr>
              <w:spacing w:after="0"/>
              <w:rPr>
                <w:sz w:val="24"/>
                <w:szCs w:val="24"/>
                <w:color w:val="auto"/>
              </w:rPr>
            </w:pPr>
          </w:p>
        </w:tc>
        <w:tc>
          <w:tcPr>
            <w:tcW w:w="54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11</w:t>
            </w:r>
          </w:p>
        </w:tc>
      </w:tr>
    </w:tbl>
    <w:p>
      <w:pPr>
        <w:sectPr>
          <w:pgSz w:w="11900" w:h="16838" w:orient="portrait"/>
          <w:cols w:equalWidth="0" w:num="1">
            <w:col w:w="10159"/>
          </w:cols>
          <w:pgMar w:left="300" w:top="40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580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08295" cy="4580890"/>
                    </a:xfrm>
                    <a:prstGeom prst="rect">
                      <a:avLst/>
                    </a:prstGeom>
                    <a:noFill/>
                  </pic:spPr>
                </pic:pic>
              </a:graphicData>
            </a:graphic>
          </wp:anchor>
        </w:drawing>
      </w:r>
    </w:p>
    <w:p>
      <w:pPr>
        <w:spacing w:after="0" w:line="363" w:lineRule="exact"/>
        <w:rPr>
          <w:sz w:val="20"/>
          <w:szCs w:val="20"/>
          <w:color w:val="auto"/>
        </w:rPr>
      </w:pPr>
    </w:p>
    <w:p>
      <w:pPr>
        <w:ind w:left="4640" w:right="419"/>
        <w:spacing w:after="0" w:line="251" w:lineRule="auto"/>
        <w:rPr>
          <w:sz w:val="20"/>
          <w:szCs w:val="20"/>
          <w:color w:val="auto"/>
        </w:rPr>
      </w:pPr>
      <w:r>
        <w:rPr>
          <w:rFonts w:ascii="Times New Roman" w:cs="Times New Roman" w:eastAsia="Times New Roman" w:hAnsi="Times New Roman"/>
          <w:sz w:val="14"/>
          <w:szCs w:val="14"/>
          <w:color w:val="auto"/>
        </w:rPr>
        <w:t>and (iii) 5,000,000 Hadron Private Warrants to purchase 5,000,000 shares of our Common Stock, exercisable at an exercise price of $12.00 per share. If the market price of our Common Stock is less than the exercise price of a holder’s Warrants, it is unlikely that holders will exercise their Warrants. As of June 12, 2026, the closing price of our Common Stock was $2.74 per share. There can be no assurance that our Warrants will be in the money prior to their expiration. Our Public Warrants under certain conditions, as described in the Warrant Agreement, are redeemable by us at a price of $0.01 per Public Warrant. The Private Warrants and Hadron Private Warrants are not redeemable and are exercisable on a cash or cashless basis; if the Private Warrants or Hadron private Warrants are exercised on a “cashless basis,” whether or not a Private Warrant or Hadron Private Warrant is in the money, we will not receive cash for such exercise. As such, it is possible that we may never generate any cash proceeds from the exercise of our Warrants. We expect to use the net proceeds we receive from the exercise of the Warrants, if any, for general corporate purposes. See the section entitled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1540"/>
        <w:spacing w:after="0"/>
        <w:tabs>
          <w:tab w:leader="none" w:pos="4620" w:val="left"/>
        </w:tabs>
        <w:rPr>
          <w:sz w:val="20"/>
          <w:szCs w:val="20"/>
          <w:color w:val="auto"/>
        </w:rPr>
      </w:pPr>
      <w:r>
        <w:rPr>
          <w:rFonts w:ascii="Times New Roman" w:cs="Times New Roman" w:eastAsia="Times New Roman" w:hAnsi="Times New Roman"/>
          <w:sz w:val="14"/>
          <w:szCs w:val="14"/>
          <w:color w:val="auto"/>
        </w:rPr>
        <w:t>Lock-Up Restrictions</w:t>
      </w:r>
      <w:r>
        <w:rPr>
          <w:sz w:val="20"/>
          <w:szCs w:val="20"/>
          <w:color w:val="auto"/>
        </w:rPr>
        <w:tab/>
      </w:r>
      <w:r>
        <w:rPr>
          <w:rFonts w:ascii="Times New Roman" w:cs="Times New Roman" w:eastAsia="Times New Roman" w:hAnsi="Times New Roman"/>
          <w:sz w:val="13"/>
          <w:szCs w:val="13"/>
          <w:color w:val="auto"/>
        </w:rPr>
        <w:t>Certain of our stockholders are subject to certain restrictions on transfer until the</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termination of applicable lock-up periods. See the section entitled “</w:t>
      </w:r>
      <w:r>
        <w:rPr>
          <w:rFonts w:ascii="Times New Roman" w:cs="Times New Roman" w:eastAsia="Times New Roman" w:hAnsi="Times New Roman"/>
          <w:sz w:val="14"/>
          <w:szCs w:val="14"/>
          <w:i w:val="1"/>
          <w:iCs w:val="1"/>
          <w:color w:val="auto"/>
        </w:rPr>
        <w:t>Certain Relationships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i w:val="1"/>
          <w:iCs w:val="1"/>
          <w:color w:val="auto"/>
        </w:rPr>
        <w:t>and Related Party Transactions</w:t>
      </w:r>
      <w:r>
        <w:rPr>
          <w:rFonts w:ascii="Times New Roman" w:cs="Times New Roman" w:eastAsia="Times New Roman" w:hAnsi="Times New Roman"/>
          <w:sz w:val="14"/>
          <w:szCs w:val="14"/>
          <w:color w:val="auto"/>
        </w:rPr>
        <w:t>” for further discussion.</w:t>
      </w:r>
    </w:p>
    <w:p>
      <w:pPr>
        <w:sectPr>
          <w:pgSz w:w="11900" w:h="16838" w:orient="portrait"/>
          <w:cols w:equalWidth="0" w:num="1">
            <w:col w:w="10159"/>
          </w:cols>
          <w:pgMar w:left="300" w:top="404" w:right="1440" w:bottom="1440" w:gutter="0" w:footer="0" w:header="0"/>
        </w:sectPr>
      </w:pPr>
    </w:p>
    <w:p>
      <w:pPr>
        <w:spacing w:after="0" w:line="8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Market for Common Stock and Warrants</w:t>
      </w:r>
    </w:p>
    <w:p>
      <w:pPr>
        <w:spacing w:after="0" w:line="2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Holders of Equity Securities</w:t>
      </w:r>
    </w:p>
    <w:p>
      <w:pPr>
        <w:spacing w:after="0" w:line="26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879"/>
        <w:spacing w:after="0" w:line="279" w:lineRule="auto"/>
        <w:rPr>
          <w:sz w:val="20"/>
          <w:szCs w:val="20"/>
          <w:color w:val="auto"/>
        </w:rPr>
      </w:pPr>
      <w:r>
        <w:rPr>
          <w:rFonts w:ascii="Times New Roman" w:cs="Times New Roman" w:eastAsia="Times New Roman" w:hAnsi="Times New Roman"/>
          <w:sz w:val="14"/>
          <w:szCs w:val="14"/>
          <w:color w:val="auto"/>
        </w:rPr>
        <w:t>Our Common Stock is listed on Nasdaq under the symbol “HDRN,” and our Public Warrants are traded on Nasdaq under the symbol “HDRNW.”</w:t>
      </w:r>
    </w:p>
    <w:p>
      <w:pPr>
        <w:spacing w:after="0" w:line="53" w:lineRule="exact"/>
        <w:rPr>
          <w:sz w:val="20"/>
          <w:szCs w:val="20"/>
          <w:color w:val="auto"/>
        </w:rPr>
      </w:pPr>
    </w:p>
    <w:p>
      <w:pPr>
        <w:ind w:right="739"/>
        <w:spacing w:after="0" w:line="279" w:lineRule="auto"/>
        <w:rPr>
          <w:sz w:val="20"/>
          <w:szCs w:val="20"/>
          <w:color w:val="auto"/>
        </w:rPr>
      </w:pPr>
      <w:r>
        <w:rPr>
          <w:rFonts w:ascii="Times New Roman" w:cs="Times New Roman" w:eastAsia="Times New Roman" w:hAnsi="Times New Roman"/>
          <w:sz w:val="14"/>
          <w:szCs w:val="14"/>
          <w:color w:val="auto"/>
        </w:rPr>
        <w:t>As of June 12, 2026, we had 107 holders of our Common Stock and 14 holders of our Warrants.</w:t>
      </w:r>
    </w:p>
    <w:p>
      <w:pPr>
        <w:spacing w:after="0" w:line="51" w:lineRule="exact"/>
        <w:rPr>
          <w:sz w:val="20"/>
          <w:szCs w:val="20"/>
          <w:color w:val="auto"/>
        </w:rPr>
      </w:pPr>
    </w:p>
    <w:p>
      <w:pPr>
        <w:ind w:right="599"/>
        <w:spacing w:after="0" w:line="322" w:lineRule="auto"/>
        <w:rPr>
          <w:sz w:val="20"/>
          <w:szCs w:val="20"/>
          <w:color w:val="auto"/>
        </w:rPr>
      </w:pPr>
      <w:r>
        <w:rPr>
          <w:rFonts w:ascii="Times New Roman" w:cs="Times New Roman" w:eastAsia="Times New Roman" w:hAnsi="Times New Roman"/>
          <w:sz w:val="13"/>
          <w:szCs w:val="13"/>
          <w:color w:val="auto"/>
        </w:rPr>
        <w:t>See the section entitled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and other information included in this prospectus for a discussion of factors you should consider before investing in our securities.</w:t>
      </w:r>
    </w:p>
    <w:p>
      <w:pPr>
        <w:spacing w:after="0" w:line="183" w:lineRule="exact"/>
        <w:rPr>
          <w:sz w:val="20"/>
          <w:szCs w:val="20"/>
          <w:color w:val="auto"/>
        </w:rPr>
      </w:pPr>
    </w:p>
    <w:p>
      <w:pPr>
        <w:sectPr>
          <w:pgSz w:w="11900" w:h="16838" w:orient="portrait"/>
          <w:cols w:equalWidth="0" w:num="2">
            <w:col w:w="3920" w:space="720"/>
            <w:col w:w="5519"/>
          </w:cols>
          <w:pgMar w:left="300" w:top="404"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Industry</w:t>
      </w:r>
    </w:p>
    <w:p>
      <w:pPr>
        <w:spacing w:after="0" w:line="91" w:lineRule="exact"/>
        <w:rPr>
          <w:sz w:val="20"/>
          <w:szCs w:val="20"/>
          <w:color w:val="auto"/>
        </w:rPr>
      </w:pPr>
    </w:p>
    <w:p>
      <w:pPr>
        <w:ind w:left="1540" w:right="539" w:firstLine="329"/>
        <w:spacing w:after="0" w:line="264" w:lineRule="auto"/>
        <w:rPr>
          <w:sz w:val="20"/>
          <w:szCs w:val="20"/>
          <w:color w:val="auto"/>
        </w:rPr>
      </w:pPr>
      <w:r>
        <w:rPr>
          <w:rFonts w:ascii="Times New Roman" w:cs="Times New Roman" w:eastAsia="Times New Roman" w:hAnsi="Times New Roman"/>
          <w:sz w:val="14"/>
          <w:szCs w:val="14"/>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3" w:lineRule="exact"/>
        <w:rPr>
          <w:sz w:val="20"/>
          <w:szCs w:val="20"/>
          <w:color w:val="auto"/>
        </w:rPr>
      </w:pPr>
    </w:p>
    <w:p>
      <w:pPr>
        <w:ind w:left="2260" w:right="459" w:hanging="322"/>
        <w:spacing w:after="0" w:line="264"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losses and have not generated any revenue since our inception. We anticipate that we will continue to incur losses, and expect that we will not generate revenue, for the foreseeable future, at least until our reactors become commercially viable, which may never occur.</w:t>
      </w:r>
    </w:p>
    <w:p>
      <w:pPr>
        <w:spacing w:after="0" w:line="63" w:lineRule="exact"/>
        <w:rPr>
          <w:rFonts w:ascii="Times New Roman" w:cs="Times New Roman" w:eastAsia="Times New Roman" w:hAnsi="Times New Roman"/>
          <w:sz w:val="14"/>
          <w:szCs w:val="14"/>
          <w:color w:val="auto"/>
        </w:rPr>
      </w:pPr>
    </w:p>
    <w:p>
      <w:pPr>
        <w:ind w:left="2260" w:right="559" w:hanging="322"/>
        <w:spacing w:after="0" w:line="279"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early-stage company and our limited operating history makes it difficult to evaluate our future prospects and the risks and challenges we may encounter.</w:t>
      </w:r>
    </w:p>
    <w:p>
      <w:pPr>
        <w:spacing w:after="0" w:line="53" w:lineRule="exact"/>
        <w:rPr>
          <w:rFonts w:ascii="Times New Roman" w:cs="Times New Roman" w:eastAsia="Times New Roman" w:hAnsi="Times New Roman"/>
          <w:sz w:val="14"/>
          <w:szCs w:val="14"/>
          <w:color w:val="auto"/>
        </w:rPr>
      </w:pPr>
    </w:p>
    <w:p>
      <w:pPr>
        <w:ind w:left="2260" w:right="679" w:hanging="322"/>
        <w:spacing w:after="0" w:line="279"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macro-economic and political conditions could materially adversely affect our results of operations and financial condition.</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404"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693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08295" cy="4693285"/>
                    </a:xfrm>
                    <a:prstGeom prst="rect">
                      <a:avLst/>
                    </a:prstGeom>
                    <a:noFill/>
                  </pic:spPr>
                </pic:pic>
              </a:graphicData>
            </a:graphic>
          </wp:anchor>
        </w:drawing>
      </w:r>
    </w:p>
    <w:p>
      <w:pPr>
        <w:spacing w:after="0" w:line="363" w:lineRule="exact"/>
        <w:rPr>
          <w:sz w:val="20"/>
          <w:szCs w:val="20"/>
          <w:color w:val="auto"/>
        </w:rPr>
      </w:pPr>
    </w:p>
    <w:p>
      <w:pPr>
        <w:ind w:left="2260" w:hanging="322"/>
        <w:spacing w:after="0"/>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cost estimates are highly sensitive to broader economic factors, and our ability to control or manage our costs may be limited.</w:t>
      </w:r>
    </w:p>
    <w:p>
      <w:pPr>
        <w:spacing w:after="0" w:line="99" w:lineRule="exact"/>
        <w:rPr>
          <w:rFonts w:ascii="Times New Roman" w:cs="Times New Roman" w:eastAsia="Times New Roman" w:hAnsi="Times New Roman"/>
          <w:sz w:val="14"/>
          <w:szCs w:val="14"/>
          <w:color w:val="auto"/>
        </w:rPr>
      </w:pPr>
    </w:p>
    <w:p>
      <w:pPr>
        <w:ind w:left="2260" w:right="61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and our business, results of operations, and financial condition could be harmed.</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substantial doubt about our ability to continue as a going concern, and we may require additional future funding.</w:t>
      </w:r>
    </w:p>
    <w:p>
      <w:pPr>
        <w:spacing w:after="0" w:line="99" w:lineRule="exact"/>
        <w:rPr>
          <w:rFonts w:ascii="Times New Roman" w:cs="Times New Roman" w:eastAsia="Times New Roman" w:hAnsi="Times New Roman"/>
          <w:sz w:val="14"/>
          <w:szCs w:val="14"/>
          <w:color w:val="auto"/>
        </w:rPr>
      </w:pPr>
    </w:p>
    <w:p>
      <w:pPr>
        <w:ind w:left="2260" w:right="81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limited operating experience for MMRs of this size, configuration and scale, which may result in greater than expected construction and material costs, maintenance requirements, operating expense or delivery timing.</w:t>
      </w:r>
    </w:p>
    <w:p>
      <w:pPr>
        <w:spacing w:after="0" w:line="53" w:lineRule="exact"/>
        <w:rPr>
          <w:rFonts w:ascii="Times New Roman" w:cs="Times New Roman" w:eastAsia="Times New Roman" w:hAnsi="Times New Roman"/>
          <w:sz w:val="14"/>
          <w:szCs w:val="14"/>
          <w:color w:val="auto"/>
        </w:rPr>
      </w:pPr>
    </w:p>
    <w:p>
      <w:pPr>
        <w:ind w:left="2260" w:right="41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yet commercialized or sold the Hadron Halo or any other micro modular reactor, and there is no guarantee that we will be able to do so.</w:t>
      </w:r>
    </w:p>
    <w:p>
      <w:pPr>
        <w:spacing w:after="0" w:line="53" w:lineRule="exact"/>
        <w:rPr>
          <w:rFonts w:ascii="Times New Roman" w:cs="Times New Roman" w:eastAsia="Times New Roman" w:hAnsi="Times New Roman"/>
          <w:sz w:val="14"/>
          <w:szCs w:val="14"/>
          <w:color w:val="auto"/>
        </w:rPr>
      </w:pPr>
    </w:p>
    <w:p>
      <w:pPr>
        <w:ind w:left="2260" w:right="69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MMRs generating electric power and high-temperature heat is not yet established and may not achieve the growth potential we expect or may grow more slowly than expected.</w:t>
      </w:r>
    </w:p>
    <w:p>
      <w:pPr>
        <w:spacing w:after="0" w:line="53" w:lineRule="exact"/>
        <w:rPr>
          <w:rFonts w:ascii="Times New Roman" w:cs="Times New Roman" w:eastAsia="Times New Roman" w:hAnsi="Times New Roman"/>
          <w:sz w:val="14"/>
          <w:szCs w:val="14"/>
          <w:color w:val="auto"/>
        </w:rPr>
      </w:pPr>
    </w:p>
    <w:p>
      <w:pPr>
        <w:ind w:left="2260" w:right="75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53" w:lineRule="exact"/>
        <w:rPr>
          <w:rFonts w:ascii="Times New Roman" w:cs="Times New Roman" w:eastAsia="Times New Roman" w:hAnsi="Times New Roman"/>
          <w:sz w:val="14"/>
          <w:szCs w:val="14"/>
          <w:color w:val="auto"/>
        </w:rPr>
      </w:pPr>
    </w:p>
    <w:p>
      <w:pPr>
        <w:ind w:left="2260" w:right="699" w:hanging="322"/>
        <w:spacing w:after="0" w:line="319" w:lineRule="auto"/>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part of the nuclear power industry, which is highly regulated. Our MMR design similarly differs from reactors currently in operation, and as a result, the regulatory licensing and approval process for our reactors may be delayed and made more costly.</w:t>
      </w:r>
    </w:p>
    <w:p>
      <w:pPr>
        <w:spacing w:after="0" w:line="30" w:lineRule="exact"/>
        <w:rPr>
          <w:rFonts w:ascii="Times New Roman" w:cs="Times New Roman" w:eastAsia="Times New Roman" w:hAnsi="Times New Roman"/>
          <w:sz w:val="13"/>
          <w:szCs w:val="13"/>
          <w:color w:val="auto"/>
        </w:rPr>
      </w:pPr>
    </w:p>
    <w:p>
      <w:pPr>
        <w:ind w:left="2260" w:right="45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Hadron Halo design has not yet been approved or licensed for use at any site by the NRC, and approval or licensing of our design is not guaranteed.</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supply base may not be able to scale to the production levels necessary to meet sales projections.</w:t>
      </w:r>
    </w:p>
    <w:p>
      <w:pPr>
        <w:spacing w:after="0" w:line="99" w:lineRule="exact"/>
        <w:rPr>
          <w:rFonts w:ascii="Times New Roman" w:cs="Times New Roman" w:eastAsia="Times New Roman" w:hAnsi="Times New Roman"/>
          <w:sz w:val="14"/>
          <w:szCs w:val="14"/>
          <w:color w:val="auto"/>
        </w:rPr>
      </w:pPr>
    </w:p>
    <w:p>
      <w:pPr>
        <w:ind w:left="2260" w:right="639" w:hanging="322"/>
        <w:spacing w:after="0" w:line="264"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a limited number of suppliers for certain materials and supplied components, some of which are highly specialized. We and our third-party vendors may not be able to obtain sufficient materials or supplied components to meet our manufacturing and operating needs.</w:t>
      </w:r>
    </w:p>
    <w:p>
      <w:pPr>
        <w:spacing w:after="0" w:line="63" w:lineRule="exact"/>
        <w:rPr>
          <w:rFonts w:ascii="Times New Roman" w:cs="Times New Roman" w:eastAsia="Times New Roman" w:hAnsi="Times New Roman"/>
          <w:sz w:val="14"/>
          <w:szCs w:val="14"/>
          <w:color w:val="auto"/>
        </w:rPr>
      </w:pPr>
    </w:p>
    <w:p>
      <w:pPr>
        <w:ind w:left="2260" w:right="45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key executives and other highly skilled personnel to execute our business plan and conduct our operations. A departure of key personnel could have a material adverse effect on our business.</w:t>
      </w:r>
    </w:p>
    <w:p>
      <w:pPr>
        <w:spacing w:after="0" w:line="53" w:lineRule="exact"/>
        <w:rPr>
          <w:rFonts w:ascii="Times New Roman" w:cs="Times New Roman" w:eastAsia="Times New Roman" w:hAnsi="Times New Roman"/>
          <w:sz w:val="14"/>
          <w:szCs w:val="14"/>
          <w:color w:val="auto"/>
        </w:rPr>
      </w:pPr>
    </w:p>
    <w:p>
      <w:pPr>
        <w:ind w:left="2260" w:right="45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information technology and cyber security threats which could have adverse effects, including regulatory effects, on our business and results of operations.</w:t>
      </w:r>
    </w:p>
    <w:p>
      <w:pPr>
        <w:spacing w:after="0" w:line="53" w:lineRule="exact"/>
        <w:rPr>
          <w:rFonts w:ascii="Times New Roman" w:cs="Times New Roman" w:eastAsia="Times New Roman" w:hAnsi="Times New Roman"/>
          <w:sz w:val="14"/>
          <w:szCs w:val="14"/>
          <w:color w:val="auto"/>
        </w:rPr>
      </w:pPr>
    </w:p>
    <w:p>
      <w:pPr>
        <w:ind w:left="2260" w:right="69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heavily on our intellectual property portfolio. If we are unable to protect our intellectual property rights, our business and competitive position may be harmed.</w:t>
      </w:r>
    </w:p>
    <w:p>
      <w:pPr>
        <w:spacing w:after="0" w:line="53" w:lineRule="exact"/>
        <w:rPr>
          <w:rFonts w:ascii="Times New Roman" w:cs="Times New Roman" w:eastAsia="Times New Roman" w:hAnsi="Times New Roman"/>
          <w:sz w:val="14"/>
          <w:szCs w:val="14"/>
          <w:color w:val="auto"/>
        </w:rPr>
      </w:pPr>
    </w:p>
    <w:p>
      <w:pPr>
        <w:ind w:left="2260" w:right="47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requires substantial investment. In order to fulfill our business plan, we will require additional funding, and the terms of any financing that we pursue may be less favorable than anticipated.</w:t>
      </w:r>
    </w:p>
    <w:p>
      <w:pPr>
        <w:spacing w:after="0" w:line="53" w:lineRule="exact"/>
        <w:rPr>
          <w:rFonts w:ascii="Times New Roman" w:cs="Times New Roman" w:eastAsia="Times New Roman" w:hAnsi="Times New Roman"/>
          <w:sz w:val="14"/>
          <w:szCs w:val="14"/>
          <w:color w:val="auto"/>
        </w:rPr>
      </w:pPr>
    </w:p>
    <w:p>
      <w:pPr>
        <w:ind w:left="2260" w:right="53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timely and effectively implement controls and procedures required by Section 404(a) of the Sarbanes-Oxley Act could negatively impact our business.</w:t>
      </w:r>
    </w:p>
    <w:p>
      <w:pPr>
        <w:spacing w:after="0" w:line="53" w:lineRule="exact"/>
        <w:rPr>
          <w:rFonts w:ascii="Times New Roman" w:cs="Times New Roman" w:eastAsia="Times New Roman" w:hAnsi="Times New Roman"/>
          <w:sz w:val="14"/>
          <w:szCs w:val="14"/>
          <w:color w:val="auto"/>
        </w:rPr>
      </w:pPr>
    </w:p>
    <w:p>
      <w:pPr>
        <w:ind w:left="2260" w:right="979" w:hanging="322"/>
        <w:spacing w:after="0" w:line="279"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emerging growth company and a smaller reporting company, and if we take advantage of certain exemptions from disclosure requirements, this could make our securities less attractive to investors.</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tariff or fiscal policies could adversely affect demand for our products.</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40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2455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8295" cy="2455545"/>
                    </a:xfrm>
                    <a:prstGeom prst="rect">
                      <a:avLst/>
                    </a:prstGeom>
                    <a:noFill/>
                  </pic:spPr>
                </pic:pic>
              </a:graphicData>
            </a:graphic>
          </wp:anchor>
        </w:drawing>
      </w:r>
    </w:p>
    <w:p>
      <w:pPr>
        <w:spacing w:after="0" w:line="36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Company’s Securities</w:t>
      </w:r>
    </w:p>
    <w:p>
      <w:pPr>
        <w:spacing w:after="0" w:line="91" w:lineRule="exact"/>
        <w:rPr>
          <w:sz w:val="20"/>
          <w:szCs w:val="20"/>
          <w:color w:val="auto"/>
        </w:rPr>
      </w:pPr>
    </w:p>
    <w:p>
      <w:pPr>
        <w:ind w:left="1540" w:right="839" w:firstLine="329"/>
        <w:spacing w:after="0" w:line="279" w:lineRule="auto"/>
        <w:rPr>
          <w:sz w:val="20"/>
          <w:szCs w:val="20"/>
          <w:color w:val="auto"/>
        </w:rPr>
      </w:pPr>
      <w:r>
        <w:rPr>
          <w:rFonts w:ascii="Times New Roman" w:cs="Times New Roman" w:eastAsia="Times New Roman" w:hAnsi="Times New Roman"/>
          <w:sz w:val="14"/>
          <w:szCs w:val="14"/>
          <w:color w:val="auto"/>
        </w:rPr>
        <w:t>Investing in our Common Stock involves risk. These risks are described more fully in the section entitled “Risk Factors,” immediately following this prospectus summary. These risks include the following, among others:</w:t>
      </w:r>
    </w:p>
    <w:p>
      <w:pPr>
        <w:spacing w:after="0" w:line="53" w:lineRule="exact"/>
        <w:rPr>
          <w:sz w:val="20"/>
          <w:szCs w:val="20"/>
          <w:color w:val="auto"/>
        </w:rPr>
      </w:pPr>
    </w:p>
    <w:p>
      <w:pPr>
        <w:ind w:left="2260" w:right="479" w:hanging="322"/>
        <w:spacing w:after="0" w:line="279" w:lineRule="auto"/>
        <w:tabs>
          <w:tab w:leader="none" w:pos="2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expect to pay dividends on shares of Common Stock for the foreseeable future, and, consequently, your ability to achieve a return on your investment will depend on appreciation, if any, in the market price of our Common Stock.</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may never be in the money, and they may expire worthless.</w:t>
      </w:r>
    </w:p>
    <w:p>
      <w:pPr>
        <w:spacing w:after="0" w:line="99" w:lineRule="exact"/>
        <w:rPr>
          <w:rFonts w:ascii="Times New Roman" w:cs="Times New Roman" w:eastAsia="Times New Roman" w:hAnsi="Times New Roman"/>
          <w:sz w:val="14"/>
          <w:szCs w:val="14"/>
          <w:color w:val="auto"/>
        </w:rPr>
      </w:pPr>
    </w:p>
    <w:p>
      <w:pPr>
        <w:ind w:left="2260" w:right="539" w:hanging="322"/>
        <w:spacing w:after="0" w:line="279" w:lineRule="auto"/>
        <w:tabs>
          <w:tab w:leader="none" w:pos="2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your unexpired Public Warrants prior to their exercise at a time that is disadvantageous to you, thereby making your Warrants worthless.</w:t>
      </w:r>
    </w:p>
    <w:p>
      <w:pPr>
        <w:spacing w:after="0" w:line="53" w:lineRule="exact"/>
        <w:rPr>
          <w:rFonts w:ascii="Times New Roman" w:cs="Times New Roman" w:eastAsia="Times New Roman" w:hAnsi="Times New Roman"/>
          <w:sz w:val="14"/>
          <w:szCs w:val="14"/>
          <w:color w:val="auto"/>
        </w:rPr>
      </w:pPr>
    </w:p>
    <w:p>
      <w:pPr>
        <w:ind w:left="2260" w:hanging="322"/>
        <w:spacing w:after="0"/>
        <w:tabs>
          <w:tab w:leader="none" w:pos="2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may have an adverse effect on the market price of our Common Stock.</w:t>
      </w:r>
    </w:p>
    <w:p>
      <w:pPr>
        <w:spacing w:after="0" w:line="99" w:lineRule="exact"/>
        <w:rPr>
          <w:rFonts w:ascii="Times New Roman" w:cs="Times New Roman" w:eastAsia="Times New Roman" w:hAnsi="Times New Roman"/>
          <w:sz w:val="14"/>
          <w:szCs w:val="14"/>
          <w:color w:val="auto"/>
        </w:rPr>
      </w:pPr>
    </w:p>
    <w:p>
      <w:pPr>
        <w:ind w:left="2260" w:right="519" w:hanging="322"/>
        <w:spacing w:after="0" w:line="279" w:lineRule="auto"/>
        <w:tabs>
          <w:tab w:leader="none" w:pos="2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issue additional shares of Common Stock, including under the Hadron Energy, Inc. 2026 Equity Incentive Plan (the “Plan”). Any such issuances would dilute the interest of our stockholders and likely present other risks.</w:t>
      </w:r>
    </w:p>
    <w:p>
      <w:pPr>
        <w:spacing w:after="0" w:line="53" w:lineRule="exact"/>
        <w:rPr>
          <w:rFonts w:ascii="Times New Roman" w:cs="Times New Roman" w:eastAsia="Times New Roman" w:hAnsi="Times New Roman"/>
          <w:sz w:val="14"/>
          <w:szCs w:val="14"/>
          <w:color w:val="auto"/>
        </w:rPr>
      </w:pPr>
    </w:p>
    <w:p>
      <w:pPr>
        <w:ind w:left="2260" w:right="439" w:hanging="322"/>
        <w:spacing w:after="0" w:line="264" w:lineRule="auto"/>
        <w:tabs>
          <w:tab w:leader="none" w:pos="2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Charter provides,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3" w:lineRule="exact"/>
        <w:rPr>
          <w:rFonts w:ascii="Times New Roman" w:cs="Times New Roman" w:eastAsia="Times New Roman" w:hAnsi="Times New Roman"/>
          <w:sz w:val="14"/>
          <w:szCs w:val="14"/>
          <w:color w:val="auto"/>
        </w:rPr>
      </w:pPr>
    </w:p>
    <w:p>
      <w:pPr>
        <w:ind w:left="2260" w:right="479" w:hanging="322"/>
        <w:spacing w:after="0" w:line="264" w:lineRule="auto"/>
        <w:tabs>
          <w:tab w:leader="none" w:pos="2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qualifies as a “controlled company” within the meaning of the Nasdaq corporate governance rules and may choose to rely on available exemptions that differ significantly from Nasdaq corporate governance listing standards. These practices may afford less protection to shareholders.</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40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Hadron Energy’s Business and Industry</w:t>
      </w:r>
    </w:p>
    <w:p>
      <w:pPr>
        <w:spacing w:after="0" w:line="89" w:lineRule="exact"/>
        <w:rPr>
          <w:sz w:val="20"/>
          <w:szCs w:val="20"/>
          <w:color w:val="auto"/>
        </w:rPr>
      </w:pPr>
    </w:p>
    <w:p>
      <w:pPr>
        <w:ind w:left="1400" w:right="2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have incurred losses and have not generated any revenue since our inception. We anticipate that we will continue to incur losses, and expect that we will not generate revenue, for the foreseeable future, at least until our reactors become commercially viable, which may never occur.</w:t>
      </w:r>
    </w:p>
    <w:p>
      <w:pPr>
        <w:spacing w:after="0" w:line="41" w:lineRule="exact"/>
        <w:rPr>
          <w:sz w:val="20"/>
          <w:szCs w:val="20"/>
          <w:color w:val="auto"/>
        </w:rPr>
      </w:pPr>
    </w:p>
    <w:p>
      <w:pPr>
        <w:ind w:left="1400" w:right="259"/>
        <w:spacing w:after="0" w:line="250" w:lineRule="auto"/>
        <w:rPr>
          <w:sz w:val="20"/>
          <w:szCs w:val="20"/>
          <w:color w:val="auto"/>
        </w:rPr>
      </w:pPr>
      <w:r>
        <w:rPr>
          <w:rFonts w:ascii="Times New Roman" w:cs="Times New Roman" w:eastAsia="Times New Roman" w:hAnsi="Times New Roman"/>
          <w:sz w:val="14"/>
          <w:szCs w:val="14"/>
          <w:color w:val="auto"/>
        </w:rPr>
        <w:t>We have incurred operating losses since our inception, including net losses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Since inception, the Company has incurred and expects to continue to incur net losses and negative operating cash flow. We are still in our early stages of development and expect to continue to incur significant expenses, operating losses, and negative operating cash flows for the foreseeable future due to increase in expenses from historical levels because of additional costs and expenses related to the development of technology and factory and the development of market and strategic relationships with other businesses.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spacing w:after="0" w:line="234" w:lineRule="exact"/>
        <w:rPr>
          <w:sz w:val="20"/>
          <w:szCs w:val="20"/>
          <w:color w:val="auto"/>
        </w:rPr>
      </w:pPr>
    </w:p>
    <w:p>
      <w:pPr>
        <w:ind w:left="1400" w:right="3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are an early-stage company and our limited operating history makes it difficult to evaluate our future prospects and the risks and challenges we may encounter.</w:t>
      </w:r>
    </w:p>
    <w:p>
      <w:pPr>
        <w:spacing w:after="0" w:line="41"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We are an early-stage company with limited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future growth is limited and subject to uncertainties. We have encountered and expect to continue to encounter risks and uncertainties frequently experienced by companies in rapidly evolving industries, such as the risks and uncertainties described herein.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 estimates or the expectations of investors or analysts, causing our business to suffer and our Common Stock price to decline.</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Uncertain global macro-economic and political conditions could materially adversely affect our results of operations and financial condition.</w:t>
      </w:r>
    </w:p>
    <w:p>
      <w:pPr>
        <w:spacing w:after="0" w:line="91" w:lineRule="exact"/>
        <w:rPr>
          <w:sz w:val="20"/>
          <w:szCs w:val="20"/>
          <w:color w:val="auto"/>
        </w:rPr>
      </w:pPr>
    </w:p>
    <w:p>
      <w:pPr>
        <w:ind w:left="1400" w:right="619"/>
        <w:spacing w:after="0" w:line="279" w:lineRule="auto"/>
        <w:rPr>
          <w:sz w:val="20"/>
          <w:szCs w:val="20"/>
          <w:color w:val="auto"/>
        </w:rPr>
      </w:pPr>
      <w:r>
        <w:rPr>
          <w:rFonts w:ascii="Times New Roman" w:cs="Times New Roman" w:eastAsia="Times New Roman" w:hAnsi="Times New Roman"/>
          <w:sz w:val="14"/>
          <w:szCs w:val="14"/>
          <w:color w:val="auto"/>
        </w:rPr>
        <w:t>Our results of operations are materially affected by economic and political conditions in the U.S. and internationally, including inflation, deflation, interest rates, availability of capital, energy and commodity prices,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40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279"/>
        <w:spacing w:after="0" w:line="264" w:lineRule="auto"/>
        <w:rPr>
          <w:sz w:val="20"/>
          <w:szCs w:val="20"/>
          <w:color w:val="auto"/>
        </w:rPr>
      </w:pPr>
      <w:r>
        <w:rPr>
          <w:rFonts w:ascii="Times New Roman" w:cs="Times New Roman" w:eastAsia="Times New Roman" w:hAnsi="Times New Roman"/>
          <w:sz w:val="14"/>
          <w:szCs w:val="14"/>
          <w:color w:val="auto"/>
        </w:rPr>
        <w:t>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36"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Ongoing national and global supply chain disruptions have increasingly affected both the availability and cost of raw materials, component manufacturing and deliveries. These disruptions may result in delays in equipment deliveries and cost escalations that could adversely affect our business. Future supply chain disruptions could prevent our ability to obtain necessary raw materials for our reactors in a timely and cost-effect manner. For example, our MMR design utilizes low enriched uranium (“LEU+”) fuel that we plan to source from U.S. suppliers. Although there exists an established supply chain for LEU+ fuel in the U.S., national and global supply chain disruptions could negatively impact our ability to source the LEU+ fuel necessary to operate our reactors by delaying or limiting the supply of LEU+ fuel, increasing the cost of obtaining LEU+ fuel and/or cause deployment or operational delays for our reactors. If we are unable to access LEU+ fuel, our ability to produce power will be adversely affected, which could have a material adverse effect on our business prospects, financial condition and results of operations.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cost estimates are highly sensitive to broader economic factors, and our ability to control or manage our costs may be limited.</w:t>
      </w:r>
    </w:p>
    <w:p>
      <w:pPr>
        <w:spacing w:after="0" w:line="91"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Capital and operating costs for the deployment of a first-of-a-kind MMR, such as the Hadron Halo, are difficult to project, inherently variable and are subject to significant change based on a variety of factors, including site specific factors, customer off-take requirements, regulatory oversight, operating agreements, supply chain availability, inflation and other factors. Opportunities for cost reductions with subsequent deployments are similarly uncertain. To the extent cost reductions are not achieved within the expected timeframe or magnitude, the Hadron Halo may not be cost competitive with alternative technologies, which could materially and adversely affect our expected revenues and gross margins.</w:t>
      </w:r>
    </w:p>
    <w:p>
      <w:pPr>
        <w:spacing w:after="0" w:line="224" w:lineRule="exact"/>
        <w:rPr>
          <w:sz w:val="20"/>
          <w:szCs w:val="20"/>
          <w:color w:val="auto"/>
        </w:rPr>
      </w:pPr>
    </w:p>
    <w:p>
      <w:pPr>
        <w:ind w:left="1400" w:right="4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If we fail to manage our growth effectively, we may be unable to execute our business plan, and our business, results of operations, and financial condition could be harmed.</w:t>
      </w:r>
    </w:p>
    <w:p>
      <w:pPr>
        <w:spacing w:after="0" w:line="41" w:lineRule="exact"/>
        <w:rPr>
          <w:sz w:val="20"/>
          <w:szCs w:val="20"/>
          <w:color w:val="auto"/>
        </w:rPr>
      </w:pPr>
    </w:p>
    <w:p>
      <w:pPr>
        <w:ind w:left="1400" w:right="459"/>
        <w:spacing w:after="0" w:line="259" w:lineRule="auto"/>
        <w:rPr>
          <w:sz w:val="20"/>
          <w:szCs w:val="20"/>
          <w:color w:val="auto"/>
        </w:rPr>
      </w:pPr>
      <w:r>
        <w:rPr>
          <w:rFonts w:ascii="Times New Roman" w:cs="Times New Roman" w:eastAsia="Times New Roman" w:hAnsi="Times New Roman"/>
          <w:sz w:val="14"/>
          <w:szCs w:val="14"/>
          <w:color w:val="auto"/>
        </w:rPr>
        <w:t>In order to achieve future revenue growth, we must finalize our reactor design, receive regulatory approvals, and continue to develop and market new products and services to traditional and non-traditional end-users. We intend to expand our operations as we develop and deploy our products and services in the future, and will need to hire and retain additional personnel, upgrade our existing operational management and financial and reporting systems, and improve our business processes and controls. Our future expansion will include:</w:t>
      </w:r>
    </w:p>
    <w:p>
      <w:pPr>
        <w:spacing w:after="0" w:line="160" w:lineRule="exact"/>
        <w:rPr>
          <w:sz w:val="20"/>
          <w:szCs w:val="20"/>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and training new personnel;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the designs, licensing, construction, and commissioning of the Hadron Halo;</w:t>
      </w:r>
    </w:p>
    <w:p>
      <w:pPr>
        <w:spacing w:after="0" w:line="97"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finalizing our reactor design and developing new technologies and services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training, maintenance, procurement);</w:t>
      </w:r>
    </w:p>
    <w:p>
      <w:pPr>
        <w:spacing w:after="0" w:line="101" w:lineRule="exact"/>
        <w:rPr>
          <w:rFonts w:ascii="Times New Roman" w:cs="Times New Roman" w:eastAsia="Times New Roman" w:hAnsi="Times New Roman"/>
          <w:sz w:val="14"/>
          <w:szCs w:val="14"/>
          <w:color w:val="auto"/>
        </w:rPr>
      </w:pPr>
    </w:p>
    <w:p>
      <w:pPr>
        <w:ind w:left="2140" w:right="1339" w:hanging="333"/>
        <w:spacing w:after="0" w:line="319" w:lineRule="auto"/>
        <w:tabs>
          <w:tab w:leader="none" w:pos="21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optimizing applications of our reactors to serve both traditional utility and electric power customers and a broad base of non-traditional industrial customers interested in utilizing the efficient high-temperature heat produced by our design;</w:t>
      </w:r>
    </w:p>
    <w:p>
      <w:pPr>
        <w:spacing w:after="0" w:line="30" w:lineRule="exact"/>
        <w:rPr>
          <w:rFonts w:ascii="Times New Roman" w:cs="Times New Roman" w:eastAsia="Times New Roman" w:hAnsi="Times New Roman"/>
          <w:sz w:val="13"/>
          <w:szCs w:val="13"/>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expenses and investments in anticipation of expanded operations and rising costs;</w:t>
      </w:r>
    </w:p>
    <w:p>
      <w:pPr>
        <w:spacing w:after="0" w:line="99" w:lineRule="exact"/>
        <w:rPr>
          <w:rFonts w:ascii="Times New Roman" w:cs="Times New Roman" w:eastAsia="Times New Roman" w:hAnsi="Times New Roman"/>
          <w:sz w:val="14"/>
          <w:szCs w:val="14"/>
          <w:color w:val="auto"/>
        </w:rPr>
      </w:pPr>
    </w:p>
    <w:p>
      <w:pPr>
        <w:ind w:left="2140" w:right="799" w:hanging="333"/>
        <w:spacing w:after="0" w:line="279"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upgrading the existing operational management and financial reporting systems and team to comply with requirements as a public company;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and enhancing administrative infrastructure, systems and processes.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40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develop and implement our manufacturing and operational systems and processes, and there is no guarantee that we will be able to scale the business as currently planned or within the planned timeframe. The continued expansion of our business will require manufacturing and operational facilities, as well as space for administrative support, and there is no guarantee that we will be able to find suitable locations for such facilities.</w:t>
      </w:r>
    </w:p>
    <w:p>
      <w:pPr>
        <w:spacing w:after="0" w:line="145"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Our growth will increase the strain on our resources, and we could experience operating difficulties, including difficulties in hiring and training employees, finding manufacturing capacity to produce our MMRs and related equipment, delays in production, challenges in scaling-up fuel and component fabrication capacity and difficulty sourcing adequate raw material for our reactors. These difficulties may divert the attention of management and key employees and impact financial and operational results. If we are unable to drive commensurate growth, these costs, which include headcount and capital assets, could result in decreased margins, which could have a material adverse effect on our business, financial condition and results of operations.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There is substantial doubt about our ability to continue as a going concern, and we may require additional future funding.</w:t>
      </w:r>
    </w:p>
    <w:p>
      <w:pPr>
        <w:spacing w:after="0" w:line="91"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We have incurred operating losses since our inception, including a net loss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Based on our recurring losses and expectations to incur significant expenses and negative cash flows until we are able to commercialize the Hadron Halo, management has identified substantial doubt about the Company’s ability to continue as a going concern.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47"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To date, we have not generated any revenue, while we have substantial overhead expenses. We do not expect to generate meaningful revenue unless and until we are able to finalize development of and commercialize the Hadron Halo and related services, and we may not be able to do so on our anticipated timetable, if at all. We expect our expenses and capital expenditures to increase in connection with our ongoing activities, including developing and advancing the Hadron Halo and other products and services, obtaining NRC design certification approval for the Hadron Halo and completing our manufacturing preparation and trials. In addition, we expect to continue to incur costs associated with operating as a public company. Certain costs are not reasonably estimable at this time and we may require additional funding and our projections anticipate certain customer-sourced income that is not guaranteed.</w:t>
      </w:r>
    </w:p>
    <w:p>
      <w:pPr>
        <w:spacing w:after="0" w:line="147"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We may also seek to raise capital through private or public equity or debt financings or through other sources of financing. Adequate additional funding may not be available to us on acceptable terms or at all. Our failure to raise capital as and when needed could have a negative impact on our financial condition and our ability to pursue our business strategies. If we raise additional funds by issuing equity securities, our shareholders will experience dilution. If we raise additional capital through debt financing, we may be subject to covenants that restrict our operations including limitations on our ability to incur liens or additional debt, pay dividends, repurchase our securities, make certain investments, and engage in certain merger, consolidation or asset sale transactions. Any debt financing or additional equity that we raise may contain terms that are not favorable to us or our stockholders. If the needed financing is not available, or if the terms of financing are less desirable than we expect, we may be required to delay, scale back or terminate some or all of our research and development programs.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40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(“EGC”)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55" w:lineRule="exact"/>
        <w:rPr>
          <w:sz w:val="20"/>
          <w:szCs w:val="20"/>
          <w:color w:val="auto"/>
        </w:rPr>
      </w:pPr>
    </w:p>
    <w:p>
      <w:pPr>
        <w:ind w:left="1400" w:right="259"/>
        <w:spacing w:after="0" w:line="251" w:lineRule="auto"/>
        <w:rPr>
          <w:sz w:val="20"/>
          <w:szCs w:val="20"/>
          <w:color w:val="auto"/>
        </w:rPr>
      </w:pPr>
      <w:r>
        <w:rPr>
          <w:rFonts w:ascii="Times New Roman" w:cs="Times New Roman" w:eastAsia="Times New Roman" w:hAnsi="Times New Roman"/>
          <w:sz w:val="14"/>
          <w:szCs w:val="14"/>
          <w:color w:val="auto"/>
        </w:rPr>
        <w:t>We are an emerging growth company (“EGC”) within the meaning of the Securities Act, as modified by the JOBS Act, and we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EGC until the earliest of (i) the last day of the fiscal year following the fifth anniversary of the consummation of the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Company Common Stock held</w:t>
      </w:r>
    </w:p>
    <w:p>
      <w:pPr>
        <w:spacing w:after="0" w:line="3" w:lineRule="exact"/>
        <w:rPr>
          <w:sz w:val="20"/>
          <w:szCs w:val="20"/>
          <w:color w:val="auto"/>
        </w:rPr>
      </w:pPr>
    </w:p>
    <w:p>
      <w:pPr>
        <w:ind w:left="1400" w:right="419"/>
        <w:spacing w:after="0" w:line="257" w:lineRule="auto"/>
        <w:rPr>
          <w:sz w:val="20"/>
          <w:szCs w:val="20"/>
          <w:color w:val="auto"/>
        </w:rPr>
      </w:pPr>
      <w:r>
        <w:rPr>
          <w:rFonts w:ascii="Times New Roman" w:cs="Times New Roman" w:eastAsia="Times New Roman" w:hAnsi="Times New Roman"/>
          <w:sz w:val="14"/>
          <w:szCs w:val="14"/>
          <w:color w:val="auto"/>
        </w:rPr>
        <w:t>by non-affiliates exceeded $700.0 million as of the last business day of the second fiscal quarter of such year, or (iv) the date on which we have issued more than $1.0 billion in non-convertible debt securities during the prior three-year period.</w:t>
      </w:r>
    </w:p>
    <w:p>
      <w:pPr>
        <w:spacing w:after="0" w:line="141"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non-EGCs but any such election to opt out is irrevocable. We intend to take advantage of the benefits of this extended transition period.</w:t>
      </w:r>
    </w:p>
    <w:p>
      <w:pPr>
        <w:spacing w:after="0" w:line="142"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Even after we no longer qualify as an emerging growth company, we may still qualify as a “smaller reporting company,” which would allow us to continue to take advantage of many of the same exemptions from disclosure requirements, including reduced disclosure obligations regarding executive compensation in its periodic reports and proxy statements. Moreover, smaller reporting companies may choose to present only the two most recent fiscal years of audited financial statements in their Annual Reports on Form 10-K. For so long as we are a smaller reporting company and not classified as an “accelerated filer” or “large accelerated filer” pursuant to SEC rules, we will be exempt from the auditor attestation requirements of Section 404(b) of the Sarbanes-Oxley Act.</w:t>
      </w:r>
    </w:p>
    <w:p>
      <w:pPr>
        <w:spacing w:after="0" w:line="145" w:lineRule="exact"/>
        <w:rPr>
          <w:sz w:val="20"/>
          <w:szCs w:val="20"/>
          <w:color w:val="auto"/>
        </w:rPr>
      </w:pPr>
    </w:p>
    <w:p>
      <w:pPr>
        <w:ind w:left="1400" w:right="359"/>
        <w:spacing w:after="0" w:line="264" w:lineRule="auto"/>
        <w:rPr>
          <w:sz w:val="20"/>
          <w:szCs w:val="20"/>
          <w:color w:val="auto"/>
        </w:rPr>
      </w:pPr>
      <w:r>
        <w:rPr>
          <w:rFonts w:ascii="Times New Roman" w:cs="Times New Roman" w:eastAsia="Times New Roman" w:hAnsi="Times New Roman"/>
          <w:sz w:val="14"/>
          <w:szCs w:val="14"/>
          <w:color w:val="auto"/>
        </w:rPr>
        <w:t>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17" w:lineRule="exact"/>
        <w:rPr>
          <w:sz w:val="20"/>
          <w:szCs w:val="20"/>
          <w:color w:val="auto"/>
        </w:rPr>
      </w:pPr>
    </w:p>
    <w:p>
      <w:pPr>
        <w:ind w:left="1400" w:right="4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There is limited operating experience for MMRs of this size, configuration and scale, which may result in greater than expected construction and material costs, maintenance requirements, operating expense or delivery timing.</w:t>
      </w:r>
    </w:p>
    <w:p>
      <w:pPr>
        <w:spacing w:after="0" w:line="41" w:lineRule="exact"/>
        <w:rPr>
          <w:sz w:val="20"/>
          <w:szCs w:val="20"/>
          <w:color w:val="auto"/>
        </w:rPr>
      </w:pPr>
    </w:p>
    <w:p>
      <w:pPr>
        <w:ind w:left="1400" w:right="439"/>
        <w:spacing w:after="0" w:line="259" w:lineRule="auto"/>
        <w:rPr>
          <w:sz w:val="20"/>
          <w:szCs w:val="20"/>
          <w:color w:val="auto"/>
        </w:rPr>
      </w:pPr>
      <w:r>
        <w:rPr>
          <w:rFonts w:ascii="Times New Roman" w:cs="Times New Roman" w:eastAsia="Times New Roman" w:hAnsi="Times New Roman"/>
          <w:sz w:val="14"/>
          <w:szCs w:val="14"/>
          <w:color w:val="auto"/>
        </w:rPr>
        <w:t>Although our MMR design utilizes proven light-water reactor technology that has been in commercial operation for approximately 70 years, the NRC has not yet approved any MMRs of the size, configuration and scale of the Hadron Halo. Our MMR design will be actively managed through design reviews, prototyping, involvement of external partners and application of industry lessons. However, we could still fail to identify manufacturing, material, installation and construction issues early enough to avoid negative effects on production, fabrication,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40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64" w:lineRule="auto"/>
        <w:rPr>
          <w:sz w:val="20"/>
          <w:szCs w:val="20"/>
          <w:color w:val="auto"/>
        </w:rPr>
      </w:pPr>
      <w:r>
        <w:rPr>
          <w:rFonts w:ascii="Times New Roman" w:cs="Times New Roman" w:eastAsia="Times New Roman" w:hAnsi="Times New Roman"/>
          <w:sz w:val="14"/>
          <w:szCs w:val="14"/>
          <w:color w:val="auto"/>
        </w:rPr>
        <w:t>deployment or ultimate performance of the Hadron Halo and related technologies, or we may encounter unexpected regulatory issues. Where these issues arise at later stages of deployment, deployment could be subject to greater costs or be significantly delayed, which could materially and adversely affect our business.</w:t>
      </w:r>
    </w:p>
    <w:p>
      <w:pPr>
        <w:spacing w:after="0" w:line="217"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have not yet commercialized or sold the Hadron Halo or any other micro modular reactor (“MMRs”), and there is no guarantee that we will be able to do so.</w:t>
      </w:r>
    </w:p>
    <w:p>
      <w:pPr>
        <w:spacing w:after="0" w:line="41"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3"/>
          <w:szCs w:val="13"/>
          <w:color w:val="auto"/>
        </w:rPr>
        <w:t>After we develop and obtain regulatory approval, the planned initial deployment of the Hadron Halo is subject to the Company reaching binding agreements for its scope of supply with potential customers. If no customer enters into such binding agreements with us, our initial deployment of the Hadron Halo and ongoing services associated with such deployment could be significantly delayed. This could have a material adverse effect on our business and financial condition. To date, the various letters of intent that we have entered into with potential customers are non-binding and largely contingent upon governing body approvals, regulatory approvals, and successful testing of the Hadron Halo, and may not result in binding agreements for the purchase of our products or services. These potential customers may also elect to terminate or pursue other alternative transactions.</w:t>
      </w:r>
    </w:p>
    <w:p>
      <w:pPr>
        <w:spacing w:after="0" w:line="210" w:lineRule="exact"/>
        <w:rPr>
          <w:sz w:val="20"/>
          <w:szCs w:val="20"/>
          <w:color w:val="auto"/>
        </w:rPr>
      </w:pPr>
    </w:p>
    <w:p>
      <w:pPr>
        <w:ind w:left="1400" w:right="5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Customers may rescind or back out of non-binding agreements due to various reasons which could adversely affect our revenue streams, project timelines, and overall financial performance.</w:t>
      </w:r>
    </w:p>
    <w:p>
      <w:pPr>
        <w:spacing w:after="0" w:line="124" w:lineRule="exact"/>
        <w:rPr>
          <w:sz w:val="20"/>
          <w:szCs w:val="20"/>
          <w:color w:val="auto"/>
        </w:rPr>
      </w:pPr>
    </w:p>
    <w:p>
      <w:pPr>
        <w:ind w:left="1400" w:right="559"/>
        <w:spacing w:after="0" w:line="254" w:lineRule="auto"/>
        <w:rPr>
          <w:sz w:val="20"/>
          <w:szCs w:val="20"/>
          <w:color w:val="auto"/>
        </w:rPr>
      </w:pPr>
      <w:r>
        <w:rPr>
          <w:rFonts w:ascii="Times New Roman" w:cs="Times New Roman" w:eastAsia="Times New Roman" w:hAnsi="Times New Roman"/>
          <w:sz w:val="14"/>
          <w:szCs w:val="14"/>
          <w:color w:val="auto"/>
        </w:rPr>
        <w:t>We have entered into and may enter into additional non-binding agreements, such as a memorandum of understanding or a letter of interest with customers for the purchase of Hadron Halo units. These memorandums of understanding and letters of interest are non-binding and the underlying contracts may not come to fruition as a result of among other things, changes in business priorities, financial constraints, regulatory changes, force majeure events, failure to obtain necessary approvals, or failure to meet contractual obligations by either party. The termination of these agreements could adversely affect our business. Additionally, loss of planned customers or projects may negatively impact our reputation and future business prospects.</w:t>
      </w:r>
    </w:p>
    <w:p>
      <w:pPr>
        <w:spacing w:after="0" w:line="227" w:lineRule="exact"/>
        <w:rPr>
          <w:sz w:val="20"/>
          <w:szCs w:val="20"/>
          <w:color w:val="auto"/>
        </w:rPr>
      </w:pPr>
    </w:p>
    <w:p>
      <w:pPr>
        <w:ind w:left="1400" w:right="6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The market for MMRs generating electric power and high-temperature heat is not yet established and may not achieve the growth potential we expect or may grow more slowly than expected.</w:t>
      </w:r>
    </w:p>
    <w:p>
      <w:pPr>
        <w:spacing w:after="0" w:line="41"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The market for MMRs, and particularly for MMRs utilizing advanced nuclear technologies such as those employed in the Hadron Halo, has not yet been established. MMRs utilizing advanced nuclear technologies have limited operational history and have not been proven at scale. Estimates for the total addressable market and our expectations, inclusive of recent updates, with regards to certain unit economics are based on a number of internal and third-party estimates, including our potential contracted revenue, the number of potential customers who have expressed interest in the Hadron Halo, assumed prices and production and regulatory costs for our Hadron Halos, our ability to develop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estimates of the annual total addressable market and serviceable addressable market for our services, as well as the expected growth rate for the total addressable market and serviceable addressable market for our services, may prove to be incorrect.</w:t>
      </w:r>
    </w:p>
    <w:p>
      <w:pPr>
        <w:spacing w:after="0" w:line="228" w:lineRule="exact"/>
        <w:rPr>
          <w:sz w:val="20"/>
          <w:szCs w:val="20"/>
          <w:color w:val="auto"/>
        </w:rPr>
      </w:pPr>
    </w:p>
    <w:p>
      <w:pPr>
        <w:ind w:left="1400" w:right="4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may not attract customers to our MMR technology as quickly as we expect, or at all, and acquiring customers may be more expensive than we currently anticipate.</w:t>
      </w:r>
    </w:p>
    <w:p>
      <w:pPr>
        <w:spacing w:after="0" w:line="41" w:lineRule="exact"/>
        <w:rPr>
          <w:sz w:val="20"/>
          <w:szCs w:val="20"/>
          <w:color w:val="auto"/>
        </w:rPr>
      </w:pPr>
    </w:p>
    <w:p>
      <w:pPr>
        <w:ind w:left="1400" w:right="419"/>
        <w:spacing w:after="0" w:line="259" w:lineRule="auto"/>
        <w:rPr>
          <w:sz w:val="20"/>
          <w:szCs w:val="20"/>
          <w:color w:val="auto"/>
        </w:rPr>
      </w:pPr>
      <w:r>
        <w:rPr>
          <w:rFonts w:ascii="Times New Roman" w:cs="Times New Roman" w:eastAsia="Times New Roman" w:hAnsi="Times New Roman"/>
          <w:sz w:val="14"/>
          <w:szCs w:val="14"/>
          <w:color w:val="auto"/>
        </w:rPr>
        <w:t>MMRs and advanced nuclear technologies are relatively new and unproven and may be more costly than alternatives. Accordingly, adoption of our technology, or MMRs and advanced nuclear technologies generally, among our potential customers may progress more slowly than we anticipate or it may be more expensive to bring potential customers into our pipeline. Any delay or failure to attract potential customers to the Hadron Halo or MMR technology may have a material and adverse impact on our business and financial condition.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40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4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4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We operate in highly competitive markets and are subject to competition based upon product design, performance,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145" w:lineRule="exact"/>
        <w:rPr>
          <w:sz w:val="20"/>
          <w:szCs w:val="20"/>
          <w:color w:val="auto"/>
        </w:rPr>
      </w:pPr>
    </w:p>
    <w:p>
      <w:pPr>
        <w:ind w:left="1400" w:right="399"/>
        <w:spacing w:after="0" w:line="264" w:lineRule="auto"/>
        <w:rPr>
          <w:sz w:val="20"/>
          <w:szCs w:val="20"/>
          <w:color w:val="auto"/>
        </w:rPr>
      </w:pPr>
      <w:r>
        <w:rPr>
          <w:rFonts w:ascii="Times New Roman" w:cs="Times New Roman" w:eastAsia="Times New Roman" w:hAnsi="Times New Roman"/>
          <w:sz w:val="14"/>
          <w:szCs w:val="14"/>
          <w:color w:val="auto"/>
        </w:rPr>
        <w:t>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w:t>
      </w:r>
    </w:p>
    <w:p>
      <w:pPr>
        <w:spacing w:after="0" w:line="136"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We believe our ability to compete successfully in designing, engineering and manufacturing our products and services at attractive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spacing w:after="0" w:line="221" w:lineRule="exact"/>
        <w:rPr>
          <w:sz w:val="20"/>
          <w:szCs w:val="20"/>
          <w:color w:val="auto"/>
        </w:rPr>
      </w:pPr>
    </w:p>
    <w:p>
      <w:pPr>
        <w:ind w:left="1400" w:right="4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Technological changes could render our technology and products uncompetitive or obsolete, which could prevent us from achieving market share and sales.</w:t>
      </w:r>
    </w:p>
    <w:p>
      <w:pPr>
        <w:spacing w:after="0" w:line="41"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Our failure to refine or advance our MMR technology could cause such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spacing w:after="0" w:line="227" w:lineRule="exact"/>
        <w:rPr>
          <w:sz w:val="20"/>
          <w:szCs w:val="20"/>
          <w:color w:val="auto"/>
        </w:rPr>
      </w:pPr>
    </w:p>
    <w:p>
      <w:pPr>
        <w:ind w:left="1400" w:right="8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Changes in the availability and cost of electricity, natural gas and other forms of energy are subject to volatile market conditions that could adversely affect our business.</w:t>
      </w:r>
    </w:p>
    <w:p>
      <w:pPr>
        <w:spacing w:after="0" w:line="41" w:lineRule="exact"/>
        <w:rPr>
          <w:sz w:val="20"/>
          <w:szCs w:val="20"/>
          <w:color w:val="auto"/>
        </w:rPr>
      </w:pPr>
    </w:p>
    <w:p>
      <w:pPr>
        <w:ind w:left="1400" w:right="339"/>
        <w:spacing w:after="0" w:line="256" w:lineRule="auto"/>
        <w:rPr>
          <w:sz w:val="20"/>
          <w:szCs w:val="20"/>
          <w:color w:val="auto"/>
        </w:rPr>
      </w:pPr>
      <w:r>
        <w:rPr>
          <w:rFonts w:ascii="Times New Roman" w:cs="Times New Roman" w:eastAsia="Times New Roman" w:hAnsi="Times New Roman"/>
          <w:sz w:val="14"/>
          <w:szCs w:val="14"/>
          <w:color w:val="auto"/>
        </w:rPr>
        <w:t>The prices for and availability of electricity,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spacing w:after="0" w:line="224"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41" w:lineRule="exact"/>
        <w:rPr>
          <w:sz w:val="20"/>
          <w:szCs w:val="20"/>
          <w:color w:val="auto"/>
        </w:rPr>
      </w:pPr>
    </w:p>
    <w:p>
      <w:pPr>
        <w:jc w:val="both"/>
        <w:ind w:left="1400" w:right="419"/>
        <w:spacing w:after="0" w:line="264" w:lineRule="auto"/>
        <w:rPr>
          <w:sz w:val="20"/>
          <w:szCs w:val="20"/>
          <w:color w:val="auto"/>
        </w:rPr>
      </w:pPr>
      <w:r>
        <w:rPr>
          <w:rFonts w:ascii="Times New Roman" w:cs="Times New Roman" w:eastAsia="Times New Roman" w:hAnsi="Times New Roman"/>
          <w:sz w:val="14"/>
          <w:szCs w:val="14"/>
          <w:color w:val="auto"/>
        </w:rPr>
        <w:t>Many U.S. electricity markets price electric energy, capacity, and/or ancillary services on a competitive basis, with market prices subject to substantial fluctuations. Other markets remain heavily regulated by state or local utility regulatory authorities, with power purchase decisions by electric utilities subject to various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40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competitiveness or prudence tests. As a result of competitive pressures, some electricity markets experience low marginal energy prices at certain times due to a combination of subsidized generating resources, competitors with low-cost or no-cost fuel sources, or market-design features that create incentives for certain attributes or deliver revenue in unpredictable ways over time, and we may not be able to compete in these markets unless the benefits of the low-carbon, reliable and/or resilient energy generation provided by the Hadron Halo is sufficiently valued. Even in markets that price reliable capacity on a long-term basis, there is no guarantee that our customers’ MMRs will be sufficiently low-cost so as to clear auction-style capacity markets, and clearing in any one year is no guarantee of clearing in successive years. Moreover, our Hadron Halo will likely serve a specific market segment of smaller distributed generation, remote application or industrial customers, who may have lower cost power/heat alternatives available to them, especially in the near-term.</w:t>
      </w:r>
    </w:p>
    <w:p>
      <w:pPr>
        <w:spacing w:after="0" w:line="144" w:lineRule="exact"/>
        <w:rPr>
          <w:sz w:val="20"/>
          <w:szCs w:val="20"/>
          <w:color w:val="auto"/>
        </w:rPr>
      </w:pPr>
    </w:p>
    <w:p>
      <w:pPr>
        <w:jc w:val="both"/>
        <w:ind w:left="1400" w:right="379"/>
        <w:spacing w:after="0" w:line="264" w:lineRule="auto"/>
        <w:rPr>
          <w:sz w:val="20"/>
          <w:szCs w:val="20"/>
          <w:color w:val="auto"/>
        </w:rPr>
      </w:pPr>
      <w:r>
        <w:rPr>
          <w:rFonts w:ascii="Times New Roman" w:cs="Times New Roman" w:eastAsia="Times New Roman" w:hAnsi="Times New Roman"/>
          <w:sz w:val="14"/>
          <w:szCs w:val="14"/>
          <w:color w:val="auto"/>
        </w:rPr>
        <w:t>Given the relatively lower electricity prices and higher availability of power in the U.S. when compared to many international markets, the risk may be greater with respect to business in the U.S. Regardless of jurisdiction, however, failure of the Hadron Halo to provide competitively price electricity or heat could materially and adversely affect our business.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We and our customers operate in a politically sensitive environment, and the public perception of nuclear energy can affect our customers and us.</w:t>
      </w:r>
    </w:p>
    <w:p>
      <w:pPr>
        <w:spacing w:after="0" w:line="91" w:lineRule="exact"/>
        <w:rPr>
          <w:sz w:val="20"/>
          <w:szCs w:val="20"/>
          <w:color w:val="auto"/>
        </w:rPr>
      </w:pPr>
    </w:p>
    <w:p>
      <w:pPr>
        <w:ind w:left="1400" w:right="279"/>
        <w:spacing w:after="0" w:line="275" w:lineRule="auto"/>
        <w:rPr>
          <w:sz w:val="20"/>
          <w:szCs w:val="20"/>
          <w:color w:val="auto"/>
        </w:rPr>
      </w:pPr>
      <w:r>
        <w:rPr>
          <w:rFonts w:ascii="Times New Roman" w:cs="Times New Roman" w:eastAsia="Times New Roman" w:hAnsi="Times New Roman"/>
          <w:sz w:val="13"/>
          <w:szCs w:val="13"/>
          <w:color w:val="auto"/>
        </w:rPr>
        <w:t>Successful execution of our business model is dependent upon public support for nuclear power in the U.S. and other countries. The risks associated with uses of radioactive materials by our customers in future deployments of our MMR design, and the public perception of those risks, can affect our business. Opposition by third parties can delay or prevent the licensing and manufacturing of nuclear power products and in some cases can limit the operation of nuclear reactors. Adverse public reaction to developments in the use of nuclear power could directly affect our customers and indirectly affect our business. In addition, journalists, trade press, and other third parties, potentially including one or more of the agencies with regulatory jurisdiction over us, may publish statements that negatively affect the public or political perception of us. Adverse public opinion or political perceptions could result in increased regulatory requirements and costs or increase the likelihood that our operations are subject to liabilities and adverse claims. In the past, adverse public reaction, increased regulatory scrutiny and related litigation contributed to extended licensing periods for nuclear reactors.</w:t>
      </w:r>
    </w:p>
    <w:p>
      <w:pPr>
        <w:spacing w:after="0" w:line="212" w:lineRule="exact"/>
        <w:rPr>
          <w:sz w:val="20"/>
          <w:szCs w:val="20"/>
          <w:color w:val="auto"/>
        </w:rPr>
      </w:pPr>
    </w:p>
    <w:p>
      <w:pPr>
        <w:ind w:left="1400" w:right="39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Incidents involving nuclear energy facilities in the U.S. or globally, including accidents, terrorist acts or other high profile events involving radioactive materials, could materially and adversely affect the public perception of the safety of nuclear energy, our customers and the markets in which we operate, and such adverse effects could potentially decrease demand for nuclear energy, increase regulatory requirements and costs or result in liability or claims that could materially and adversely affect our business.</w:t>
      </w:r>
    </w:p>
    <w:p>
      <w:pPr>
        <w:spacing w:after="0" w:line="55"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Successful execution of our business model is dependent upon public support for nuclear power, in general, in the U.S. and other countries. If there is an incident affecting nuclear energy facilities in the U.S. or globally, public perception could be materially negatively impacted. Opposition by third parties can delay or prevent the licensing of nuclear reactors and in some cases can limit the operation of nuclear reactors. In the past, adverse public reaction, increased regulatory scrutiny and related litigation contributed to extended licensing and commercialization periods for new nuclear reactors.</w:t>
      </w:r>
    </w:p>
    <w:p>
      <w:pPr>
        <w:spacing w:after="0" w:line="139" w:lineRule="exact"/>
        <w:rPr>
          <w:sz w:val="20"/>
          <w:szCs w:val="20"/>
          <w:color w:val="auto"/>
        </w:rPr>
      </w:pPr>
    </w:p>
    <w:p>
      <w:pPr>
        <w:ind w:left="1400" w:right="259"/>
        <w:spacing w:after="0" w:line="254" w:lineRule="auto"/>
        <w:rPr>
          <w:sz w:val="20"/>
          <w:szCs w:val="20"/>
          <w:color w:val="auto"/>
        </w:rPr>
      </w:pPr>
      <w:r>
        <w:rPr>
          <w:rFonts w:ascii="Times New Roman" w:cs="Times New Roman" w:eastAsia="Times New Roman" w:hAnsi="Times New Roman"/>
          <w:sz w:val="14"/>
          <w:szCs w:val="14"/>
          <w:color w:val="auto"/>
        </w:rPr>
        <w:t>With respect to public perceptions, the effects of the 2011 Tohoku earthquake and tsunami that caused a radiological incident at the Fukushima nuclear power plant in Japan increased public opposition to nuclear power in some countries, resulting in a slowdown in, or, in some cases, a complete halt to new construction of nuclear power plants, an early shut down of existing power plants and a dampening of the favorable regulatory climate needed to introduce new nuclear power technologies. As a result of these events, some countries that were considering launching new domestic nuclear power programs delayed or cancelled the preparatory activities they were planning to undertake as part of such programs. Similarly, the accidents at Three Mile Island and Chernobyl increased fears of nuclear power and hindered the widespread acceptance of nuclear power. If a high-visibility or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40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9" w:lineRule="auto"/>
        <w:rPr>
          <w:sz w:val="20"/>
          <w:szCs w:val="20"/>
          <w:color w:val="auto"/>
        </w:rPr>
      </w:pPr>
      <w:r>
        <w:rPr>
          <w:rFonts w:ascii="Times New Roman" w:cs="Times New Roman" w:eastAsia="Times New Roman" w:hAnsi="Times New Roman"/>
          <w:sz w:val="14"/>
          <w:szCs w:val="14"/>
          <w:color w:val="auto"/>
        </w:rPr>
        <w:t>high-consequence nuclear incident, including the loss or mishandling of nuclear materials, or other event, such as a terrorist attack involving a nuclear facility, occurs, public opposition to nuclear power may increase dramatically, regulatory requirements and costs could become more onerous or prohibitory, and customer demand for heat, electricity, or fuel could suffer, which could materially and adversely affect our business prospects, financial condition, results of operations and cash flows.</w:t>
      </w:r>
    </w:p>
    <w:p>
      <w:pPr>
        <w:spacing w:after="0" w:line="221" w:lineRule="exact"/>
        <w:rPr>
          <w:sz w:val="20"/>
          <w:szCs w:val="20"/>
          <w:color w:val="auto"/>
        </w:rPr>
      </w:pPr>
    </w:p>
    <w:p>
      <w:pPr>
        <w:ind w:left="1400" w:right="2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Unsatisfactory safety performance or security incidents at our facilities — or any nuclear facility around the world — could have a material adverse effect on our business, financial condition and results of operations.</w:t>
      </w:r>
    </w:p>
    <w:p>
      <w:pPr>
        <w:spacing w:after="0" w:line="41"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We design and will manufacture highly sophisticated MMRs that depend on complex technology. We also work cooperatively with our suppliers, subcontractors,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MMRs will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w:t>
      </w:r>
    </w:p>
    <w:p>
      <w:pPr>
        <w:spacing w:after="0" w:line="144" w:lineRule="exact"/>
        <w:rPr>
          <w:sz w:val="20"/>
          <w:szCs w:val="20"/>
          <w:color w:val="auto"/>
        </w:rPr>
      </w:pPr>
    </w:p>
    <w:p>
      <w:pPr>
        <w:ind w:left="1400" w:right="359"/>
        <w:spacing w:after="0" w:line="256" w:lineRule="auto"/>
        <w:rPr>
          <w:sz w:val="20"/>
          <w:szCs w:val="20"/>
          <w:color w:val="auto"/>
        </w:rPr>
      </w:pPr>
      <w:r>
        <w:rPr>
          <w:rFonts w:ascii="Times New Roman" w:cs="Times New Roman" w:eastAsia="Times New Roman" w:hAnsi="Times New Roman"/>
          <w:sz w:val="14"/>
          <w:szCs w:val="14"/>
          <w:color w:val="auto"/>
        </w:rPr>
        <w:t>Any actual or perceived safety issues may result in significant reputational harm to our businesses, in addition to tort liability, maintenance, increased safety infrastructure and other costs that may arise. Such issues with our MMRs, facilities, or customer safety could result in delaying or cancelling delivery of MMRs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In the nuclear industry, an accident or incident involving the mishandling of nuclear materials at any nuclear facility in the world can have an impact on</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other nuclear facilities around the world in terms of public acceptance, political pressures, and regulatory requirements and scrutiny. For example, the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March 2011 accident at the Fukushima Daiichi plant in Japan resulted in millions of dollars in additional regulatory reviews and requirements for</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U.S. nuclear power plants. If a safety incident occurs at any nuclear facility in the world, it could delay licensing and/or drive up costs to license or own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MMRs and negatively impact our business or financial condition.</w:t>
      </w:r>
    </w:p>
    <w:p>
      <w:pPr>
        <w:spacing w:after="0" w:line="239" w:lineRule="exact"/>
        <w:rPr>
          <w:sz w:val="20"/>
          <w:szCs w:val="20"/>
          <w:color w:val="auto"/>
        </w:rPr>
      </w:pPr>
    </w:p>
    <w:p>
      <w:pPr>
        <w:ind w:left="1400" w:right="4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spacing w:after="0" w:line="41"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color w:val="auto"/>
        </w:rPr>
        <w:t>Our operations and properties, and those of our manufacturing partners, suppliers or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 insurance, energy or other costs. In addition, although the ongoing transition to non-carbon based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40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5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Our operations involve the use, transportation and disposal of toxic, hazardous and/or radioactive materials and could result in liability without regard to fault or negligence.</w:t>
      </w:r>
    </w:p>
    <w:p>
      <w:pPr>
        <w:spacing w:after="0" w:line="41"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139"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While we do not currently own any property in the U.S., if, in the future we do, under federal, state and local laws and regulations, a current or former owner or operator of real property may be liable for costs to remediate contamination resulting from the presence or release of hazardous substances, wastes or petroleum products. These costs could be substantial and liability under such laws is strict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spacing w:after="0" w:line="144" w:lineRule="exact"/>
        <w:rPr>
          <w:sz w:val="20"/>
          <w:szCs w:val="20"/>
          <w:color w:val="auto"/>
        </w:rPr>
      </w:pPr>
    </w:p>
    <w:p>
      <w:pPr>
        <w:ind w:left="1400" w:right="459"/>
        <w:spacing w:after="0" w:line="259" w:lineRule="auto"/>
        <w:rPr>
          <w:sz w:val="20"/>
          <w:szCs w:val="20"/>
          <w:color w:val="auto"/>
        </w:rPr>
      </w:pPr>
      <w:r>
        <w:rPr>
          <w:rFonts w:ascii="Times New Roman" w:cs="Times New Roman" w:eastAsia="Times New Roman" w:hAnsi="Times New Roman"/>
          <w:sz w:val="14"/>
          <w:szCs w:val="14"/>
          <w:color w:val="auto"/>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139" w:lineRule="exact"/>
        <w:rPr>
          <w:sz w:val="20"/>
          <w:szCs w:val="20"/>
          <w:color w:val="auto"/>
        </w:rPr>
      </w:pP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In the U.S., the nuclear liability law codified at 42 U.S.C. 2210 (along with subsequent amendments, the “Price-Anderson Act”) and applicable NRC regulations and corresponding insurance requirements channel liability to certain licensees (such as operators of nuclear reactors) for third-party offsite damages caused by a nuclear incident or a precautionary evacuation due to a possible or actual nuclear incident. The Price-Anderson Act requires NRC licensees and DOE contractors to enter into indemnification agreements to cover personal injury and property damage to those harmed by a nuclear or radiological incident, including incidents in the course of the operation of reactors, test and research reactors, DOE nuclear and radiological facilities and transportation of nuclear fuel to and from a covered facility.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regime, we could be financially liable for damages arising from such incident or evacuation, which could have an adverse effect on our results of operations and financial condition.</w:t>
      </w:r>
    </w:p>
    <w:p>
      <w:pPr>
        <w:spacing w:after="0" w:line="145"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The Price-Anderson Act does not, however, cover on-site loss or damage to property due to a nuclear incident. Rather, the NRC, like many nuclear regulators around the world, requires nuclear operators to maintain on-site property damage insurance. If an incident resulting in onsite property damage is not otherwise covered by the mandatory insurance policy maintained at the facility, then we could be potentially liable for damages arising from such incident, which could have an adverse effect on our results of operations and financial condition.</w:t>
      </w:r>
    </w:p>
    <w:p>
      <w:pPr>
        <w:spacing w:after="0" w:line="139" w:lineRule="exact"/>
        <w:rPr>
          <w:sz w:val="20"/>
          <w:szCs w:val="20"/>
          <w:color w:val="auto"/>
        </w:rPr>
      </w:pPr>
    </w:p>
    <w:p>
      <w:pPr>
        <w:ind w:left="1400" w:right="359"/>
        <w:spacing w:after="0" w:line="264" w:lineRule="auto"/>
        <w:rPr>
          <w:sz w:val="20"/>
          <w:szCs w:val="20"/>
          <w:color w:val="auto"/>
        </w:rPr>
      </w:pPr>
      <w:r>
        <w:rPr>
          <w:rFonts w:ascii="Times New Roman" w:cs="Times New Roman" w:eastAsia="Times New Roman" w:hAnsi="Times New Roman"/>
          <w:sz w:val="14"/>
          <w:szCs w:val="14"/>
          <w:color w:val="auto"/>
        </w:rPr>
        <w:t>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40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3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Unresolved spent nuclear fuel storage and disposal issues and associated costs could have a significant negative impact on the Company’s business operations if potential customers view the risks associated with these issues and costs as unacceptably high.</w:t>
      </w:r>
    </w:p>
    <w:p>
      <w:pPr>
        <w:spacing w:after="0" w:line="41"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The Nuclear Waste Policy Act of 1982 requires the DOE to provide for the permanent disposal of spent nuclear fuel (“SNF”) and associated high-level nuclear waste (“HLW”). In 1987, Congress amended the Nuclear Waste Policy Act to identify Yucca Mountain, in Nevada, as the only site that the DOE could consider for a permanent repository. The DOE has since cancelled this project, but under the federal law, is required to construct storage facilities for, and to dispose of, all SNF and other HLW generated by domestic nuclear reactors. Interim storage requires the construction and maintenance of NRC licensed SNF/ HLW storage facilities. The NRC regulates SNF through a combination of regulatory requirements, licensing, and safety and security oversight. While the costs of developing and maintaining these interim storage facilities can have a significant effect on the costs associated with waste storage and disposal for nuclear reactors, including the Hadron Halo,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sue DOE for costs incurred as a result of its continued failure to provide for permanent disposal.</w:t>
      </w:r>
    </w:p>
    <w:p>
      <w:pPr>
        <w:spacing w:after="0" w:line="145" w:lineRule="exact"/>
        <w:rPr>
          <w:sz w:val="20"/>
          <w:szCs w:val="20"/>
          <w:color w:val="auto"/>
        </w:rPr>
      </w:pPr>
    </w:p>
    <w:p>
      <w:pPr>
        <w:jc w:val="both"/>
        <w:ind w:left="1400" w:right="279"/>
        <w:spacing w:after="0" w:line="293" w:lineRule="auto"/>
        <w:rPr>
          <w:sz w:val="20"/>
          <w:szCs w:val="20"/>
          <w:color w:val="auto"/>
        </w:rPr>
      </w:pPr>
      <w:r>
        <w:rPr>
          <w:rFonts w:ascii="Times New Roman" w:cs="Times New Roman" w:eastAsia="Times New Roman" w:hAnsi="Times New Roman"/>
          <w:sz w:val="13"/>
          <w:szCs w:val="13"/>
          <w:color w:val="auto"/>
        </w:rPr>
        <w:t>The Company is working to develop on-site SNF/HLW storage solutions with the NRC. Any such storage sites are required to have an NRC fuel storage license and we plan to work with the NRC to obtain the necessary licenses for our solution. However, there are risks of changing regulations and policy reforms that could cause delays in our ability to obtain such licenses, which would prevent our ability to develop on-site SNF/HLW storage solutions.</w:t>
      </w:r>
    </w:p>
    <w:p>
      <w:pPr>
        <w:spacing w:after="0" w:line="120" w:lineRule="exact"/>
        <w:rPr>
          <w:sz w:val="20"/>
          <w:szCs w:val="20"/>
          <w:color w:val="auto"/>
        </w:rPr>
      </w:pPr>
    </w:p>
    <w:p>
      <w:pPr>
        <w:ind w:left="1400" w:right="379"/>
        <w:spacing w:after="0" w:line="278" w:lineRule="auto"/>
        <w:rPr>
          <w:sz w:val="20"/>
          <w:szCs w:val="20"/>
          <w:color w:val="auto"/>
        </w:rPr>
      </w:pPr>
      <w:r>
        <w:rPr>
          <w:rFonts w:ascii="Times New Roman" w:cs="Times New Roman" w:eastAsia="Times New Roman" w:hAnsi="Times New Roman"/>
          <w:sz w:val="13"/>
          <w:szCs w:val="13"/>
          <w:color w:val="auto"/>
        </w:rPr>
        <w:t>If we are unable to obtain licenses for on-site SNF/HLW storage, we will be required to find alternative storage solutions. There are currently two consolidated interim storage (“CIS”) facilities under development in the U.S. for the interim storage of SNF/HLW. One facility has received an NRC license for construction and operation, and the other facility is in the final stages of its NRC licensing review. It is possible that SNF/HLW generated at our reactors could be stored at one of these CIS facilities; however, it is also possible that these CIS facilities are never built or become operational, or are unable to store such waste from our reactor, in which case, the waste would need to be stored onsite or at another interim SNF storage facility until another disposal option became available, such as a U.S. government determined permanent national repository or other government storage facility.</w:t>
      </w:r>
    </w:p>
    <w:p>
      <w:pPr>
        <w:spacing w:after="0" w:line="129"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The establishment of a national repository for the storage and/or permanent disposal of SNF, such as the one previously considered at Yucca Mountain, Nevada, the timing of such a facility’s opening and the ability of such a facility to accept waste from our MMRs and any related regulatory action, could impact the costs associated with ours and our customers’ storage and/or disposal of SNF/HLW. Likewise, the establishment of a CIS for the storage of SNF/HLW, the timing of such a facility’s opening and being able to accept waste from our reactors,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our operations if potential customers view waste disposal as problematic, detrimental or a negative factor when considering an investment in our MMRs.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supply base may not be able to scale to the production levels necessary to meet sales projections.</w:t>
      </w:r>
    </w:p>
    <w:p>
      <w:pPr>
        <w:spacing w:after="0" w:line="91" w:lineRule="exact"/>
        <w:rPr>
          <w:sz w:val="20"/>
          <w:szCs w:val="20"/>
          <w:color w:val="auto"/>
        </w:rPr>
      </w:pPr>
    </w:p>
    <w:p>
      <w:pPr>
        <w:ind w:left="1400" w:right="479"/>
        <w:spacing w:after="0" w:line="259" w:lineRule="auto"/>
        <w:rPr>
          <w:sz w:val="20"/>
          <w:szCs w:val="20"/>
          <w:color w:val="auto"/>
        </w:rPr>
      </w:pPr>
      <w:r>
        <w:rPr>
          <w:rFonts w:ascii="Times New Roman" w:cs="Times New Roman" w:eastAsia="Times New Roman" w:hAnsi="Times New Roman"/>
          <w:sz w:val="14"/>
          <w:szCs w:val="14"/>
          <w:color w:val="auto"/>
        </w:rPr>
        <w:t>We do not currently have manufacturing assets and will rely on third party manufacturers and construction firms to build our reactors and associated equipment and to construct future planned manufacturing and assembly facilities. While we are working to develop these capabilities and facilities internally, these capabilities and the facilities involve risks including timeline, cost, and financing risk and even if successfully developed, will not be available for our earliest reactor deployments. Moreover, we are dependent on future supplier capability to meet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40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production demands attendant to our forecasts. If our supply chain cannot meet the schedule demands of the market, our projected sales revenues could be materially impacted.</w:t>
      </w:r>
    </w:p>
    <w:p>
      <w:pPr>
        <w:spacing w:after="0" w:line="208" w:lineRule="exact"/>
        <w:rPr>
          <w:sz w:val="20"/>
          <w:szCs w:val="20"/>
          <w:color w:val="auto"/>
        </w:rPr>
      </w:pPr>
    </w:p>
    <w:p>
      <w:pPr>
        <w:jc w:val="both"/>
        <w:ind w:left="1400" w:right="279"/>
        <w:spacing w:after="0" w:line="322" w:lineRule="auto"/>
        <w:rPr>
          <w:sz w:val="20"/>
          <w:szCs w:val="20"/>
          <w:color w:val="auto"/>
        </w:rPr>
      </w:pPr>
      <w:r>
        <w:rPr>
          <w:rFonts w:ascii="Times New Roman" w:cs="Times New Roman" w:eastAsia="Times New Roman" w:hAnsi="Times New Roman"/>
          <w:sz w:val="13"/>
          <w:szCs w:val="13"/>
          <w:b w:val="1"/>
          <w:bCs w:val="1"/>
          <w:i w:val="1"/>
          <w:iCs w:val="1"/>
          <w:color w:val="auto"/>
        </w:rPr>
        <w:t>Our current and future business operations, including our ability to successfully commercialize the Hadron Halo, rely and will continue to rely heavily on securing agreements with suppliers for essential materials and components which will be used to manufacture and assemble our reactors.</w:t>
      </w:r>
    </w:p>
    <w:p>
      <w:pPr>
        <w:spacing w:after="0" w:line="18" w:lineRule="exact"/>
        <w:rPr>
          <w:sz w:val="20"/>
          <w:szCs w:val="20"/>
          <w:color w:val="auto"/>
        </w:rPr>
      </w:pPr>
    </w:p>
    <w:p>
      <w:pPr>
        <w:jc w:val="both"/>
        <w:ind w:left="1400" w:right="279"/>
        <w:spacing w:after="0" w:line="256" w:lineRule="auto"/>
        <w:rPr>
          <w:sz w:val="20"/>
          <w:szCs w:val="20"/>
          <w:color w:val="auto"/>
        </w:rPr>
      </w:pPr>
      <w:r>
        <w:rPr>
          <w:rFonts w:ascii="Times New Roman" w:cs="Times New Roman" w:eastAsia="Times New Roman" w:hAnsi="Times New Roman"/>
          <w:sz w:val="14"/>
          <w:szCs w:val="14"/>
          <w:color w:val="auto"/>
        </w:rPr>
        <w:t>The execution, termination, expiration, or failure to renew agreements with our suppliers, whether due to unforeseen circumstances, including, but not limited to, supplier insolvency and regulatory changes, pose significant risks to our supply chain. In the event that such agreements are not successfully maintained or replaced, we may encounter difficulties sourcing required materials and components, leading to deployment delays, increased costs, or an inability to meet customer demand. Any interruption or inability to maintain relationships with current and future suppliers, or failure to secure materials from alternative suppliers could adversely impact our business operations, financial performance, and reputation.</w:t>
      </w:r>
    </w:p>
    <w:p>
      <w:pPr>
        <w:spacing w:after="0" w:line="224" w:lineRule="exact"/>
        <w:rPr>
          <w:sz w:val="20"/>
          <w:szCs w:val="20"/>
          <w:color w:val="auto"/>
        </w:rPr>
      </w:pPr>
    </w:p>
    <w:p>
      <w:pPr>
        <w:jc w:val="both"/>
        <w:ind w:left="1400" w:right="759"/>
        <w:spacing w:after="0" w:line="295" w:lineRule="auto"/>
        <w:rPr>
          <w:sz w:val="20"/>
          <w:szCs w:val="20"/>
          <w:color w:val="auto"/>
        </w:rPr>
      </w:pPr>
      <w:r>
        <w:rPr>
          <w:rFonts w:ascii="Times New Roman" w:cs="Times New Roman" w:eastAsia="Times New Roman" w:hAnsi="Times New Roman"/>
          <w:sz w:val="13"/>
          <w:szCs w:val="13"/>
          <w:b w:val="1"/>
          <w:bCs w:val="1"/>
          <w:i w:val="1"/>
          <w:iCs w:val="1"/>
          <w:color w:val="auto"/>
        </w:rPr>
        <w:t>We rely on a limited number of suppliers for certain materials and supplied components, some of which are highly specialized and are being designed for first-of-a-kind or sole use in the Hadron Halo. We and our third-party vendors may not be able to obtain sufficient materials or supplied components to meet our manufacturing and operating needs, or obtain such materials on favorable terms or at expected costs.</w:t>
      </w:r>
    </w:p>
    <w:p>
      <w:pPr>
        <w:spacing w:after="0" w:line="35" w:lineRule="exact"/>
        <w:rPr>
          <w:sz w:val="20"/>
          <w:szCs w:val="20"/>
          <w:color w:val="auto"/>
        </w:rPr>
      </w:pPr>
    </w:p>
    <w:p>
      <w:pPr>
        <w:jc w:val="both"/>
        <w:ind w:left="1400" w:right="299"/>
        <w:spacing w:after="0" w:line="256" w:lineRule="auto"/>
        <w:rPr>
          <w:sz w:val="20"/>
          <w:szCs w:val="20"/>
          <w:color w:val="auto"/>
        </w:rPr>
      </w:pPr>
      <w:r>
        <w:rPr>
          <w:rFonts w:ascii="Times New Roman" w:cs="Times New Roman" w:eastAsia="Times New Roman" w:hAnsi="Times New Roman"/>
          <w:sz w:val="14"/>
          <w:szCs w:val="14"/>
          <w:color w:val="auto"/>
        </w:rPr>
        <w:t>We will rely on a limited number of suppliers for certain raw materials, such as uranium (LEU+ fuel), and supplied components. We may not be able to obtain sufficient raw materials or supplied components to meet our manufacturing and operating needs, or obtain such materials on favorable terms or at expected costs, which could impair our ability to fulfill our orders in a timely manner or increase our costs of production. For example, if we are unable to obtain LEU+ fuel due to supply chain disruptions, our ability to produce power will be adversely affected, which could have a material adverse effect on our business prospects, financial condition and results of operations.</w:t>
      </w:r>
    </w:p>
    <w:p>
      <w:pPr>
        <w:spacing w:after="0" w:line="142"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We do not directly manufacture any of the components of our MMRs. Our ability to manufacture our MMRs will be dependent upon sufficient availability of raw materials and supplied components, including many highly technical components that are still under design, are being designed for first-of-a-kind or sole use in the Hadron Halo and have not yet been qualified for use, are only produced by a limited number of suppliers and may be particularly susceptible to cost increases, supply chain disruptions or inflationary pressures, both in the U.S. and abroad. Any supply chain disruption incurred by our third-party suppliers or degradation in the quality and processes of our manufacturer partners, may result in delays, cost overruns or impairments to the development of our reactors. We may not be able to obtain a sufficient supply of raw materials or supplied components, on favorable terms or at all, which could result in delays in, or the inability to, manufacture MMRs or result in increased costs.</w:t>
      </w:r>
    </w:p>
    <w:p>
      <w:pPr>
        <w:spacing w:after="0" w:line="147" w:lineRule="exact"/>
        <w:rPr>
          <w:sz w:val="20"/>
          <w:szCs w:val="20"/>
          <w:color w:val="auto"/>
        </w:rPr>
      </w:pPr>
    </w:p>
    <w:p>
      <w:pPr>
        <w:ind w:left="1400" w:right="279"/>
        <w:spacing w:after="0" w:line="280" w:lineRule="auto"/>
        <w:rPr>
          <w:sz w:val="20"/>
          <w:szCs w:val="20"/>
          <w:color w:val="auto"/>
        </w:rPr>
      </w:pPr>
      <w:r>
        <w:rPr>
          <w:rFonts w:ascii="Times New Roman" w:cs="Times New Roman" w:eastAsia="Times New Roman" w:hAnsi="Times New Roman"/>
          <w:sz w:val="13"/>
          <w:szCs w:val="13"/>
          <w:color w:val="auto"/>
        </w:rPr>
        <w:t>Additionally, the imposition of tariffs and impacts of inflation on raw materials or supplied components for our reactors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and results of operations.</w:t>
      </w:r>
    </w:p>
    <w:p>
      <w:pPr>
        <w:spacing w:after="0" w:line="210" w:lineRule="exact"/>
        <w:rPr>
          <w:sz w:val="20"/>
          <w:szCs w:val="20"/>
          <w:color w:val="auto"/>
        </w:rPr>
      </w:pPr>
    </w:p>
    <w:p>
      <w:pPr>
        <w:ind w:left="1400" w:right="5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depend on key executives, and management, and other highly skilled personnel to execute our business plan and conduct our operations. A departure of key personnel could have a material adverse effect on our business.</w:t>
      </w:r>
    </w:p>
    <w:p>
      <w:pPr>
        <w:spacing w:after="0" w:line="41" w:lineRule="exact"/>
        <w:rPr>
          <w:sz w:val="20"/>
          <w:szCs w:val="20"/>
          <w:color w:val="auto"/>
        </w:rPr>
      </w:pPr>
    </w:p>
    <w:p>
      <w:pPr>
        <w:ind w:left="1400" w:right="419"/>
        <w:spacing w:after="0" w:line="279" w:lineRule="auto"/>
        <w:rPr>
          <w:sz w:val="20"/>
          <w:szCs w:val="20"/>
          <w:color w:val="auto"/>
        </w:rPr>
      </w:pPr>
      <w:r>
        <w:rPr>
          <w:rFonts w:ascii="Times New Roman" w:cs="Times New Roman" w:eastAsia="Times New Roman" w:hAnsi="Times New Roman"/>
          <w:sz w:val="14"/>
          <w:szCs w:val="14"/>
          <w:color w:val="auto"/>
        </w:rPr>
        <w:t>Our success depends, in significant part, on the continued services of our senior management team and on our ability to attract, motivate, develop, and retain a sufficient number of other highly skilled personnel, including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40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59" w:lineRule="auto"/>
        <w:rPr>
          <w:sz w:val="20"/>
          <w:szCs w:val="20"/>
          <w:color w:val="auto"/>
        </w:rPr>
      </w:pPr>
      <w:r>
        <w:rPr>
          <w:rFonts w:ascii="Times New Roman" w:cs="Times New Roman" w:eastAsia="Times New Roman" w:hAnsi="Times New Roman"/>
          <w:sz w:val="14"/>
          <w:szCs w:val="14"/>
          <w:color w:val="auto"/>
        </w:rPr>
        <w:t>engineering, science, manufacturing and quality assurance, regulatory affairs, finance, marketing and sales personnel.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221" w:lineRule="exact"/>
        <w:rPr>
          <w:sz w:val="20"/>
          <w:szCs w:val="20"/>
          <w:color w:val="auto"/>
        </w:rPr>
      </w:pPr>
    </w:p>
    <w:p>
      <w:pPr>
        <w:ind w:left="1400" w:right="8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Our business plan requires us to attract and retain qualified personnel including personnel with highly technical expertise. Our failure to successfully recruit and retain experienced and qualified personnel could have a material adverse effect on our business.</w:t>
      </w:r>
    </w:p>
    <w:p>
      <w:pPr>
        <w:spacing w:after="0" w:line="41" w:lineRule="exact"/>
        <w:rPr>
          <w:sz w:val="20"/>
          <w:szCs w:val="20"/>
          <w:color w:val="auto"/>
        </w:rPr>
      </w:pPr>
    </w:p>
    <w:p>
      <w:pPr>
        <w:ind w:left="1400" w:right="399"/>
        <w:spacing w:after="0" w:line="254" w:lineRule="auto"/>
        <w:rPr>
          <w:sz w:val="20"/>
          <w:szCs w:val="20"/>
          <w:color w:val="auto"/>
        </w:rPr>
      </w:pPr>
      <w:r>
        <w:rPr>
          <w:rFonts w:ascii="Times New Roman" w:cs="Times New Roman" w:eastAsia="Times New Roman" w:hAnsi="Times New Roman"/>
          <w:sz w:val="14"/>
          <w:szCs w:val="14"/>
          <w:color w:val="auto"/>
        </w:rPr>
        <w:t>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would suffer. If we are unable to recruit and retain highly skilled personnel, especially personnel with sufficient technical expertise to develop our powerhouses, fuel fabrication facilities, recycling facilities, and fuel, we may experience delays, increased costs, and reputational harm.</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Some of our management team has limited experience in operating a public company.</w:t>
      </w:r>
    </w:p>
    <w:p>
      <w:pPr>
        <w:spacing w:after="0" w:line="91" w:lineRule="exact"/>
        <w:rPr>
          <w:sz w:val="20"/>
          <w:szCs w:val="20"/>
          <w:color w:val="auto"/>
        </w:rPr>
      </w:pPr>
    </w:p>
    <w:p>
      <w:pPr>
        <w:ind w:left="1400" w:right="259"/>
        <w:spacing w:after="0" w:line="252" w:lineRule="auto"/>
        <w:rPr>
          <w:sz w:val="20"/>
          <w:szCs w:val="20"/>
          <w:color w:val="auto"/>
        </w:rPr>
      </w:pPr>
      <w:r>
        <w:rPr>
          <w:rFonts w:ascii="Times New Roman" w:cs="Times New Roman" w:eastAsia="Times New Roman" w:hAnsi="Times New Roman"/>
          <w:sz w:val="14"/>
          <w:szCs w:val="14"/>
          <w:color w:val="auto"/>
        </w:rPr>
        <w:t>Some of our executive officers have limited experience in the management of a publicly traded company. Our management team may not successfully or effectively manage our obligations as a public company that is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We may be required to expand our employee base and hire additional employees to support our operations as a public company, which will increase our operating costs in future periods.</w:t>
      </w:r>
    </w:p>
    <w:p>
      <w:pPr>
        <w:spacing w:after="0" w:line="228"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are subject to information technology and cyber security threats which could have adverse effects, including regulatory effects, on our business and results of operations.</w:t>
      </w:r>
    </w:p>
    <w:p>
      <w:pPr>
        <w:spacing w:after="0" w:line="41" w:lineRule="exact"/>
        <w:rPr>
          <w:sz w:val="20"/>
          <w:szCs w:val="20"/>
          <w:color w:val="auto"/>
        </w:rPr>
      </w:pPr>
    </w:p>
    <w:p>
      <w:pPr>
        <w:ind w:left="1400" w:right="259"/>
        <w:spacing w:after="0" w:line="256" w:lineRule="auto"/>
        <w:rPr>
          <w:sz w:val="20"/>
          <w:szCs w:val="20"/>
          <w:color w:val="auto"/>
        </w:rPr>
      </w:pPr>
      <w:r>
        <w:rPr>
          <w:rFonts w:ascii="Times New Roman" w:cs="Times New Roman" w:eastAsia="Times New Roman" w:hAnsi="Times New Roman"/>
          <w:sz w:val="14"/>
          <w:szCs w:val="14"/>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42"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Despite the implementation of security measures, given their size and complexity and the increasing amounts of confidential information that they maintain, our internal information technology systems and those of our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40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affect service reliability and threaten the confidentiality, integrity and availability of information), which may compromise our system infrastructure or lead to data leakage. As part of our regular review of potential risks, we analyze emerging cyber security threats to us and our contractors, consultants, business partners and other third parties as well as our plans and strategies to address them. Our Board, which has oversight responsibility for cyber security risks, is regularly briefed by management on such analyses. Additionally, our Board is responsible for overseeing the adequacy of management’s conduct of threat environment and vulnerability assessments, management of cyber incidents, pursuit of projects to strengthen internal cyber security and the cyber security of our suppliers and other service providers, work with the company’s privacy and legal teams, coordination with the company’s operations teams to evaluate the cyber security implications of our products and offerings, and coordination of efforts to monitor, detect, and prevent future cyber threats. In addition, the audit committee of the Board annually reviews our risk profile with respect to cybersecurity matters.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w:t>
      </w:r>
    </w:p>
    <w:p>
      <w:pPr>
        <w:spacing w:after="0" w:line="150" w:lineRule="exact"/>
        <w:rPr>
          <w:sz w:val="20"/>
          <w:szCs w:val="20"/>
          <w:color w:val="auto"/>
        </w:rPr>
      </w:pPr>
    </w:p>
    <w:p>
      <w:pPr>
        <w:ind w:left="1400" w:right="259"/>
        <w:spacing w:after="0" w:line="253" w:lineRule="auto"/>
        <w:rPr>
          <w:sz w:val="20"/>
          <w:szCs w:val="20"/>
          <w:color w:val="auto"/>
        </w:rPr>
      </w:pPr>
      <w:r>
        <w:rPr>
          <w:rFonts w:ascii="Times New Roman" w:cs="Times New Roman" w:eastAsia="Times New Roman" w:hAnsi="Times New Roman"/>
          <w:sz w:val="14"/>
          <w:szCs w:val="14"/>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Hadron Halo nuclear design technical engineering information and operations information, which have been and will continue to be used to design the Hadron Halo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spacing w:after="0" w:line="147"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25"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rely heavily on our intellectual property portfolio. Our ability to protect our patents and other intellectual property rights may be challenged and is not guaranteed. If we are unable to protect our intellectual property rights, our business and competitive position may be harmed.</w:t>
      </w:r>
    </w:p>
    <w:p>
      <w:pPr>
        <w:spacing w:after="0" w:line="41"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U.S. and other jurisdictions and in the future we may also rely on commercial agreements such as confidentiality agreements and license agreements, as applicable, to establish, maintain and enforce rights associated with our MMR design and related proprietary technologies. These measures are aimed at preventing third parties from using, practicing, selling, manufacturing, or otherwise commercially exploiting our MMR design and related technologies, which would erode our competitive position in our market. Our success depends in large part on our ability to obtain and enforce patent protection for our MMR design, as well as our ability to operate without infringing or violating the proprietary rights of others. We have intellectual property rights applicable to our business, including pending patent applications applicable to our MMR design, and we will continue to file patent applications claiming new technologies directed to our MMR design and related technologies in the U.S. and in other jurisdictions based on</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40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several factors including, but not limited to, commercial viability. Monitoring unauthorized use of our intellectual property rights is difficult and costly, and the steps we have taken or will take to prevent misappropriation may not be sufficient.</w:t>
      </w:r>
    </w:p>
    <w:p>
      <w:pPr>
        <w:spacing w:after="0" w:line="126"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is expensive and time consuming, and the outcome is unpredictable. Courts outside the U.S.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14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The patent position of our nuclear power reactors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issue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United States), we cannot guarantee that we will obtain a corresponding patent in another jurisdiction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w:t>
      </w:r>
    </w:p>
    <w:p>
      <w:pPr>
        <w:spacing w:after="0" w:line="147"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may also be used as a basis to invalidate our patents or prevent our patent applications from issuing as patents. Our patents may also be challenged as invalid under other prior art and/or be challenged as unenforceable. Furthermore, patent applications filed in foreign countries are subject to laws, rules and procedures that differ from those of the U.S., and thus we cannot be certain that foreign patent applications related to issued U.S. patents will be issued.</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40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patent applications. In addition, patents issued to us may be infringed or designed around by others and others may obtain patents that we need to license or design around, either of which would increase costs and may adversely affect our business, prospects, financial condition and operating results.</w:t>
      </w:r>
    </w:p>
    <w:p>
      <w:pPr>
        <w:spacing w:after="0" w:line="225" w:lineRule="exact"/>
        <w:rPr>
          <w:sz w:val="20"/>
          <w:szCs w:val="20"/>
          <w:color w:val="auto"/>
        </w:rPr>
      </w:pPr>
    </w:p>
    <w:p>
      <w:pPr>
        <w:ind w:left="1400" w:right="5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will enjoy only limited geographical protection with respect to certain patents, and may not be able to protect our intellectual property rights throughout the world.</w:t>
      </w:r>
    </w:p>
    <w:p>
      <w:pPr>
        <w:spacing w:after="0" w:line="41"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We do not have worldwide patent rights for components of our MMR design and related proprietary technologies because there is no such thing as worldwide or “international patent rights.” Accordingly, we may not be able to protect our intellectual property rights in certain jurisdictions and their legal systems. Filing, prosecuting and defending patents on our technology worldwide can pose several challenges. First, procuring patent rights in multiple jurisdictions would be cost prohibitive because individual patent offices in different jurisdictions will have to examine each patent application separately. Therefore, costs such as examination fees, translation fees and attorneys’ fees are considered.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50" w:lineRule="exact"/>
        <w:rPr>
          <w:sz w:val="20"/>
          <w:szCs w:val="20"/>
          <w:color w:val="auto"/>
        </w:rPr>
      </w:pPr>
    </w:p>
    <w:p>
      <w:pPr>
        <w:ind w:left="1400" w:right="259"/>
        <w:spacing w:after="0" w:line="285" w:lineRule="auto"/>
        <w:rPr>
          <w:sz w:val="20"/>
          <w:szCs w:val="20"/>
          <w:color w:val="auto"/>
        </w:rPr>
      </w:pPr>
      <w:r>
        <w:rPr>
          <w:rFonts w:ascii="Times New Roman" w:cs="Times New Roman" w:eastAsia="Times New Roman" w:hAnsi="Times New Roman"/>
          <w:sz w:val="13"/>
          <w:szCs w:val="13"/>
          <w:color w:val="auto"/>
        </w:rPr>
        <w:t>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205" w:lineRule="exact"/>
        <w:rPr>
          <w:sz w:val="20"/>
          <w:szCs w:val="20"/>
          <w:color w:val="auto"/>
        </w:rPr>
      </w:pPr>
    </w:p>
    <w:p>
      <w:pPr>
        <w:ind w:left="1400" w:right="6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may need to defend ourselves against intellectual property infringement claims, which may be time-consuming and could cause it to incur substantial fees and costs.</w:t>
      </w:r>
    </w:p>
    <w:p>
      <w:pPr>
        <w:spacing w:after="0" w:line="41" w:lineRule="exact"/>
        <w:rPr>
          <w:sz w:val="20"/>
          <w:szCs w:val="20"/>
          <w:color w:val="auto"/>
        </w:rPr>
      </w:pPr>
    </w:p>
    <w:p>
      <w:pPr>
        <w:ind w:left="1400" w:right="419"/>
        <w:spacing w:after="0" w:line="271" w:lineRule="auto"/>
        <w:rPr>
          <w:sz w:val="20"/>
          <w:szCs w:val="20"/>
          <w:color w:val="auto"/>
        </w:rPr>
      </w:pPr>
      <w:r>
        <w:rPr>
          <w:rFonts w:ascii="Times New Roman" w:cs="Times New Roman" w:eastAsia="Times New Roman" w:hAnsi="Times New Roman"/>
          <w:sz w:val="13"/>
          <w:szCs w:val="13"/>
          <w:color w:val="auto"/>
        </w:rPr>
        <w:t>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MMRs and related technology, which could make it more difficult for us to operate our company. From time to time, we may receive inquiries from holders of patents or trademarks/service marks inquiring whether we are infringing their proprietary rights and/or seek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 things, one or more of the following:</w:t>
      </w:r>
    </w:p>
    <w:p>
      <w:pPr>
        <w:spacing w:after="0" w:line="1" w:lineRule="exact"/>
        <w:rPr>
          <w:sz w:val="20"/>
          <w:szCs w:val="20"/>
          <w:color w:val="auto"/>
        </w:rPr>
      </w:pPr>
    </w:p>
    <w:p>
      <w:pPr>
        <w:jc w:val="both"/>
        <w:ind w:left="1400" w:right="299" w:hanging="10"/>
        <w:spacing w:after="0" w:line="253" w:lineRule="auto"/>
        <w:tabs>
          <w:tab w:leader="none" w:pos="156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selling, incorporating or using MMRs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40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99"/>
        <w:spacing w:after="0" w:line="264" w:lineRule="auto"/>
        <w:rPr>
          <w:sz w:val="20"/>
          <w:szCs w:val="20"/>
          <w:color w:val="auto"/>
        </w:rPr>
      </w:pPr>
      <w:r>
        <w:rPr>
          <w:rFonts w:ascii="Times New Roman" w:cs="Times New Roman" w:eastAsia="Times New Roman" w:hAnsi="Times New Roman"/>
          <w:sz w:val="14"/>
          <w:szCs w:val="14"/>
          <w:color w:val="auto"/>
        </w:rPr>
        <w:t>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w:t>
      </w:r>
    </w:p>
    <w:p>
      <w:pPr>
        <w:spacing w:after="0" w:line="136" w:lineRule="exact"/>
        <w:rPr>
          <w:sz w:val="20"/>
          <w:szCs w:val="20"/>
          <w:color w:val="auto"/>
        </w:rPr>
      </w:pPr>
    </w:p>
    <w:p>
      <w:pPr>
        <w:jc w:val="both"/>
        <w:ind w:left="1400" w:right="339"/>
        <w:spacing w:after="0" w:line="259" w:lineRule="auto"/>
        <w:rPr>
          <w:sz w:val="20"/>
          <w:szCs w:val="20"/>
          <w:color w:val="auto"/>
        </w:rPr>
      </w:pPr>
      <w:r>
        <w:rPr>
          <w:rFonts w:ascii="Times New Roman" w:cs="Times New Roman" w:eastAsia="Times New Roman" w:hAnsi="Times New Roman"/>
          <w:sz w:val="14"/>
          <w:szCs w:val="14"/>
          <w:color w:val="auto"/>
        </w:rPr>
        <w:t>We may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221"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MMRs.</w:t>
      </w:r>
    </w:p>
    <w:p>
      <w:pPr>
        <w:spacing w:after="0" w:line="41" w:lineRule="exact"/>
        <w:rPr>
          <w:sz w:val="20"/>
          <w:szCs w:val="20"/>
          <w:color w:val="auto"/>
        </w:rPr>
      </w:pPr>
    </w:p>
    <w:p>
      <w:pPr>
        <w:ind w:left="1400" w:right="399"/>
        <w:spacing w:after="0" w:line="253" w:lineRule="auto"/>
        <w:rPr>
          <w:sz w:val="20"/>
          <w:szCs w:val="20"/>
          <w:color w:val="auto"/>
        </w:rPr>
      </w:pPr>
      <w:r>
        <w:rPr>
          <w:rFonts w:ascii="Times New Roman" w:cs="Times New Roman" w:eastAsia="Times New Roman" w:hAnsi="Times New Roman"/>
          <w:sz w:val="14"/>
          <w:szCs w:val="14"/>
          <w:color w:val="auto"/>
        </w:rPr>
        <w:t>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U.S. and abroad that is relevant to or necessary for the commercialization of our MMRs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U.S. or abroad that we consider relevant may be incorrect or inaccurate. Our failure to identify and correctly interpret relevant patents may negatively impact our ability to develop and market our MMRs.</w:t>
      </w:r>
    </w:p>
    <w:p>
      <w:pPr>
        <w:spacing w:after="0" w:line="144"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MMRs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of ownership and other rights to our patents and other intellectual property by third parties.</w:t>
      </w:r>
    </w:p>
    <w:p>
      <w:pPr>
        <w:spacing w:after="0" w:line="91"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exclusive ownership of, or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40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4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A pandemic, epidemic or outbreak of an infectious disease in the United States or worldwide, could adversely impact our business operations and our financial results.</w:t>
      </w:r>
    </w:p>
    <w:p>
      <w:pPr>
        <w:spacing w:after="0" w:line="41" w:lineRule="exact"/>
        <w:rPr>
          <w:sz w:val="20"/>
          <w:szCs w:val="20"/>
          <w:color w:val="auto"/>
        </w:rPr>
      </w:pPr>
    </w:p>
    <w:p>
      <w:pPr>
        <w:ind w:left="1400" w:right="259"/>
        <w:spacing w:after="0" w:line="275" w:lineRule="auto"/>
        <w:rPr>
          <w:sz w:val="20"/>
          <w:szCs w:val="20"/>
          <w:color w:val="auto"/>
        </w:rPr>
      </w:pPr>
      <w:r>
        <w:rPr>
          <w:rFonts w:ascii="Times New Roman" w:cs="Times New Roman" w:eastAsia="Times New Roman" w:hAnsi="Times New Roman"/>
          <w:sz w:val="13"/>
          <w:szCs w:val="13"/>
          <w:color w:val="auto"/>
        </w:rPr>
        <w:t>If a pandemic, epidemic, or outbreak of an infectious disease, including the resurgence of COVID-19 or the outbreak of a novel strain of COVID-19, or other public health crisis were to affect our markets, facilities or our customers, our business could be adversely affected. The potential future spread of any infectious diseases and related precautionary measures may result in delays or disruptions in our supply chain, delays in the launch or execution of certain of our customers’ projects and a decrease of our operational efficiency in the development of our systems, products, technologies and services. If a pandemic, epidemic or outbreak of infectious disease in the U.S. or worldwide were to occur, we will take measures within our facilities to ensure the health and safety of our employees. These measures may include rearranging facilities and work schedules to follow social distancing protocols and undertaking regular and thorough disinfecting of surfaces and tools. However, there can be no assurance that these measures will prevent disruptions due to infectious diseases within our workforce. These measures may also result in the reduction of operational efficiency within our impacted workforce.</w:t>
      </w:r>
    </w:p>
    <w:p>
      <w:pPr>
        <w:spacing w:after="0" w:line="2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Compliance with Law, Government Regulation, Litigation and Tax Matters</w:t>
      </w:r>
    </w:p>
    <w:p>
      <w:pPr>
        <w:spacing w:after="0" w:line="102" w:lineRule="exact"/>
        <w:rPr>
          <w:sz w:val="20"/>
          <w:szCs w:val="20"/>
          <w:color w:val="auto"/>
        </w:rPr>
      </w:pPr>
    </w:p>
    <w:p>
      <w:pPr>
        <w:ind w:left="2140" w:right="63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subject to the policies, priorities, regulations, mandates and funding levels of governmental entities and may be negatively or positively impacted by any change thereto.</w:t>
      </w:r>
    </w:p>
    <w:p>
      <w:pPr>
        <w:spacing w:after="0" w:line="53" w:lineRule="exact"/>
        <w:rPr>
          <w:rFonts w:ascii="Times New Roman" w:cs="Times New Roman" w:eastAsia="Times New Roman" w:hAnsi="Times New Roman"/>
          <w:sz w:val="14"/>
          <w:szCs w:val="14"/>
          <w:color w:val="auto"/>
        </w:rPr>
      </w:pPr>
    </w:p>
    <w:p>
      <w:pPr>
        <w:ind w:left="2140" w:right="49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pursue government awards involving cost-share related to our research and development work, which could be affected by our failure to comply with certain laws and regulations.</w:t>
      </w:r>
    </w:p>
    <w:p>
      <w:pPr>
        <w:spacing w:after="0" w:line="53"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macro-economic and political conditions could materially adversely affect our business prospects, financial condition, results of operations and cash flow.</w:t>
      </w:r>
    </w:p>
    <w:p>
      <w:pPr>
        <w:spacing w:after="0" w:line="53" w:lineRule="exact"/>
        <w:rPr>
          <w:rFonts w:ascii="Times New Roman" w:cs="Times New Roman" w:eastAsia="Times New Roman" w:hAnsi="Times New Roman"/>
          <w:sz w:val="14"/>
          <w:szCs w:val="14"/>
          <w:color w:val="auto"/>
        </w:rPr>
      </w:pPr>
    </w:p>
    <w:p>
      <w:pPr>
        <w:ind w:left="2140" w:right="299" w:hanging="333"/>
        <w:spacing w:after="0" w:line="256"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suppliers are subject to stringent U.S. export and import control laws and regulations and analogous laws and regulations in other jurisdictions. Unfavorable changes in these laws and regulations or U.S. government or other relevant government licensing policies, our failure to secure timely U.S. government or other relevant government authorizations under such laws and regulations, or our failure to comply with such laws and regulations could have a material adverse effect on our business prospects, financial condition, results of operations and cash flows.</w:t>
      </w:r>
    </w:p>
    <w:p>
      <w:pPr>
        <w:spacing w:after="0" w:line="6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part of the nuclear power industry, which is highly regulated.</w:t>
      </w:r>
    </w:p>
    <w:p>
      <w:pPr>
        <w:spacing w:after="0" w:line="99"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agency budgets as well as staffing shortages at national laboratories and other government agencies may lengthen our estimated timelines for regulatory approval and construction.</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could incur substantial costs as a result of violations of, or liabilities under, environmental laws.</w:t>
      </w:r>
    </w:p>
    <w:p>
      <w:pPr>
        <w:spacing w:after="0" w:line="99" w:lineRule="exact"/>
        <w:rPr>
          <w:rFonts w:ascii="Times New Roman" w:cs="Times New Roman" w:eastAsia="Times New Roman" w:hAnsi="Times New Roman"/>
          <w:sz w:val="14"/>
          <w:szCs w:val="14"/>
          <w:color w:val="auto"/>
        </w:rPr>
      </w:pPr>
    </w:p>
    <w:p>
      <w:pPr>
        <w:ind w:left="2140" w:right="53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could adversely affect our business prospects and financial results.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become involved in litigation that may materially adversely affect our business, financial condition and results of operations.</w:t>
      </w:r>
    </w:p>
    <w:p>
      <w:pPr>
        <w:spacing w:after="0" w:line="254" w:lineRule="exact"/>
        <w:rPr>
          <w:sz w:val="20"/>
          <w:szCs w:val="20"/>
          <w:color w:val="auto"/>
        </w:rPr>
      </w:pPr>
    </w:p>
    <w:p>
      <w:pPr>
        <w:ind w:left="1400" w:right="4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are part of the nuclear power industry, which is highly regulated. Our MMR design similarly differs from reactors currently in operation, including with respect to potential industrial uses. As a result, the regulatory licensing and approval process for our reactors may be delayed and made more costly.</w:t>
      </w:r>
    </w:p>
    <w:p>
      <w:pPr>
        <w:spacing w:after="0" w:line="53" w:lineRule="exact"/>
        <w:rPr>
          <w:sz w:val="20"/>
          <w:szCs w:val="20"/>
          <w:color w:val="auto"/>
        </w:rPr>
      </w:pPr>
    </w:p>
    <w:p>
      <w:pPr>
        <w:ind w:left="1400" w:right="579"/>
        <w:spacing w:after="0" w:line="264" w:lineRule="auto"/>
        <w:rPr>
          <w:sz w:val="20"/>
          <w:szCs w:val="20"/>
          <w:color w:val="auto"/>
        </w:rPr>
      </w:pPr>
      <w:r>
        <w:rPr>
          <w:rFonts w:ascii="Times New Roman" w:cs="Times New Roman" w:eastAsia="Times New Roman" w:hAnsi="Times New Roman"/>
          <w:sz w:val="14"/>
          <w:szCs w:val="14"/>
          <w:color w:val="auto"/>
        </w:rPr>
        <w:t>The nuclear power industry is highly regulated. All entities that manufacture, operate and transport nuclear materials in the U.S. are subject to the jurisdiction of the NRC (except for those facilities and applications separately regulated by the DOE), and entities performing the same activities in other countries are subject to</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40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64" w:lineRule="auto"/>
        <w:rPr>
          <w:sz w:val="20"/>
          <w:szCs w:val="20"/>
          <w:color w:val="auto"/>
        </w:rPr>
      </w:pPr>
      <w:r>
        <w:rPr>
          <w:rFonts w:ascii="Times New Roman" w:cs="Times New Roman" w:eastAsia="Times New Roman" w:hAnsi="Times New Roman"/>
          <w:sz w:val="14"/>
          <w:szCs w:val="14"/>
          <w:color w:val="auto"/>
        </w:rPr>
        <w:t>regulation by the NRC’s counterparts around the world. Our MMR design differs in some respects from the reactors used today at commercial nuclear power facilities. These differences could result in more prolonged and extensive review by the NRC and its counterparts around the world that could cause reactor development program delays and delays in commercialization.</w:t>
      </w:r>
    </w:p>
    <w:p>
      <w:pPr>
        <w:spacing w:after="0" w:line="136"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Our reactor development timeline and our growth strategy relies on the relevant nuclear regulator to accept and approve technical information and documentation about our reactor designs in the course of any design-specific licensing, certification, approval or similar process, or in the course of facility-specific licensing. There is a risk that regulators may require additional information regarding the reactor’s behavior or performance that necessitates additional, unplanned analytical and/or experimental work which could cause schedule delays and require more research and development funding. Additionally, regulatory reform or policy changes could delay our ability to obtain a manufacturing license and/or combined operating license of the Hadron Halo, which would delay our manufacturing and commercialization of the Hadron Halo.</w:t>
      </w:r>
    </w:p>
    <w:p>
      <w:pPr>
        <w:spacing w:after="0" w:line="227" w:lineRule="exact"/>
        <w:rPr>
          <w:sz w:val="20"/>
          <w:szCs w:val="20"/>
          <w:color w:val="auto"/>
        </w:rPr>
      </w:pPr>
    </w:p>
    <w:p>
      <w:pPr>
        <w:ind w:left="1400" w:right="4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41"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Both in the U.S. and abroad, our operations will be subject to a variety of federal, state, local environmental, health and safety laws and regulations governing, among other things, air emissions, wastewater discharges, management and disposal of hazardous, non-hazardous, and radioactive materials and waste and remediation of releases of hazardous materials. Additionally, we are responsible for decommissioning of facilities where we conduct, or previously conducted, commercial, NRC-licensed, operations.</w:t>
      </w:r>
    </w:p>
    <w:p>
      <w:pPr>
        <w:spacing w:after="0" w:line="139"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w:t>
      </w:r>
    </w:p>
    <w:p>
      <w:pPr>
        <w:spacing w:after="0" w:line="227" w:lineRule="exact"/>
        <w:rPr>
          <w:sz w:val="20"/>
          <w:szCs w:val="20"/>
          <w:color w:val="auto"/>
        </w:rPr>
      </w:pPr>
    </w:p>
    <w:p>
      <w:pPr>
        <w:ind w:left="1400" w:right="3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Key materials and components are subject to heightened manufacturing and quality assurance scrutiny and may also be particularly vulnerable to inflationary pressures and cost increases.</w:t>
      </w:r>
    </w:p>
    <w:p>
      <w:pPr>
        <w:spacing w:after="0" w:line="41" w:lineRule="exact"/>
        <w:rPr>
          <w:sz w:val="20"/>
          <w:szCs w:val="20"/>
          <w:color w:val="auto"/>
        </w:rPr>
      </w:pPr>
    </w:p>
    <w:p>
      <w:pPr>
        <w:ind w:left="1400" w:right="259"/>
        <w:spacing w:after="0" w:line="251" w:lineRule="auto"/>
        <w:rPr>
          <w:sz w:val="20"/>
          <w:szCs w:val="20"/>
          <w:color w:val="auto"/>
        </w:rPr>
      </w:pPr>
      <w:r>
        <w:rPr>
          <w:rFonts w:ascii="Times New Roman" w:cs="Times New Roman" w:eastAsia="Times New Roman" w:hAnsi="Times New Roman"/>
          <w:sz w:val="14"/>
          <w:szCs w:val="14"/>
          <w:color w:val="auto"/>
        </w:rPr>
        <w:t>The equipment, components, and materials used in nuclear products are subject to a heightened level of manufacturing and quality assurance scrutiny, in compliance with NRC regulations, applicable codes and nuclear industry standards. Moreover, it is critical to demonstrate in reactor design and development that the materials used in manufacturing that will be exposed to radiation will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research and development, assist a customer in licensing a reactor, construct and assist customers in operating our reactor design. This could impact our project timelines and costs, as well as affect potential customer interest in our reactors.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40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9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Our business may be positively or negatively impacted by changes to applicable policies, priorities, regulations, and mandates of multiple governmental entities.</w:t>
      </w:r>
    </w:p>
    <w:p>
      <w:pPr>
        <w:spacing w:after="0" w:line="41"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We are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“regulatory approvals”), including the manufacturing license and/or combined operating license necessary for manufacturing and commercialization of our MMRs.</w:t>
      </w:r>
    </w:p>
    <w:p>
      <w:pPr>
        <w:spacing w:after="0" w:line="145" w:lineRule="exact"/>
        <w:rPr>
          <w:sz w:val="20"/>
          <w:szCs w:val="20"/>
          <w:color w:val="auto"/>
        </w:rPr>
      </w:pPr>
    </w:p>
    <w:p>
      <w:pPr>
        <w:ind w:left="1400" w:right="259"/>
        <w:spacing w:after="0" w:line="254" w:lineRule="auto"/>
        <w:rPr>
          <w:sz w:val="20"/>
          <w:szCs w:val="20"/>
          <w:color w:val="auto"/>
        </w:rPr>
      </w:pPr>
      <w:r>
        <w:rPr>
          <w:rFonts w:ascii="Times New Roman" w:cs="Times New Roman" w:eastAsia="Times New Roman" w:hAnsi="Times New Roman"/>
          <w:sz w:val="14"/>
          <w:szCs w:val="14"/>
          <w:color w:val="auto"/>
        </w:rPr>
        <w:t>Our Hadron Halos are subject to regulations in all jurisdictions related to nuclear safety, environmental, and financial qualification. Regulatory approvals, such as construction permits and operating licenses issued by the NRC, are necessary for our customers to construct and operate our MMRs. Our plans to deploy Hadron Halos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MMR products, and may also provide opportunities for third parties to lodge objections or seek more stringent requirements for our products.</w:t>
      </w:r>
    </w:p>
    <w:p>
      <w:pPr>
        <w:spacing w:after="0" w:line="145" w:lineRule="exact"/>
        <w:rPr>
          <w:sz w:val="20"/>
          <w:szCs w:val="20"/>
          <w:color w:val="auto"/>
        </w:rPr>
      </w:pPr>
    </w:p>
    <w:p>
      <w:pPr>
        <w:jc w:val="both"/>
        <w:ind w:left="1400" w:right="759"/>
        <w:spacing w:after="0" w:line="264" w:lineRule="auto"/>
        <w:rPr>
          <w:sz w:val="20"/>
          <w:szCs w:val="20"/>
          <w:color w:val="auto"/>
        </w:rPr>
      </w:pPr>
      <w:r>
        <w:rPr>
          <w:rFonts w:ascii="Times New Roman" w:cs="Times New Roman" w:eastAsia="Times New Roman" w:hAnsi="Times New Roman"/>
          <w:sz w:val="14"/>
          <w:szCs w:val="14"/>
          <w:color w:val="auto"/>
        </w:rPr>
        <w:t>Lastly, all of our facilities will be subject to regulations regarding human health and safety, wastewater, stormwater, air emissions and storage of hazardous materials. If we fail to comply with these laws and regulations, we could be subject to fines or penalties from local, state, and federal regulators.</w:t>
      </w:r>
    </w:p>
    <w:p>
      <w:pPr>
        <w:spacing w:after="0" w:line="217" w:lineRule="exact"/>
        <w:rPr>
          <w:sz w:val="20"/>
          <w:szCs w:val="20"/>
          <w:color w:val="auto"/>
        </w:rPr>
      </w:pPr>
    </w:p>
    <w:p>
      <w:pPr>
        <w:ind w:left="1400" w:right="5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Our operations and business plans could be significantly impacted by changes in U.S. political support and federal, state, and local government policies and priorities.</w:t>
      </w:r>
    </w:p>
    <w:p>
      <w:pPr>
        <w:spacing w:after="0" w:line="41" w:lineRule="exact"/>
        <w:rPr>
          <w:sz w:val="20"/>
          <w:szCs w:val="20"/>
          <w:color w:val="auto"/>
        </w:rPr>
      </w:pPr>
    </w:p>
    <w:p>
      <w:pPr>
        <w:ind w:left="1400" w:right="359"/>
        <w:spacing w:after="0" w:line="254" w:lineRule="auto"/>
        <w:rPr>
          <w:sz w:val="20"/>
          <w:szCs w:val="20"/>
          <w:color w:val="auto"/>
        </w:rPr>
      </w:pPr>
      <w:r>
        <w:rPr>
          <w:rFonts w:ascii="Times New Roman" w:cs="Times New Roman" w:eastAsia="Times New Roman" w:hAnsi="Times New Roman"/>
          <w:sz w:val="14"/>
          <w:szCs w:val="14"/>
          <w:color w:val="auto"/>
        </w:rPr>
        <w:t>The current environment of bipartisan political support of advanced nuclear power technologies at the U.S. federal level could change. Changes in support, in policies, or in priorities by the legislative or executive branch could have impacts on the leadership at the NRC, the DOE, the U.S. Department of Homeland Security, the U.S. Environmental Protection Agency, or any other federal agency which affects policy related to nuclear power. Each of these agencies themselves may experience changes in policies and priorities which impact our operations and business plans. Federal, state, and local policies and priorities could affect regulatory oversight, supply chain availability, tax and other financial incentives or costs, availability of financing, labor force initiatives or restrictions, and many other possible areas.</w:t>
      </w:r>
    </w:p>
    <w:p>
      <w:pPr>
        <w:spacing w:after="0" w:line="145" w:lineRule="exact"/>
        <w:rPr>
          <w:sz w:val="20"/>
          <w:szCs w:val="20"/>
          <w:color w:val="auto"/>
        </w:rPr>
      </w:pPr>
    </w:p>
    <w:p>
      <w:pPr>
        <w:ind w:left="1400" w:right="339"/>
        <w:spacing w:after="0" w:line="264" w:lineRule="auto"/>
        <w:rPr>
          <w:sz w:val="20"/>
          <w:szCs w:val="20"/>
          <w:color w:val="auto"/>
        </w:rPr>
      </w:pPr>
      <w:r>
        <w:rPr>
          <w:rFonts w:ascii="Times New Roman" w:cs="Times New Roman" w:eastAsia="Times New Roman" w:hAnsi="Times New Roman"/>
          <w:sz w:val="14"/>
          <w:szCs w:val="14"/>
          <w:color w:val="auto"/>
        </w:rPr>
        <w:t>The NRC also has the authority to issue new regulatory requirements or to change existing requirements. Changes to the regulatory requirements, could require us to incur additional expenses to retrofit any of our nuclear facilities under the NRC’s jurisdiction to bring them into compliance or otherwise adversely affect our results of operations and financial condition.</w:t>
      </w:r>
    </w:p>
    <w:p>
      <w:pPr>
        <w:spacing w:after="0" w:line="136"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4"/>
          <w:szCs w:val="14"/>
          <w:color w:val="auto"/>
        </w:rPr>
        <w:t>Additionally, changes in federal, state, or local government policies and priorities can impact the nuclear fuel supply chain. These could include changes in interpretations of regulatory requirements, increased inspection or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40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64" w:lineRule="auto"/>
        <w:rPr>
          <w:sz w:val="20"/>
          <w:szCs w:val="20"/>
          <w:color w:val="auto"/>
        </w:rPr>
      </w:pPr>
      <w:r>
        <w:rPr>
          <w:rFonts w:ascii="Times New Roman" w:cs="Times New Roman" w:eastAsia="Times New Roman" w:hAnsi="Times New Roman"/>
          <w:sz w:val="14"/>
          <w:szCs w:val="14"/>
          <w:color w:val="auto"/>
        </w:rPr>
        <w:t>enforcement activities, changes in budgetary priorities, changes in tax laws and regulations and other government actions or inaction. Any of these local, state, and federal agencies may have the authority to impose civil penalties and additional requirements, which could adversely affect our results of operations.</w:t>
      </w:r>
    </w:p>
    <w:p>
      <w:pPr>
        <w:spacing w:after="0" w:line="217" w:lineRule="exact"/>
        <w:rPr>
          <w:sz w:val="20"/>
          <w:szCs w:val="20"/>
          <w:color w:val="auto"/>
        </w:rPr>
      </w:pPr>
    </w:p>
    <w:p>
      <w:pPr>
        <w:ind w:left="1400" w:right="3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governmental agency budgets as well as staffing shortages at national laboratories and other governmental agencies may lengthen our estimated timelines for regulatory approval and construction.</w:t>
      </w:r>
    </w:p>
    <w:p>
      <w:pPr>
        <w:spacing w:after="0" w:line="41" w:lineRule="exact"/>
        <w:rPr>
          <w:sz w:val="20"/>
          <w:szCs w:val="20"/>
          <w:color w:val="auto"/>
        </w:rPr>
      </w:pPr>
    </w:p>
    <w:p>
      <w:pPr>
        <w:ind w:left="1400" w:right="259"/>
        <w:spacing w:after="0" w:line="274" w:lineRule="auto"/>
        <w:rPr>
          <w:sz w:val="20"/>
          <w:szCs w:val="20"/>
          <w:color w:val="auto"/>
        </w:rPr>
      </w:pPr>
      <w:r>
        <w:rPr>
          <w:rFonts w:ascii="Times New Roman" w:cs="Times New Roman" w:eastAsia="Times New Roman" w:hAnsi="Times New Roman"/>
          <w:sz w:val="13"/>
          <w:szCs w:val="13"/>
          <w:color w:val="auto"/>
        </w:rPr>
        <w:t>Certain areas of our research and development activities are dependent upon various regulatory approvals and may be undertaken through collaborations with universities or national laboratories. Government agency budgets and staffing are driven by the priorities of leadership at federal agencies as well as policy makers. Many universities rely on federal or state funding to support research and development activities. Changes in governmental agency budgets, personnel, and any resulting staffing shortages may delay our research and development initiatives, including site testing and other activities, and delay or prevent the issuance of required regulatory approvals (e.g., permits or licenses) for our product. Additionally, although we feel that collaborations with universities and national laboratories is beneficial to our research and development activities, collaborations with third parties may increase the cost and effectiveness of our intellectual property protections and create risk of intellectual property infringement. Although we take steps to protect our intellectual property through agreements covering non-disclosure, confidentially and related agreements, such mitigating steps may not be adequate to fully protect our intellectual property portfolio, which could have a negative result on our financial condition and results of operations.</w:t>
      </w:r>
    </w:p>
    <w:p>
      <w:pPr>
        <w:spacing w:after="0" w:line="214" w:lineRule="exact"/>
        <w:rPr>
          <w:sz w:val="20"/>
          <w:szCs w:val="20"/>
          <w:color w:val="auto"/>
        </w:rPr>
      </w:pPr>
    </w:p>
    <w:p>
      <w:pPr>
        <w:ind w:left="1400" w:right="7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The Hadron Halo design has not yet been approved or licensed for use at any site by the NRC, and approval or licensing of our design is not guaranteed.</w:t>
      </w:r>
    </w:p>
    <w:p>
      <w:pPr>
        <w:spacing w:after="0" w:line="41"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The Company submitted its letter of intent to the NRC in April 2025 and its regulatory engagement plan to the NRC in May 2025. Notwithstanding these actions, the Hadron Halo design has yet been licensed, certified or approved by the NRC, and there are currently no MMRs that have been fully licensed by the NRC. If the NRC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public has the ability to intervene in licensing proceedings before the NRC for a reactor.</w:t>
      </w:r>
    </w:p>
    <w:p>
      <w:pPr>
        <w:spacing w:after="0" w:line="91" w:lineRule="exact"/>
        <w:rPr>
          <w:sz w:val="20"/>
          <w:szCs w:val="20"/>
          <w:color w:val="auto"/>
        </w:rPr>
      </w:pPr>
    </w:p>
    <w:p>
      <w:pPr>
        <w:ind w:left="1400" w:right="339"/>
        <w:spacing w:after="0" w:line="285" w:lineRule="auto"/>
        <w:rPr>
          <w:sz w:val="20"/>
          <w:szCs w:val="20"/>
          <w:color w:val="auto"/>
        </w:rPr>
      </w:pPr>
      <w:r>
        <w:rPr>
          <w:rFonts w:ascii="Times New Roman" w:cs="Times New Roman" w:eastAsia="Times New Roman" w:hAnsi="Times New Roman"/>
          <w:sz w:val="13"/>
          <w:szCs w:val="13"/>
          <w:color w:val="auto"/>
        </w:rPr>
        <w:t>Under the Atomic Energy Act and the implementing NRC regulations, members of the public, state, or tribal governments may request a public hearing opposing the issuance of any NRC permit or license, or challenging portions of the license or permit application or of the NRC’s review. Certain NRC actions also include provision for a mandatory administrative hearing regardless of whether any contentions are submitted in conjunction with the action. These hearing processes may delay or prevent the issuance of required regulatory approvals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permits or licenses) for a customer’s MMR.</w:t>
      </w:r>
    </w:p>
    <w:p>
      <w:pPr>
        <w:spacing w:after="0" w:line="205" w:lineRule="exact"/>
        <w:rPr>
          <w:sz w:val="20"/>
          <w:szCs w:val="20"/>
          <w:color w:val="auto"/>
        </w:rPr>
      </w:pPr>
    </w:p>
    <w:p>
      <w:pPr>
        <w:ind w:left="1400" w:right="6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Even if the Hadron Halo is licensed in the U.S., we must still obtain approvals on a country-by-country basis to deploy our technology, which approvals may be delayed or denied or which may require modification to our design.</w:t>
      </w:r>
    </w:p>
    <w:p>
      <w:pPr>
        <w:spacing w:after="0" w:line="41" w:lineRule="exact"/>
        <w:rPr>
          <w:sz w:val="20"/>
          <w:szCs w:val="20"/>
          <w:color w:val="auto"/>
        </w:rPr>
      </w:pPr>
    </w:p>
    <w:p>
      <w:pPr>
        <w:jc w:val="both"/>
        <w:ind w:left="1400" w:right="479"/>
        <w:spacing w:after="0" w:line="264" w:lineRule="auto"/>
        <w:rPr>
          <w:sz w:val="20"/>
          <w:szCs w:val="20"/>
          <w:color w:val="auto"/>
        </w:rPr>
      </w:pPr>
      <w:r>
        <w:rPr>
          <w:rFonts w:ascii="Times New Roman" w:cs="Times New Roman" w:eastAsia="Times New Roman" w:hAnsi="Times New Roman"/>
          <w:sz w:val="14"/>
          <w:szCs w:val="14"/>
          <w:color w:val="auto"/>
        </w:rPr>
        <w:t>Even if the Hadron Halo is licensed, certified and/or approved in the U.S., if we are to deploy our technology in other countries, we must first obtain regulatory approvals for our technology in those countries. The regulatory framework to obtain approvals is complex, varies from country to country, and may involve authorities 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40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they may require that we alter aspects of our design before providing approval. Denial or delay in approvals abroad could materially and adversely affect our business outside of the U.S.</w:t>
      </w:r>
    </w:p>
    <w:p>
      <w:pPr>
        <w:spacing w:after="0" w:line="221" w:lineRule="exact"/>
        <w:rPr>
          <w:sz w:val="20"/>
          <w:szCs w:val="20"/>
          <w:color w:val="auto"/>
        </w:rPr>
      </w:pPr>
    </w:p>
    <w:p>
      <w:pPr>
        <w:jc w:val="both"/>
        <w:ind w:left="1400" w:right="67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Our business is also subject to stringent U.S. export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the company and our ability to expand and thereby affect our business prospects, financial condition, results of operations and cash flows.</w:t>
      </w:r>
    </w:p>
    <w:p>
      <w:pPr>
        <w:spacing w:after="0" w:line="55"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The inability to secure and maintain required export licenses or authorizations could negatively impact our ability to compete successfully or market our MMRs outside the U.S. For example, if we were unable to obtain or maintain licenses to export nuclear technology or certain hardware to a particular country, we would be effectively prohibited from exporting our MMRs in that country, which would limit the number of customers to those in the U.S. and in countries where we are able to secure licenses (or where licenses are not required).</w:t>
      </w:r>
    </w:p>
    <w:p>
      <w:pPr>
        <w:spacing w:after="0" w:line="139"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necessary to implement U.S. government commitments to multilateral control regimes, may restrict our market size.</w:t>
      </w:r>
    </w:p>
    <w:p>
      <w:pPr>
        <w:spacing w:after="0" w:line="221" w:lineRule="exact"/>
        <w:rPr>
          <w:sz w:val="20"/>
          <w:szCs w:val="20"/>
          <w:color w:val="auto"/>
        </w:rPr>
      </w:pPr>
    </w:p>
    <w:p>
      <w:pPr>
        <w:ind w:left="1400" w:right="3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Changes in international trade policies, tariffs and treaties affecting imports and exports may have a material adverse effect on our performance or business prospects.</w:t>
      </w:r>
    </w:p>
    <w:p>
      <w:pPr>
        <w:spacing w:after="0" w:line="41"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There have recently been significant changes to international trade policies and tariffs affecting imports and exports. Any significant increases in tariffs on raw materials or supplied components for our reactors could negatively affect our performance or business prospects.</w:t>
      </w:r>
    </w:p>
    <w:p>
      <w:pPr>
        <w:spacing w:after="0" w:line="126" w:lineRule="exact"/>
        <w:rPr>
          <w:sz w:val="20"/>
          <w:szCs w:val="20"/>
          <w:color w:val="auto"/>
        </w:rPr>
      </w:pPr>
    </w:p>
    <w:p>
      <w:pPr>
        <w:ind w:left="1400" w:right="579"/>
        <w:spacing w:after="0" w:line="285" w:lineRule="auto"/>
        <w:rPr>
          <w:sz w:val="20"/>
          <w:szCs w:val="20"/>
          <w:color w:val="auto"/>
        </w:rPr>
      </w:pPr>
      <w:r>
        <w:rPr>
          <w:rFonts w:ascii="Times New Roman" w:cs="Times New Roman" w:eastAsia="Times New Roman" w:hAnsi="Times New Roman"/>
          <w:sz w:val="13"/>
          <w:szCs w:val="13"/>
          <w:color w:val="auto"/>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U.S. There is currently significant uncertainty about the future relationship between the U.S. and other countries with respect to trade policies, taxes, government regulations and tariffs. and we cannot predict whether, and to what extent, current tariffs will continue or trade policies will change in the future.</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customers could incur substantial costs as a result of violations of, or liabilities under, environmental laws.</w:t>
      </w:r>
    </w:p>
    <w:p>
      <w:pPr>
        <w:spacing w:after="0" w:line="91" w:lineRule="exact"/>
        <w:rPr>
          <w:sz w:val="20"/>
          <w:szCs w:val="20"/>
          <w:color w:val="auto"/>
        </w:rPr>
      </w:pPr>
    </w:p>
    <w:p>
      <w:pPr>
        <w:ind w:left="1400" w:right="579"/>
        <w:spacing w:after="0" w:line="259" w:lineRule="auto"/>
        <w:rPr>
          <w:sz w:val="20"/>
          <w:szCs w:val="20"/>
          <w:color w:val="auto"/>
        </w:rPr>
      </w:pPr>
      <w:r>
        <w:rPr>
          <w:rFonts w:ascii="Times New Roman" w:cs="Times New Roman" w:eastAsia="Times New Roman" w:hAnsi="Times New Roman"/>
          <w:sz w:val="14"/>
          <w:szCs w:val="14"/>
          <w:color w:val="auto"/>
        </w:rPr>
        <w:t>The operations and properties of our customers are subject to a variety of federal, state, local and foreign environmental, health and safety laws and regulations governing, among other things, air emissions, wastewater</w:t>
      </w:r>
    </w:p>
    <w:p>
      <w:pPr>
        <w:spacing w:after="0" w:line="1" w:lineRule="exact"/>
        <w:rPr>
          <w:sz w:val="20"/>
          <w:szCs w:val="20"/>
          <w:color w:val="auto"/>
        </w:rPr>
      </w:pPr>
    </w:p>
    <w:p>
      <w:pPr>
        <w:ind w:left="1400" w:right="399"/>
        <w:spacing w:after="0" w:line="250" w:lineRule="auto"/>
        <w:rPr>
          <w:sz w:val="20"/>
          <w:szCs w:val="20"/>
          <w:color w:val="auto"/>
        </w:rPr>
      </w:pPr>
      <w:r>
        <w:rPr>
          <w:rFonts w:ascii="Times New Roman" w:cs="Times New Roman" w:eastAsia="Times New Roman" w:hAnsi="Times New Roman"/>
          <w:sz w:val="14"/>
          <w:szCs w:val="14"/>
          <w:color w:val="auto"/>
        </w:rPr>
        <w:t>discharges, management and disposal of hazardous, non-hazardous and radioactive materials and waste and remediation of releases of hazardous materials. Although the Company’s business is to design and sell technology rather than to construct and own or operate power plants, we must design our technology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40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59" w:lineRule="auto"/>
        <w:rPr>
          <w:sz w:val="20"/>
          <w:szCs w:val="20"/>
          <w:color w:val="auto"/>
        </w:rPr>
      </w:pPr>
      <w:r>
        <w:rPr>
          <w:rFonts w:ascii="Times New Roman" w:cs="Times New Roman" w:eastAsia="Times New Roman" w:hAnsi="Times New Roman"/>
          <w:sz w:val="14"/>
          <w:szCs w:val="14"/>
          <w:color w:val="auto"/>
        </w:rPr>
        <w:t>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w:t>
      </w:r>
    </w:p>
    <w:p>
      <w:pPr>
        <w:spacing w:after="0" w:line="221" w:lineRule="exact"/>
        <w:rPr>
          <w:sz w:val="20"/>
          <w:szCs w:val="20"/>
          <w:color w:val="auto"/>
        </w:rPr>
      </w:pPr>
    </w:p>
    <w:p>
      <w:pPr>
        <w:ind w:left="1400" w:right="7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Our MMRs may not qualify as low-emissions or emissions-free pursuant to regulatory or incentive frameworks that consider emissions on a lifecycle basis or that otherwise account for fuel-cycle emissions or energy consumption.</w:t>
      </w:r>
    </w:p>
    <w:p>
      <w:pPr>
        <w:spacing w:after="0" w:line="41" w:lineRule="exact"/>
        <w:rPr>
          <w:sz w:val="20"/>
          <w:szCs w:val="20"/>
          <w:color w:val="auto"/>
        </w:rPr>
      </w:pPr>
    </w:p>
    <w:p>
      <w:pPr>
        <w:ind w:left="1400" w:right="519"/>
        <w:spacing w:after="0" w:line="254" w:lineRule="auto"/>
        <w:rPr>
          <w:sz w:val="20"/>
          <w:szCs w:val="20"/>
          <w:color w:val="auto"/>
        </w:rPr>
      </w:pPr>
      <w:r>
        <w:rPr>
          <w:rFonts w:ascii="Times New Roman" w:cs="Times New Roman" w:eastAsia="Times New Roman" w:hAnsi="Times New Roman"/>
          <w:sz w:val="14"/>
          <w:szCs w:val="14"/>
          <w:color w:val="auto"/>
        </w:rPr>
        <w:t>While our MMRs generate no air emissions during operations, including no so-called greenhouse gases, our MMRs may nonetheless not qualify as providers of emissions-free, carbon-free, low-carbon or similar generating resources under emissions-limitation schemes that assess emissions on a lifecycle basis or that otherwise consider emissions from energy consumed in our fuel cycle. The failure of our MMRs to qualify for inclusion in emissions reduction or climate change related emissions control schemes, or emissions-based incentive programs may result in higher costs or lower revenues for us or our customers, and may adversely impact the demand for our products from our customers, which could materially and adversely affect our business, financial condition and results of operations.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litigation that may materially adversely affect us.</w:t>
      </w:r>
    </w:p>
    <w:p>
      <w:pPr>
        <w:spacing w:after="0" w:line="91"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3"/>
          <w:szCs w:val="13"/>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210" w:lineRule="exact"/>
        <w:rPr>
          <w:sz w:val="20"/>
          <w:szCs w:val="20"/>
          <w:color w:val="auto"/>
        </w:rPr>
      </w:pPr>
    </w:p>
    <w:p>
      <w:pPr>
        <w:ind w:left="1400" w:right="6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Our failure to timely and effectively implement controls and procedures required by Section 404(a) of the Sarbanes-Oxley Act could negatively impact our business.</w:t>
      </w:r>
    </w:p>
    <w:p>
      <w:pPr>
        <w:spacing w:after="0" w:line="41"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We are required to provide management’s attestation on internal controls. The standards required for a public company under Section 404(a) of the Sarbanes-Oxley Act are significantly more stringent than those previously required of us as a privately held company. Management may not be able to effectively and timely implement controls and procedures that adequately respond to the increased regulatory compliance and reporting requirements applicable to us as a public company. If our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and to litigation from investors and shareholders,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40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 Relating to Tax Matters Applicable to Hadron Energy</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tariff or fiscal policies could adversely affect demand for our products.</w:t>
      </w:r>
    </w:p>
    <w:p>
      <w:pPr>
        <w:spacing w:after="0" w:line="91"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Imposition of any additional taxes and levies on our products could adversely affect the demand for our products and our results of operations. Changes in corporate and other taxation policies as well as changes in export and other incentives given by various governments, or import or tariff policies, could also adversely affect our results of operations. Considerable uncertainty surrounds the introduction and scope of tariffs by countries around the world, as well as the potential for trade actions, and the imposition of tariffs and trade restrictions as a result of international trade disputes or changes in trade policies may adversely affect our sales and profitability. The occurrence of any of the above may have a material adverse effect on our business, results of operations and financial condition.</w:t>
      </w:r>
    </w:p>
    <w:p>
      <w:pPr>
        <w:spacing w:after="0" w:line="227" w:lineRule="exact"/>
        <w:rPr>
          <w:sz w:val="20"/>
          <w:szCs w:val="20"/>
          <w:color w:val="auto"/>
        </w:rPr>
      </w:pPr>
    </w:p>
    <w:p>
      <w:pPr>
        <w:ind w:left="1400" w:right="7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Changes to taxation or the interpretation or application of tax laws could have an adverse impact on our results of operations and financial condition.</w:t>
      </w:r>
    </w:p>
    <w:p>
      <w:pPr>
        <w:spacing w:after="0" w:line="41" w:lineRule="exact"/>
        <w:rPr>
          <w:sz w:val="20"/>
          <w:szCs w:val="20"/>
          <w:color w:val="auto"/>
        </w:rPr>
      </w:pPr>
    </w:p>
    <w:p>
      <w:pPr>
        <w:ind w:left="1400" w:right="299"/>
        <w:spacing w:after="0" w:line="264" w:lineRule="auto"/>
        <w:rPr>
          <w:sz w:val="20"/>
          <w:szCs w:val="20"/>
          <w:color w:val="auto"/>
        </w:rPr>
      </w:pPr>
      <w:r>
        <w:rPr>
          <w:rFonts w:ascii="Times New Roman" w:cs="Times New Roman" w:eastAsia="Times New Roman" w:hAnsi="Times New Roman"/>
          <w:sz w:val="14"/>
          <w:szCs w:val="14"/>
          <w:color w:val="auto"/>
        </w:rPr>
        <w:t>Our business is expected to be subject to various taxes in different jurisdictions, which include, among others, U.S. federal, state and local taxes, and taxes in these and other jurisdictions where we may deploy MMRs in the future, such as regional trade taxes, value added taxes, excise duty, registration tax and other indirect taxes.</w:t>
      </w:r>
    </w:p>
    <w:p>
      <w:pPr>
        <w:spacing w:after="0" w:line="1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are exposed to the risk that our overall tax burden may increase in the future.</w:t>
      </w:r>
    </w:p>
    <w:p>
      <w:pPr>
        <w:spacing w:after="0" w:line="173" w:lineRule="exact"/>
        <w:rPr>
          <w:sz w:val="20"/>
          <w:szCs w:val="20"/>
          <w:color w:val="auto"/>
        </w:rPr>
      </w:pPr>
    </w:p>
    <w:p>
      <w:pPr>
        <w:ind w:left="1400" w:right="359"/>
        <w:spacing w:after="0" w:line="319" w:lineRule="auto"/>
        <w:rPr>
          <w:sz w:val="20"/>
          <w:szCs w:val="20"/>
          <w:color w:val="auto"/>
        </w:rPr>
      </w:pPr>
      <w:r>
        <w:rPr>
          <w:rFonts w:ascii="Times New Roman" w:cs="Times New Roman" w:eastAsia="Times New Roman" w:hAnsi="Times New Roman"/>
          <w:sz w:val="13"/>
          <w:szCs w:val="13"/>
          <w:color w:val="auto"/>
        </w:rPr>
        <w:t>Changes in tax laws or regulations, or in the position of the relevant authorities regarding the application, administration or interpretation of tax laws or regulations, particularly if applied retrospectively, could have a material adverse effect on our business, results of operations and financial condition.</w:t>
      </w:r>
    </w:p>
    <w:p>
      <w:pPr>
        <w:spacing w:after="0" w:line="103"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In addition, tax laws are complex and subject to subjective valuations and interpretive decisions. The tax authorities may not agree with our interpretations of, or the positions we have taken or intend to take on, tax laws applicable to our ordinary activities and extraordinary transactions. In case of challenges by the tax authorities to our interpretations, we could face long tax proceedings that could result in the payment of additional tax and penalties, with potential material adverse effects on our business, results of operations and financial condition.</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Hadron Energy’s Capital Resources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business requires substantial investment.</w:t>
      </w:r>
    </w:p>
    <w:p>
      <w:pPr>
        <w:spacing w:after="0" w:line="91"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Our current capital may not be sufficient to finance the total capital required for our business plan. To the extent we are unable to raise the level of capital we require, we may be required to make significant adjustments to our business plans in light of our available capital resources. For example, we may have to reduce future costs, which could materially impact our business plan, including potentially requiring us not to pursue some of our other strategic objectives and/or limit the resources available to further develop our design, sales and manufacturing efforts.</w:t>
      </w:r>
    </w:p>
    <w:p>
      <w:pPr>
        <w:spacing w:after="0" w:line="221"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58" w:lineRule="exact"/>
        <w:rPr>
          <w:sz w:val="20"/>
          <w:szCs w:val="20"/>
          <w:color w:val="auto"/>
        </w:rPr>
      </w:pPr>
    </w:p>
    <w:p>
      <w:pPr>
        <w:jc w:val="both"/>
        <w:ind w:left="1400" w:right="279"/>
        <w:spacing w:after="0" w:line="264" w:lineRule="auto"/>
        <w:rPr>
          <w:sz w:val="20"/>
          <w:szCs w:val="20"/>
          <w:color w:val="auto"/>
        </w:rPr>
      </w:pPr>
      <w:r>
        <w:rPr>
          <w:rFonts w:ascii="Times New Roman" w:cs="Times New Roman" w:eastAsia="Times New Roman" w:hAnsi="Times New Roman"/>
          <w:sz w:val="14"/>
          <w:szCs w:val="14"/>
          <w:color w:val="auto"/>
        </w:rPr>
        <w:t>Our business is capital intensive. We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40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Pursuant to our Plan, our Board is authorized to grant compensatory equity awards to our employees, directors and consultants. If the number of shares reserved under our Plan is increased pursuant to its terms, our stockholders may experience additional dilution, which could cause our stock price to fall. Any of the above events could significantly harm our business, prospects, financial condition and results of operations and cause the price of our Common Stock to decline.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corporate expenditures, including our corporate level expenses, are subject to numerous risks and uncertainties.</w:t>
      </w:r>
    </w:p>
    <w:p>
      <w:pPr>
        <w:spacing w:after="0" w:line="91" w:lineRule="exact"/>
        <w:rPr>
          <w:sz w:val="20"/>
          <w:szCs w:val="20"/>
          <w:color w:val="auto"/>
        </w:rPr>
      </w:pPr>
    </w:p>
    <w:p>
      <w:pPr>
        <w:jc w:val="both"/>
        <w:ind w:left="1400" w:right="339"/>
        <w:spacing w:after="0" w:line="285" w:lineRule="auto"/>
        <w:rPr>
          <w:sz w:val="20"/>
          <w:szCs w:val="20"/>
          <w:color w:val="auto"/>
        </w:rPr>
      </w:pPr>
      <w:r>
        <w:rPr>
          <w:rFonts w:ascii="Times New Roman" w:cs="Times New Roman" w:eastAsia="Times New Roman" w:hAnsi="Times New Roman"/>
          <w:sz w:val="13"/>
          <w:szCs w:val="13"/>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a disproportionately higher impact from inflation and rising costs.</w:t>
      </w:r>
    </w:p>
    <w:p>
      <w:pPr>
        <w:spacing w:after="0" w:line="91"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color w:val="auto"/>
        </w:rPr>
        <w:t>Recently, inflation has increased. 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the Hadron Halo, which could have a material adverse effect on our business, financial condition and results of operations.</w:t>
      </w:r>
    </w:p>
    <w:p>
      <w:pPr>
        <w:spacing w:after="0" w:line="228" w:lineRule="exact"/>
        <w:rPr>
          <w:sz w:val="20"/>
          <w:szCs w:val="20"/>
          <w:color w:val="auto"/>
        </w:rPr>
      </w:pPr>
    </w:p>
    <w:p>
      <w:pPr>
        <w:ind w:left="1400" w:right="6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If we incur indebtedness in the future, we could be exposed to risks that could adversely affect our business, financial condition and results of operations.</w:t>
      </w:r>
    </w:p>
    <w:p>
      <w:pPr>
        <w:spacing w:after="0" w:line="41" w:lineRule="exact"/>
        <w:rPr>
          <w:sz w:val="20"/>
          <w:szCs w:val="20"/>
          <w:color w:val="auto"/>
        </w:rPr>
      </w:pPr>
    </w:p>
    <w:p>
      <w:pPr>
        <w:ind w:left="1400" w:right="399"/>
        <w:spacing w:after="0" w:line="279" w:lineRule="auto"/>
        <w:rPr>
          <w:sz w:val="20"/>
          <w:szCs w:val="20"/>
          <w:color w:val="auto"/>
        </w:rPr>
      </w:pPr>
      <w:r>
        <w:rPr>
          <w:rFonts w:ascii="Times New Roman" w:cs="Times New Roman" w:eastAsia="Times New Roman" w:hAnsi="Times New Roman"/>
          <w:sz w:val="14"/>
          <w:szCs w:val="14"/>
          <w:color w:val="auto"/>
        </w:rPr>
        <w:t>In the future, we may incur additional indebtedness. Our indebtedness could have significant negative consequences for our security holders, business, results of operations and financial condition by, among other things:</w:t>
      </w:r>
    </w:p>
    <w:p>
      <w:pPr>
        <w:spacing w:after="0" w:line="53" w:lineRule="exact"/>
        <w:rPr>
          <w:sz w:val="20"/>
          <w:szCs w:val="20"/>
          <w:color w:val="auto"/>
        </w:rPr>
      </w:pPr>
    </w:p>
    <w:p>
      <w:pPr>
        <w:ind w:left="2140" w:hanging="33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and industry conditions;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99" w:lineRule="exact"/>
        <w:rPr>
          <w:rFonts w:ascii="Times New Roman" w:cs="Times New Roman" w:eastAsia="Times New Roman" w:hAnsi="Times New Roman"/>
          <w:sz w:val="14"/>
          <w:szCs w:val="14"/>
          <w:color w:val="auto"/>
        </w:rPr>
      </w:pPr>
    </w:p>
    <w:p>
      <w:pPr>
        <w:ind w:left="2140" w:right="699" w:hanging="333"/>
        <w:spacing w:after="0" w:line="279" w:lineRule="auto"/>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to plan for, or react to, changes in our business;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possible competitive disadvantage with competitors that are less leveraged than us or have better access to capital.</w:t>
      </w:r>
    </w:p>
    <w:p>
      <w:pPr>
        <w:spacing w:after="0" w:line="173"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40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actual operating results may differ significantly from our guidance.</w:t>
      </w:r>
    </w:p>
    <w:p>
      <w:pPr>
        <w:spacing w:after="0" w:line="91"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From time to time, we may release guidance in our quarterly or annual earnings releases, quarterly earnings conference calls, or otherwise, regarding our future performance that represents our management’s estimates as of the date of release. This guidance, which includes forward-looking statements, will be based on projections prepared by our management. These projections are not expected to be prepared with a view toward compliance with published guidelines of the American Institute of Certified Public Accountants, and neither our registered public accountants nor any other independent expert or outside party is expected to comply or examine the projections. Accordingly, no such person is expected to express any opinion or any other form of assurance with respect to the projections.</w:t>
      </w:r>
    </w:p>
    <w:p>
      <w:pPr>
        <w:spacing w:after="0" w:line="145"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143" w:lineRule="exact"/>
        <w:rPr>
          <w:sz w:val="20"/>
          <w:szCs w:val="20"/>
          <w:color w:val="auto"/>
        </w:rPr>
      </w:pPr>
    </w:p>
    <w:p>
      <w:pPr>
        <w:ind w:left="1400" w:right="559"/>
        <w:spacing w:after="0" w:line="282" w:lineRule="auto"/>
        <w:rPr>
          <w:sz w:val="20"/>
          <w:szCs w:val="20"/>
          <w:color w:val="auto"/>
        </w:rPr>
      </w:pPr>
      <w:r>
        <w:rPr>
          <w:rFonts w:ascii="Times New Roman" w:cs="Times New Roman" w:eastAsia="Times New Roman" w:hAnsi="Times New Roman"/>
          <w:sz w:val="14"/>
          <w:szCs w:val="14"/>
          <w:color w:val="auto"/>
        </w:rPr>
        <w:t>Any failure to successfully implement our operating strategy or the occurrence of any of the events or circumstances set forth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could result in our actual operating results being different from our guidance, and the differences may be adverse and material.</w:t>
      </w:r>
    </w:p>
    <w:p>
      <w:pPr>
        <w:spacing w:after="0" w:line="2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financial results may vary significantly from quarter to quarter.</w:t>
      </w:r>
    </w:p>
    <w:p>
      <w:pPr>
        <w:spacing w:after="0" w:line="91"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We expect our revenue and operating results to vary from quarter to quarter. We may incur significant operating expenses during the start-up and early stages of contracts and may not be able to recognize corresponding revenue in that same quarter. We may also incur additional expenses when contracts are terminated or expire and are not renewed. We may also incur additional expenses during the construction of our planned manufacturing and assembly facilities in the future.</w:t>
      </w:r>
    </w:p>
    <w:p>
      <w:pPr>
        <w:spacing w:after="0" w:line="137" w:lineRule="exact"/>
        <w:rPr>
          <w:sz w:val="20"/>
          <w:szCs w:val="20"/>
          <w:color w:val="auto"/>
        </w:rPr>
      </w:pPr>
    </w:p>
    <w:p>
      <w:pPr>
        <w:ind w:left="1400" w:right="599"/>
        <w:spacing w:after="0" w:line="282" w:lineRule="auto"/>
        <w:rPr>
          <w:sz w:val="20"/>
          <w:szCs w:val="20"/>
          <w:color w:val="auto"/>
        </w:rPr>
      </w:pPr>
      <w:r>
        <w:rPr>
          <w:rFonts w:ascii="Times New Roman" w:cs="Times New Roman" w:eastAsia="Times New Roman" w:hAnsi="Times New Roman"/>
          <w:sz w:val="14"/>
          <w:szCs w:val="14"/>
          <w:color w:val="auto"/>
        </w:rPr>
        <w:t>Additional factors that may cause our financial results to fluctuate from quarter to quarter include those addressed elsewhere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and the following factors, among others:</w:t>
      </w:r>
    </w:p>
    <w:p>
      <w:pPr>
        <w:spacing w:after="0" w:line="145" w:lineRule="exact"/>
        <w:rPr>
          <w:sz w:val="20"/>
          <w:szCs w:val="20"/>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customer contracts that affect the timing of revenue recognition;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variability in demand for our services and solutions;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completion or termination of contracts during any particular quarter;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award or performance incentive fee notices;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significant bid and proposal costs;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remediating unknown defects, errors or performance problems of our product offerings;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and delays related to the export of nuclear articles and services;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government inquiries;</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40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us or our competitors, such as acquisitions, divestitures, spin-offs and joint ventures;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investments or changes in business strategy;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extent to which we use subcontractors;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fluctuations in our staff utilization rates;</w:t>
      </w:r>
    </w:p>
    <w:p>
      <w:pPr>
        <w:spacing w:after="0" w:line="99" w:lineRule="exact"/>
        <w:rPr>
          <w:rFonts w:ascii="Times New Roman" w:cs="Times New Roman" w:eastAsia="Times New Roman" w:hAnsi="Times New Roman"/>
          <w:sz w:val="14"/>
          <w:szCs w:val="14"/>
          <w:color w:val="auto"/>
        </w:rPr>
      </w:pPr>
    </w:p>
    <w:p>
      <w:pPr>
        <w:ind w:left="2140" w:right="519" w:hanging="333"/>
        <w:spacing w:after="0" w:line="279" w:lineRule="auto"/>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effective tax rate, including changes in our judgment as to the necessity of the valuation allowance recorded against our deferred tax assets;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sales cycles.</w:t>
      </w:r>
    </w:p>
    <w:p>
      <w:pPr>
        <w:spacing w:after="0" w:line="173"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4"/>
          <w:szCs w:val="14"/>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w:t>
      </w:r>
    </w:p>
    <w:p>
      <w:pPr>
        <w:spacing w:after="0" w:line="208" w:lineRule="exact"/>
        <w:rPr>
          <w:sz w:val="20"/>
          <w:szCs w:val="20"/>
          <w:color w:val="auto"/>
        </w:rPr>
      </w:pPr>
    </w:p>
    <w:p>
      <w:pPr>
        <w:ind w:left="1400" w:right="43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If we experience significant fluctuations in our operating results and rate of growth and fail to meet revenue and earnings expectations, our stock price may fall rapidly and without advance notice.</w:t>
      </w:r>
    </w:p>
    <w:p>
      <w:pPr>
        <w:spacing w:after="0" w:line="41" w:lineRule="exact"/>
        <w:rPr>
          <w:sz w:val="20"/>
          <w:szCs w:val="20"/>
          <w:color w:val="auto"/>
        </w:rPr>
      </w:pPr>
    </w:p>
    <w:p>
      <w:pPr>
        <w:ind w:left="1400" w:right="399"/>
        <w:spacing w:after="0" w:line="259" w:lineRule="auto"/>
        <w:rPr>
          <w:sz w:val="20"/>
          <w:szCs w:val="20"/>
          <w:color w:val="auto"/>
        </w:rPr>
      </w:pPr>
      <w:r>
        <w:rPr>
          <w:rFonts w:ascii="Times New Roman" w:cs="Times New Roman" w:eastAsia="Times New Roman" w:hAnsi="Times New Roman"/>
          <w:sz w:val="14"/>
          <w:szCs w:val="14"/>
          <w:color w:val="auto"/>
        </w:rPr>
        <w:t>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spacing w:after="0" w:line="139" w:lineRule="exact"/>
        <w:rPr>
          <w:sz w:val="20"/>
          <w:szCs w:val="20"/>
          <w:color w:val="auto"/>
        </w:rPr>
      </w:pPr>
    </w:p>
    <w:p>
      <w:pPr>
        <w:ind w:left="1400" w:right="359"/>
        <w:spacing w:after="0" w:line="259" w:lineRule="auto"/>
        <w:rPr>
          <w:sz w:val="20"/>
          <w:szCs w:val="20"/>
          <w:color w:val="auto"/>
        </w:rPr>
      </w:pPr>
      <w:r>
        <w:rPr>
          <w:rFonts w:ascii="Times New Roman" w:cs="Times New Roman" w:eastAsia="Times New Roman" w:hAnsi="Times New Roman"/>
          <w:sz w:val="14"/>
          <w:szCs w:val="14"/>
          <w:color w:val="auto"/>
        </w:rPr>
        <w:t>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spacing w:after="0" w:line="1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revenue and operating results may also fluctuate due to other factors, including:</w:t>
      </w:r>
    </w:p>
    <w:p>
      <w:pPr>
        <w:spacing w:after="0" w:line="194" w:lineRule="exact"/>
        <w:rPr>
          <w:sz w:val="20"/>
          <w:szCs w:val="20"/>
          <w:color w:val="auto"/>
        </w:rPr>
      </w:pPr>
    </w:p>
    <w:p>
      <w:pPr>
        <w:ind w:left="2140" w:right="459" w:hanging="333"/>
        <w:spacing w:after="0" w:line="279"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milestones related to the design, development, manufacturing and sales of smaller, cheaper, and safer advanced clean energy solutions, including the Hadron Halo.</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relating to the size of the market for our nuclear reactors.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regulations of nuclear energy that add barriers to our business and have a negative effect on our operations.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expenses, future revenue, capital requirements and our needs for, or ability to obtain, additional financing.</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product and service introductions by our competitors.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difficulties or interruptions in our service.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 our geographic markets.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investment in our service or operations.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compliance costs.</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a result of these and other factors, we expect that our operating results may fluctuate significantly on a quarterly basis. We believe</w:t>
      </w:r>
    </w:p>
    <w:p>
      <w:pPr>
        <w:spacing w:after="0" w:line="21" w:lineRule="exact"/>
        <w:rPr>
          <w:sz w:val="20"/>
          <w:szCs w:val="20"/>
          <w:color w:val="auto"/>
        </w:rPr>
      </w:pPr>
    </w:p>
    <w:p>
      <w:pPr>
        <w:ind w:left="1400" w:right="819"/>
        <w:spacing w:after="0" w:line="257" w:lineRule="auto"/>
        <w:rPr>
          <w:sz w:val="20"/>
          <w:szCs w:val="20"/>
          <w:color w:val="auto"/>
        </w:rPr>
      </w:pPr>
      <w:r>
        <w:rPr>
          <w:rFonts w:ascii="Times New Roman" w:cs="Times New Roman" w:eastAsia="Times New Roman" w:hAnsi="Times New Roman"/>
          <w:sz w:val="14"/>
          <w:szCs w:val="14"/>
          <w:color w:val="auto"/>
        </w:rPr>
        <w:t>that period-to period comparisons of our operating results may not be meaningful, and you should not rely upon them as an indication of future performance.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40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Changes in our accounting estimates and assumptions could negatively affect our financial position and results of operations.</w:t>
      </w:r>
    </w:p>
    <w:p>
      <w:pPr>
        <w:spacing w:after="0" w:line="91" w:lineRule="exact"/>
        <w:rPr>
          <w:sz w:val="20"/>
          <w:szCs w:val="20"/>
          <w:color w:val="auto"/>
        </w:rPr>
      </w:pP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We prepare our financial statements in accordance with accounting principles generally accepted in the United States of America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financial statements.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pay dividends may be limited and the level of future dividends is subject to change.</w:t>
      </w:r>
    </w:p>
    <w:p>
      <w:pPr>
        <w:spacing w:after="0" w:line="9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We do not expect to pay dividends for the foreseeable future. Payment of dividends on our shares in the future will be subject to business conditions, financial conditions, earnings, cash balances, commitments, strategic plans and other factors that our Board may deem relevant at the time it recommends approval of the dividend. Any dividend policy, once adopted, will be subject to change based on changes in statutory requirements, market trends, strategic developments, capital requirements and a number of other factors. Further, we may not have sufficient cash to pay dividends in cash on our shares. We will be a holding company and our operations will be carried out through our subsidiary. As a result, our ability to pay dividends will primarily depend on the ability of our subsidiary to generate earnings and to provide us with the necessary financial resources.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the Company’s Securities</w:t>
      </w:r>
    </w:p>
    <w:p>
      <w:pPr>
        <w:spacing w:after="0" w:line="89" w:lineRule="exact"/>
        <w:rPr>
          <w:sz w:val="20"/>
          <w:szCs w:val="20"/>
          <w:color w:val="auto"/>
        </w:rPr>
      </w:pPr>
    </w:p>
    <w:p>
      <w:pPr>
        <w:ind w:left="1400" w:right="31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future sales, of our Common Stock by us or our existing stockholders in the public market could cause the market price of our Common Stock to drop significantly, even if our business is doing well.</w:t>
      </w:r>
    </w:p>
    <w:p>
      <w:pPr>
        <w:spacing w:after="0" w:line="41" w:lineRule="exact"/>
        <w:rPr>
          <w:sz w:val="20"/>
          <w:szCs w:val="20"/>
          <w:color w:val="auto"/>
        </w:rPr>
      </w:pPr>
    </w:p>
    <w:p>
      <w:pPr>
        <w:ind w:left="1400" w:right="279"/>
        <w:spacing w:after="0" w:line="285" w:lineRule="auto"/>
        <w:rPr>
          <w:sz w:val="20"/>
          <w:szCs w:val="20"/>
          <w:color w:val="auto"/>
        </w:rPr>
      </w:pPr>
      <w:r>
        <w:rPr>
          <w:rFonts w:ascii="Times New Roman" w:cs="Times New Roman" w:eastAsia="Times New Roman" w:hAnsi="Times New Roman"/>
          <w:sz w:val="13"/>
          <w:szCs w:val="13"/>
          <w:color w:val="auto"/>
        </w:rPr>
        <w:t>Sales of a substantial number of shares of Common Stock in the public market, including the resale of the shares of Common Stock held by our stockholders pursuant to this prospectus or pursuant to Rule 144, could occur at any time. These sales, or the perception in the market that the holders of a large number of shares of Common Stock intend to sell shares, could reduce the market price of our Common Stock. These sales, or the possibility that these sales may occur, also might make it more difficult for us to sell equity securities in the future at a time and at a price that we deem appropriate.</w:t>
      </w:r>
    </w:p>
    <w:p>
      <w:pPr>
        <w:spacing w:after="0" w:line="124"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All shares issued as merger consideration in the Business Combination are freely tradable without registration under the Securities Act and without restriction by persons other than our “affiliates” (as defined under Rule 144 under the Securities Act), including our directors, executive officers and other affiliates. We have registered in this resale registration statement on Form S-1 securities held by certain of our stockholders who have the right, subject to certain conditions, to require us to register the sale of their shares of Common Stock under the Securities Act, pursuant to the terms of the Amended and Restated Registration Rights Agreement entered into in connection with the Business Combination. Registration Rights Holders holding at least a majority in interest of the registrable securities are entitled to make a written demand for registration under the Securities Act of all or part of their registrable securities, up to a total of three such demands, and also have “piggy-back” registration rights. The sale of a large number of shares by these stockholders could cause the prevailing market price of shares of our Common Stock to decline. Significant sales of shares of Common Stock may have negative pressure on the public trading price of our Common Stock.</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40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6" w:lineRule="auto"/>
        <w:rPr>
          <w:sz w:val="20"/>
          <w:szCs w:val="20"/>
          <w:color w:val="auto"/>
        </w:rPr>
      </w:pPr>
      <w:r>
        <w:rPr>
          <w:rFonts w:ascii="Times New Roman" w:cs="Times New Roman" w:eastAsia="Times New Roman" w:hAnsi="Times New Roman"/>
          <w:sz w:val="14"/>
          <w:szCs w:val="14"/>
          <w:color w:val="auto"/>
        </w:rPr>
        <w:t>The shares being registered for resale by the Selling Securityholders pursuant to this prospectus represent a substantial portion of the total number of shares of our Common Stock outstanding, based on the number of shares outstanding as of June 12, 2026. Certain of our stockholders, including the Sponsor, acquired their shares at prices substantially below the current market price of our Common Stock. For example, the Sponsor acquired Founder Shares at an effective purchase price of $0.00979696 per share. Certain of our stockholders may have an incentive to sell their shares because they will still profit on sales due to the significantly lower prices at which they purchased their shares.</w:t>
      </w:r>
    </w:p>
    <w:p>
      <w:pPr>
        <w:spacing w:after="0" w:line="142"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In addition, certain of our stockholders are subject to the Lock-Up Agreement, which restricts transfers of shares until the earlier of (a) six months following the Closing, (b) subsequent to the Closing, the date on which the closing price of our Common Stock equals or exceeds $11.50 per share for any twenty trading days within any thirty consecutive trading day period commencing at least ninety days after the Closing, or (c) subsequent to the Closing, the date on which the Company completes a liquidation, merger, stock exchange or other similar transaction. Upon the expiration of the applicable lock-up periods, such stockholders will not be restricted from selling shares of our Common Stock held by them, other than by applicable securities laws, and a significant number of additional shares will become eligible for sale in the public market, which could cause the market price of our Common Stock to decline.</w:t>
      </w:r>
    </w:p>
    <w:p>
      <w:pPr>
        <w:spacing w:after="0" w:line="145" w:lineRule="exact"/>
        <w:rPr>
          <w:sz w:val="20"/>
          <w:szCs w:val="20"/>
          <w:color w:val="auto"/>
        </w:rPr>
      </w:pPr>
    </w:p>
    <w:p>
      <w:pPr>
        <w:ind w:left="1400" w:right="35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in the U.S. may strain the Company’s resources and divert management’s attention, and the increases in legal, accounting and compliance expenses that result from being a public company in the U.S. may be greater than we anticipate.</w:t>
      </w:r>
    </w:p>
    <w:p>
      <w:pPr>
        <w:spacing w:after="0" w:line="41" w:lineRule="exact"/>
        <w:rPr>
          <w:sz w:val="20"/>
          <w:szCs w:val="20"/>
          <w:color w:val="auto"/>
        </w:rPr>
      </w:pPr>
    </w:p>
    <w:p>
      <w:pPr>
        <w:ind w:left="1400" w:right="359"/>
        <w:spacing w:after="0" w:line="252" w:lineRule="auto"/>
        <w:rPr>
          <w:sz w:val="20"/>
          <w:szCs w:val="20"/>
          <w:color w:val="auto"/>
        </w:rPr>
      </w:pPr>
      <w:r>
        <w:rPr>
          <w:rFonts w:ascii="Times New Roman" w:cs="Times New Roman" w:eastAsia="Times New Roman" w:hAnsi="Times New Roman"/>
          <w:sz w:val="14"/>
          <w:szCs w:val="14"/>
          <w:color w:val="auto"/>
        </w:rPr>
        <w:t>Requirements associated with being a public company in the United States require significant resources and management attention. We are subject to certain reporting requirements of the Exchange Act, and the other rules and regulations of the SEC, and Nasdaq. We are also subject to various other regulatory requirements, including the Sarbanes-Oxley Act. We expect these rules and regulations to increase our legal, accounting and financial compliance costs and to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We cannot predict or estimate the amount of additional costs we will incur as a public company or the timing of such costs. In addition, complying with rules and regulations and the increasingly complex laws pertaining to public companies requires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may also need to hire additional personnel to support our financial reporting function and may face challenges in doing so.</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There is no guarantee that the Warrants will ever be in the money, and they may expire worthless.</w:t>
      </w:r>
    </w:p>
    <w:p>
      <w:pPr>
        <w:spacing w:after="0" w:line="91" w:lineRule="exact"/>
        <w:rPr>
          <w:sz w:val="20"/>
          <w:szCs w:val="20"/>
          <w:color w:val="auto"/>
        </w:rPr>
      </w:pPr>
    </w:p>
    <w:p>
      <w:pPr>
        <w:ind w:left="1400" w:right="259"/>
        <w:spacing w:after="0" w:line="279" w:lineRule="auto"/>
        <w:rPr>
          <w:sz w:val="20"/>
          <w:szCs w:val="20"/>
          <w:color w:val="auto"/>
        </w:rPr>
      </w:pPr>
      <w:r>
        <w:rPr>
          <w:rFonts w:ascii="Times New Roman" w:cs="Times New Roman" w:eastAsia="Times New Roman" w:hAnsi="Times New Roman"/>
          <w:sz w:val="14"/>
          <w:szCs w:val="14"/>
          <w:color w:val="auto"/>
        </w:rPr>
        <w:t>The exercise price for the Warrants is either $11.50 or $12.00 per share of Common Stock, subject to adjustment. There is no guarantee that the Warrants will ever be in the money prior to their expiration, and as such, the Warrants may expire worthless.</w:t>
      </w:r>
    </w:p>
    <w:p>
      <w:pPr>
        <w:spacing w:after="0" w:line="208" w:lineRule="exact"/>
        <w:rPr>
          <w:sz w:val="20"/>
          <w:szCs w:val="20"/>
          <w:color w:val="auto"/>
        </w:rPr>
      </w:pPr>
    </w:p>
    <w:p>
      <w:pPr>
        <w:ind w:left="1400" w:right="67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Your unexpired Public Warrants may be redeemed prior to their exercise at a time that is disadvantageous to you, thereby making your Public Warrants worthless.</w:t>
      </w:r>
    </w:p>
    <w:p>
      <w:pPr>
        <w:spacing w:after="0" w:line="41" w:lineRule="exact"/>
        <w:rPr>
          <w:sz w:val="20"/>
          <w:szCs w:val="20"/>
          <w:color w:val="auto"/>
        </w:rPr>
      </w:pPr>
    </w:p>
    <w:p>
      <w:pPr>
        <w:ind w:left="1400" w:right="319"/>
        <w:spacing w:after="0" w:line="235" w:lineRule="auto"/>
        <w:rPr>
          <w:sz w:val="20"/>
          <w:szCs w:val="20"/>
          <w:color w:val="auto"/>
        </w:rPr>
      </w:pPr>
      <w:r>
        <w:rPr>
          <w:rFonts w:ascii="Times New Roman" w:cs="Times New Roman" w:eastAsia="Times New Roman" w:hAnsi="Times New Roman"/>
          <w:sz w:val="14"/>
          <w:szCs w:val="14"/>
          <w:color w:val="auto"/>
        </w:rPr>
        <w:t>Outstanding Public Warrants may be redeemed at any time after they become exercisable and prior to their expiration, at a price of $0.01 per Public Warrant, provided that the last reported sales price of our Common Stock equals or exceeds $18.00 per share (as adjusted for stock splits, stock capitalizations, reorganizations, recapitalizations and the like) for any twenty (20) Trading Days within a thirty (30) Trading-Day period ending on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4"/>
          <w:szCs w:val="14"/>
          <w:color w:val="auto"/>
        </w:rPr>
        <w:t>) Trading Day prior to the date the Company sends the notice of redemption to the Warrant holders. If and when the Public Warrants become redeemable by the Company, the Company may exercise its redemption rights if there is an effective registration statement covering the Common Stock issuable upon</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40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exercise of the Public Warrants, and a current prospectus relating thereto, available throughout the 30-day redemption period or the Company has elected to require the exercise of the Warrants on a “cashless basis”; provided, however, that if and when the Public Warrants become redeemable by the Company, the Company may not exercise such redemption right if the issuance of Common Stock upon exercise of the Public Warrants is not exempt from registration or qualification under applicable state blue sky laws or the Company is unable to effect such registration or qualification. Redemption of the outstanding Public Warrants could force you (a) to exercise your Public Warrants and pay the exercise price at a time when it may be disadvantageous for you to do so, (b) to sell your Public Warrants at the then-current market price when you might otherwise wish to hold your Public Warrants or (c) to accept the nominal redemption price which, at the time the outstanding Public Warrants are called for redemption, is likely to be substantially less than the market value of your Warrants.</w:t>
      </w:r>
    </w:p>
    <w:p>
      <w:pPr>
        <w:spacing w:after="0" w:line="142" w:lineRule="exact"/>
        <w:rPr>
          <w:sz w:val="20"/>
          <w:szCs w:val="20"/>
          <w:color w:val="auto"/>
        </w:rPr>
      </w:pPr>
    </w:p>
    <w:p>
      <w:pPr>
        <w:ind w:left="1400" w:right="7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If the Company does not maintain a current and effective prospectus relating to the shares of Common Stock issuable upon exercise of the Warrants, public holders will only be able to exercise such warrants on a “cashless basis” which would result in a fewer number of shares of Common Stock being issued to the holder had such holder exercised the warrants for cash.</w:t>
      </w:r>
    </w:p>
    <w:p>
      <w:pPr>
        <w:spacing w:after="0" w:line="136"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If the Company does not maintain a current and effective prospectus relating to the Common Stock issuable upon exercise of the public warrants at the time that holders wish to exercise such Warrants, they will only be able to exercise them on a “cashless basis” provided that an exemption from registration is available. As a result, the number of warrant shares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warrant shares issuable upon exercise of the warrants is available. Under the terms of the warrant agreement, the Company has agreed to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 expiration of the warrants. However, we cannot assure you that we will be able to do so. If we are unable to do so, the potential “upside” of the holder’s investment in our company may be reduced or the warrants may expire worthless. In no event will the Company be required to net cash settle any warrant, or issue securities or other compensation in exchange for the warrants in the event that the Company is unable to register or qualify the shares underlying the warrants under the Securities Act or applicable state securities laws. If the issuance of the shares of Common Stock upon exercise of the warrants is not so registered or qualified or exempt from registration or qualification, the holder of such warrants shall not be entitled to exercise such warrants and such warrants may have no value and expire worthless. In such event, holders who acquired their public warrants as part of a purchase of public units will have paid the full unit purchase price solely for the shares of Common Stock included in the public units. Notwithstanding the foregoing, the private placement warrants may be exercisable for unregistered warrant shares for cash even if the prospectus relating to the warrant shares issuable upon exercise of the warrants is not current and effective.</w:t>
      </w:r>
    </w:p>
    <w:p>
      <w:pPr>
        <w:spacing w:after="0" w:line="233" w:lineRule="exact"/>
        <w:rPr>
          <w:sz w:val="20"/>
          <w:szCs w:val="20"/>
          <w:color w:val="auto"/>
        </w:rPr>
      </w:pPr>
    </w:p>
    <w:p>
      <w:pPr>
        <w:ind w:left="1400" w:right="4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Charter provides,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53"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Our Charter provides, subject to limited exceptions, that the courts of the State of Delaware (or, in the event that the Court of Chancery of the State of Delaware does not have jurisdiction, the federal district court for the District of Delaware or other state courts of the State of Delaware) will, to the fullest extent permitted by law, be the sole and exclusive forum for certain stockholder litigation matters, which could limit our stockholders’ ability to obtain a favorable judicial forum for disputes with us or our directors, officers, employees or stockholders. Our Charter requires, to the fullest extent permitted by law, that (i) any derivative action or proceeding brought in our name or right or on our behalf, (ii) any action asserting a claim of breach of a fiduciary duty owed by any of our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40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49" w:lineRule="auto"/>
        <w:rPr>
          <w:sz w:val="20"/>
          <w:szCs w:val="20"/>
          <w:color w:val="auto"/>
        </w:rPr>
      </w:pPr>
      <w:r>
        <w:rPr>
          <w:rFonts w:ascii="Times New Roman" w:cs="Times New Roman" w:eastAsia="Times New Roman" w:hAnsi="Times New Roman"/>
          <w:sz w:val="14"/>
          <w:szCs w:val="14"/>
          <w:color w:val="auto"/>
        </w:rPr>
        <w:t>directors, officers, employees, agents or stockholders to us or our stockholders, (iii) any action arising pursuant to any provision of the Delaware General Corporation Law (the “DGCL”), our Amended and Restated Certificate of Incorporation (including any Preferred Stock Designation) or our Bylaws or as to which the DGCL confers jurisdiction on the Court of Chancery, (iv) any action to interpret, apply, enforce or determine the validity of our Amended and Restated Certificate of Incorporation (including any Preferred Stock Designation) or our Bylaws, or (v) any action asserting a claim governed by the internal affairs doctrine, shall be brought exclusively in the Court of Chancery of the State of Delaware (or, in the event that the Court of Chancery of the State of Delaware does not have jurisdiction, the federal district court for the District of Delaware or other state courts of the State of Delaware), in each case subject to such court having personal jurisdiction over the indispensable parties named as defendants therein. Furthermore, unless we consent in writing to the selection of an alternative forum, with respect to claims that are not internal corporate claims, stockholders, when acting in their capacity as stockholders or in the right of the Corporation, must bring any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in each case subject to the applicable court having personal jurisdiction over the indispensable parties named as defendants. Direct claims brought under the Exchange Act can be brought in the U.S. federal courts as Section 27 of the Exchange Act provides for exclusive jurisdiction of such claims in the U.S. federal courts, and pursuant to Section 29(a) of the Exchange Act, the Company cannot bind a stockholder to waive compliance with such jurisdictional requirement. As such, the forum selection provision set forth in our Charter will not affect that direct claims under the Exchange Act are to be brought in the U.S. federal courts. In addition, because the Court of Chancery does not have jurisdiction over claims brought under the Exchange Act, any derivative claims under Section 14(a) need to be brought in the federal court for the District of Delaware. Any person or entity purchasing or otherwise acquiring any interest in our securities will be deemed to have notice of and to have consented to the exclusive forum provisions in our Charter, and, if an action within the scope of the forum provision is filed in a court other than a court located within the State of Delaware, such stockholder will be deemed to have consented to the personal jurisdiction of the state and federal courts located within the State of Delaware in connection with any action brought to enforce the forum provisions and to service of process through such stockholder’s counsel in the foreign action. In addition, unless we consent in writing to the selection of an alternative forum, the U.S. federal district courts will, to the fullest extent permitted by law, be the sole and exclusive forum for the resolution of any complaint asserting a cause of action arising under the Securities Act. This federal forum provision pertaining to causes of action arising under the Securities Act does not apply to suits brought to enforce a duty or liability created by the Exchange Act, or the rules and regulations thereunder, or to any other claim for which the U.S. federal courts have exclusive jurisdiction.</w:t>
      </w:r>
    </w:p>
    <w:p>
      <w:pPr>
        <w:spacing w:after="0" w:line="243" w:lineRule="exact"/>
        <w:rPr>
          <w:sz w:val="20"/>
          <w:szCs w:val="20"/>
          <w:color w:val="auto"/>
        </w:rPr>
      </w:pPr>
    </w:p>
    <w:p>
      <w:pPr>
        <w:ind w:left="1400" w:right="55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Company qualifies as a “</w:t>
      </w:r>
      <w:r>
        <w:rPr>
          <w:rFonts w:ascii="Times New Roman" w:cs="Times New Roman" w:eastAsia="Times New Roman" w:hAnsi="Times New Roman"/>
          <w:sz w:val="14"/>
          <w:szCs w:val="14"/>
          <w:b w:val="1"/>
          <w:bCs w:val="1"/>
          <w:color w:val="auto"/>
        </w:rPr>
        <w:t>controlled company</w:t>
      </w:r>
      <w:r>
        <w:rPr>
          <w:rFonts w:ascii="Times New Roman" w:cs="Times New Roman" w:eastAsia="Times New Roman" w:hAnsi="Times New Roman"/>
          <w:sz w:val="14"/>
          <w:szCs w:val="14"/>
          <w:b w:val="1"/>
          <w:bCs w:val="1"/>
          <w:i w:val="1"/>
          <w:iCs w:val="1"/>
          <w:color w:val="auto"/>
        </w:rPr>
        <w:t>” within the meaning of the Nasdaq corporate governance rules and may choose to rely on available exemptions to corporate governance standards available to a “controlled company” that differ significantly from Nasdaq corporate governance listing standards applicable to domestic U.S. companies. These practices may afford less protection to shareholders than they would enjoy if the Company complied fully with Nasdaq corporate governance listing standards.</w:t>
      </w:r>
    </w:p>
    <w:p>
      <w:pPr>
        <w:spacing w:after="0" w:line="55" w:lineRule="exact"/>
        <w:rPr>
          <w:sz w:val="20"/>
          <w:szCs w:val="20"/>
          <w:color w:val="auto"/>
        </w:rPr>
      </w:pPr>
    </w:p>
    <w:p>
      <w:pPr>
        <w:ind w:left="1400" w:right="739"/>
        <w:spacing w:after="0" w:line="279" w:lineRule="auto"/>
        <w:rPr>
          <w:sz w:val="20"/>
          <w:szCs w:val="20"/>
          <w:color w:val="auto"/>
        </w:rPr>
      </w:pPr>
      <w:r>
        <w:rPr>
          <w:rFonts w:ascii="Times New Roman" w:cs="Times New Roman" w:eastAsia="Times New Roman" w:hAnsi="Times New Roman"/>
          <w:sz w:val="13"/>
          <w:szCs w:val="13"/>
          <w:color w:val="auto"/>
        </w:rPr>
        <w:t>The Company qualifies as a “controlled company” as defined under the Nasdaq rules because Mr. Gibson, Founder, Chief Executive Officer and Director, will own more than 50% of the total voting power of all issued and outstanding Common Stock. For so long as the Company remains</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 controlled company under that definition, it is permitted to elect to rely, and may rely, on certain exemptions from Nasdaq corporate governance rules.</w:t>
      </w:r>
    </w:p>
    <w:p>
      <w:pPr>
        <w:spacing w:after="0" w:line="16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As a “controlled company”, the Company is permitted to elect to rely, and may rely, on certain exemptions from corporate governance rules, including</w:t>
      </w:r>
    </w:p>
    <w:p>
      <w:pPr>
        <w:spacing w:after="0" w:line="32" w:lineRule="exact"/>
        <w:rPr>
          <w:sz w:val="20"/>
          <w:szCs w:val="20"/>
          <w:color w:val="auto"/>
        </w:rPr>
      </w:pPr>
    </w:p>
    <w:p>
      <w:pPr>
        <w:jc w:val="both"/>
        <w:ind w:left="1400" w:right="379" w:hanging="10"/>
        <w:spacing w:after="0" w:line="253" w:lineRule="auto"/>
        <w:tabs>
          <w:tab w:leader="none" w:pos="156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rule that a majority of our Board must be independent directors; (ii) an exemption from the rule that director nominees must be selected or recommended solely by independent directors; and (iii) an exemption from the rule that the compensation committee must be comprised solely of independent directors.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40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5" w:lineRule="exact"/>
        <w:rPr>
          <w:sz w:val="20"/>
          <w:szCs w:val="20"/>
          <w:color w:val="auto"/>
        </w:rPr>
      </w:pPr>
    </w:p>
    <w:p>
      <w:pPr>
        <w:jc w:val="both"/>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All of the Common Stock offered by the Selling Securityholders pursuant to this prospectus will be sold by the Selling Securityholders for their respective accounts. We will not receive any of the proceeds from these sales. See the section 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elsewhere in this prospectus for more information.</w:t>
      </w:r>
    </w:p>
    <w:p>
      <w:pPr>
        <w:spacing w:after="0" w:line="136"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We will receive up to an aggregate of approximately $333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40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1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Our Common Stock is listed on Nasdaq under the symbol “HDRN,” and our Public Warrants are traded on Nasdaq under the symbol “HDRNW.”</w:t>
      </w:r>
    </w:p>
    <w:p>
      <w:pPr>
        <w:spacing w:after="0" w:line="184"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actual offering price by the Selling Securityholders of the shares of Common Stock and the Warrants and by the Selling Securityholders of the shares of Common Stock covered by this prospectus will be determined by prevailing market prices at the time of sale, by private transactions negotiated by the Selling Securityholders or as otherwise described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40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5"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The Company has not paid any cash dividends on the Common Stock to date. The Company may retain future earnings, if any, for future operations, expansion and debt repayment and has no current plans to pay cash dividends for the foreseeable future. Any decision to declare and pay dividends in the future will be made at the discretion of the Board and will depend on, among other things, the Company’s results of operations, financial condition, cash requirements, contractual restrictions and other factors that the Board may deem relevant. In addition, the Company’s ability to pay dividends may be limited by covenants of any existing and future outstanding indebtedness the Company or its subsidiaries incur. The Company does not anticipate declaring any cash dividends to holders of the Common Stock in the foreseeable future.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40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UNAUDITED PRO FORMA COMBINED FINANCIAL INFORMATION</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Introduction</w:t>
      </w:r>
    </w:p>
    <w:p>
      <w:pPr>
        <w:spacing w:after="0" w:line="91" w:lineRule="exact"/>
        <w:rPr>
          <w:sz w:val="20"/>
          <w:szCs w:val="20"/>
          <w:color w:val="auto"/>
        </w:rPr>
      </w:pPr>
    </w:p>
    <w:p>
      <w:pPr>
        <w:ind w:left="1400" w:right="259"/>
        <w:spacing w:after="0" w:line="252"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as of March 31, 2026 presents the combination of the unaudited consolidated combined financial statements as of March 31, 2026 of GigCapital7 upon the Closing of the Merger and the other transactions contemplated by the Business Combination Agreement and the unaudited financial statements as of March 31, 2026 of Private Hadron, adjusted to give effect to the Business Combination and related transactions. Upon the Closing of the Merger, Private Hadron’s name was changed to Hadron Energy Operating Company Inc. The following unaudited pro forma condensed combined financial statements have been prepared in accordance with Article 11 of Regulation S-X as amended by the final rule, Release No. 33-10786 “Amendments to Financial Disclosures about Acquired and Disposed Businesses” to depict the accounting for the transaction (“Transaction Accounting Adjustments”) and present the reasonably estimable synergies and other transaction effects that have occurred or are reasonably expected to occur (“Management’s Adjustments”). The Company has elected not to present Management’s Adjustments and is only presenting Transaction Accounting Adjustments in the unaudited pro forma condensed combined financial statements.</w:t>
      </w:r>
    </w:p>
    <w:p>
      <w:pPr>
        <w:spacing w:after="0" w:line="145"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statements as of March 31, 2026, assumes that the Business Combination occurred on March 31, 2026. The unaudited pro forma combined statement of operations for the three months ended March 31, 2026 combines the historical unaudited condensed statements of operations of GigCapital7 for the three months ended March 31, 2026 and the historical unaudited condensed consolidated statement of operations of Private Hadron for the three months ended March 31, 2026, on a pro forma basis as if the Business Combination had been consummated on January 1, 2025, the beginning of the earliest period presented.</w:t>
      </w:r>
    </w:p>
    <w:p>
      <w:pPr>
        <w:spacing w:after="0" w:line="142" w:lineRule="exact"/>
        <w:rPr>
          <w:sz w:val="20"/>
          <w:szCs w:val="20"/>
          <w:color w:val="auto"/>
        </w:rPr>
      </w:pPr>
    </w:p>
    <w:p>
      <w:pPr>
        <w:ind w:left="1400" w:right="419"/>
        <w:spacing w:after="0" w:line="264" w:lineRule="auto"/>
        <w:rPr>
          <w:sz w:val="20"/>
          <w:szCs w:val="20"/>
          <w:color w:val="auto"/>
        </w:rPr>
      </w:pPr>
      <w:r>
        <w:rPr>
          <w:rFonts w:ascii="Times New Roman" w:cs="Times New Roman" w:eastAsia="Times New Roman" w:hAnsi="Times New Roman"/>
          <w:sz w:val="14"/>
          <w:szCs w:val="14"/>
          <w:color w:val="auto"/>
        </w:rPr>
        <w:t>The unaudited pro forma combined statement of operations for the year ended December 31, 2025 combines the historical audited statements of operations of GigCapital7 for the year ended December 31, 2025 and the historical audited consolidated statement of operations of Private Hadron for the year ended December 31, 2025, on a pro forma basis as if the Business Combination had been consummated on January 1, 2025.</w:t>
      </w:r>
    </w:p>
    <w:p>
      <w:pPr>
        <w:spacing w:after="0" w:line="136"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The unaudited pro forma condensed combined financial statements have been presented for illustrative purposes only and do not necessarily reflect the Company’s financial condition upon the Closing of the Merger and the Business Combination (the Company following such Closing, the “Post-Combination Company”) or would have been had the Business Combination occurred on the dates indicated. Further, the pro forma condensed combined financial statements also may not be useful in predicting the future financial condition of the Post-Combination Company. Although it is not expected, the actual financial position of the Post-Combination Company may differ from the pro forma amounts reflected herein due to a variety of factors.</w:t>
      </w:r>
    </w:p>
    <w:p>
      <w:pPr>
        <w:spacing w:after="0" w:line="145"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The historical financial information of the Company was derived from the unaudited consolidated financial statements of the Company as of March 31, 2026 previously filed with the SEC by the Company on its Quarterly Report on Form 10-Q on May 6, 2026. The historical financial information of Private Hadron was derived from the unaudited financial statements of Private Hadron as of March 31, 2026. This information should be read together with the Company’s and Private Hadron’s financial statements and related notes.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 Combination</w:t>
      </w:r>
    </w:p>
    <w:p>
      <w:pPr>
        <w:spacing w:after="0" w:line="91" w:lineRule="exact"/>
        <w:rPr>
          <w:sz w:val="20"/>
          <w:szCs w:val="20"/>
          <w:color w:val="auto"/>
        </w:rPr>
      </w:pPr>
    </w:p>
    <w:p>
      <w:pPr>
        <w:ind w:left="1400" w:right="259"/>
        <w:spacing w:after="0" w:line="256" w:lineRule="auto"/>
        <w:rPr>
          <w:sz w:val="20"/>
          <w:szCs w:val="20"/>
          <w:color w:val="auto"/>
        </w:rPr>
      </w:pPr>
      <w:r>
        <w:rPr>
          <w:rFonts w:ascii="Times New Roman" w:cs="Times New Roman" w:eastAsia="Times New Roman" w:hAnsi="Times New Roman"/>
          <w:sz w:val="14"/>
          <w:szCs w:val="14"/>
          <w:color w:val="auto"/>
        </w:rPr>
        <w:t>On September 27, 2025, the Company entered into the Business Combination Agreement with Private Hadron and Merger Sub, pursuant to which, among other things, subject to shareholder approval, following the domestication of the Company from the Cayman Islands to Delaware, which occurred on May 8, 2026 (the “Domestication”), Merger Sub merged with and into Private Hadron, with Private Hadron surviving as a wholly-owned subsidiary of the Company, resulting in a combined company whereby the Company became the parent company of Private Hadron, and substantially all of the assets and the business of the combined company are held by the Company and its subsidiaries.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40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64" w:lineRule="auto"/>
        <w:rPr>
          <w:sz w:val="20"/>
          <w:szCs w:val="20"/>
          <w:color w:val="auto"/>
        </w:rPr>
      </w:pPr>
      <w:r>
        <w:rPr>
          <w:rFonts w:ascii="Times New Roman" w:cs="Times New Roman" w:eastAsia="Times New Roman" w:hAnsi="Times New Roman"/>
          <w:sz w:val="14"/>
          <w:szCs w:val="14"/>
          <w:color w:val="auto"/>
        </w:rPr>
        <w:t>Prior to and as a condition of the Closing, pursuant to the Domestication, GigCapital7 changed its jurisdiction of incorporation by migrating to and domesticating as a Delaware corporation in accordance with Section 388 of the DGCL, and the Companies Act (as revised) of the Cayman Islands (the “Companies Act”).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Domestication</w:t>
      </w:r>
    </w:p>
    <w:p>
      <w:pPr>
        <w:spacing w:after="0" w:line="91"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The Company, on May 8, 2026, changed its jurisdiction of incorporation by effecting a deregistration under Section 206 of the Companies Act and a domestication under Section 388 of the DGCL, pursuant to which the Company’s jurisdiction of incorporation was changed from the Cayman Islands to the State of Delaware. The Company provided its public stockholders the opportunity to redeem their public shares on the terms and conditions set forth in the Business Combination Agreement and the Company’s governing documents. A total of 16,834,491 public shares were tendered for redemption and the Company completed the redemption of these properly tendered public shares promptly following the consummation of the Business Combination.</w:t>
      </w:r>
    </w:p>
    <w:p>
      <w:pPr>
        <w:spacing w:after="0" w:line="145" w:lineRule="exact"/>
        <w:rPr>
          <w:sz w:val="20"/>
          <w:szCs w:val="20"/>
          <w:color w:val="auto"/>
        </w:rPr>
      </w:pPr>
    </w:p>
    <w:p>
      <w:pPr>
        <w:ind w:left="1400" w:right="279"/>
        <w:spacing w:after="0" w:line="275" w:lineRule="auto"/>
        <w:rPr>
          <w:sz w:val="20"/>
          <w:szCs w:val="20"/>
          <w:color w:val="auto"/>
        </w:rPr>
      </w:pPr>
      <w:r>
        <w:rPr>
          <w:rFonts w:ascii="Times New Roman" w:cs="Times New Roman" w:eastAsia="Times New Roman" w:hAnsi="Times New Roman"/>
          <w:sz w:val="13"/>
          <w:szCs w:val="13"/>
          <w:color w:val="auto"/>
        </w:rPr>
        <w:t>In connection with the Domestication, (i) each then issued and outstanding Class A ordinary share (other than any Class A ordinary share included in the Company’s units) was converted automatically, on a one-for-one basis, into one (1) share of the Company’s common stock, (ii) each then issued and outstanding Class B ordinary share was converted automatically, on a one-for-one basis, into one (1) share of the Company’s Class B common stock,</w:t>
      </w:r>
    </w:p>
    <w:p>
      <w:pPr>
        <w:spacing w:after="0" w:line="2" w:lineRule="exact"/>
        <w:rPr>
          <w:sz w:val="20"/>
          <w:szCs w:val="20"/>
          <w:color w:val="auto"/>
        </w:rPr>
      </w:pPr>
    </w:p>
    <w:p>
      <w:pPr>
        <w:ind w:left="1400" w:right="319" w:hanging="10"/>
        <w:spacing w:after="0" w:line="250" w:lineRule="auto"/>
        <w:tabs>
          <w:tab w:leader="none" w:pos="164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then issued and outstanding warrant of the Company (other than any public warrants included in the Company’s units) was converted automatically into a warrant for the purchase of the Company’s common stock, pursuant to the warrant agreement of the Company, and (iv) each then issued and outstanding unit of the Company was cancelled and thereafter entitled the holder thereof to one (1) share of the Company’s common stock and one (1) warrant for the purchase of the Company’s common stock, in each case without any action on the part of the Company, Merger Sub, Private Hadron or any holder of securities of any of the foregoing.</w:t>
      </w: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Merger and Consideration</w:t>
      </w:r>
    </w:p>
    <w:p>
      <w:pPr>
        <w:spacing w:after="0" w:line="91" w:lineRule="exact"/>
        <w:rPr>
          <w:sz w:val="20"/>
          <w:szCs w:val="20"/>
          <w:color w:val="auto"/>
        </w:rPr>
      </w:pPr>
    </w:p>
    <w:p>
      <w:pPr>
        <w:ind w:left="1400" w:right="359"/>
        <w:spacing w:after="0" w:line="264" w:lineRule="auto"/>
        <w:rPr>
          <w:sz w:val="20"/>
          <w:szCs w:val="20"/>
          <w:color w:val="auto"/>
        </w:rPr>
      </w:pPr>
      <w:r>
        <w:rPr>
          <w:rFonts w:ascii="Times New Roman" w:cs="Times New Roman" w:eastAsia="Times New Roman" w:hAnsi="Times New Roman"/>
          <w:sz w:val="14"/>
          <w:szCs w:val="14"/>
          <w:color w:val="auto"/>
        </w:rPr>
        <w:t>Following the Domestication, at the Effective Time (as defined in the Business Combination Agreement), by virtue of the Merger, each share of capital stock of Merger Sub issued and outstanding immediately prior to the effective time of the Merger (the “Effective Time”) was automatically cancelled and extinguished and converted into one (1) share of common stock of the Company.</w:t>
      </w:r>
    </w:p>
    <w:p>
      <w:pPr>
        <w:spacing w:after="0" w:line="1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Subject to, and in accordance with the terms and conditions of the Business Combination Agreement, immediately prior to or at the Effective Time:</w:t>
      </w:r>
    </w:p>
    <w:p>
      <w:pPr>
        <w:spacing w:after="0" w:line="89" w:lineRule="exact"/>
        <w:rPr>
          <w:sz w:val="20"/>
          <w:szCs w:val="20"/>
          <w:color w:val="auto"/>
        </w:rPr>
      </w:pPr>
    </w:p>
    <w:p>
      <w:pPr>
        <w:ind w:left="1740" w:right="279" w:hanging="10"/>
        <w:spacing w:after="0" w:line="253" w:lineRule="auto"/>
        <w:tabs>
          <w:tab w:leader="none" w:pos="192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issued and outstanding share of common stock of Private Hadron (the “Target Common Stock”), except for (a) shares held by the Company or Merger Sub (or any subsidiaries of the Company), (b) shares held by Private Hadron as treasury stock, if any (each share covered in subclause (a) and (b), an “Excluded Share”), (c) shares held by stockholders who had properly exercised and not withdrawn appraisal rights under Delaware law (the “Dissenting Shares”), and (d) shares of the Target Common Stock issued pursuant to an award of restricted stock that was, as of immediately prior to the date of the Closing, subject to a substantial risk of forfeiture and was not transferable (the “Target Restricted Shares”), was cancelled and converted into the right to receive the Per Share Merger Consideration (as defined below), as set forth in the Business Combination Agreement;</w:t>
      </w:r>
    </w:p>
    <w:p>
      <w:pPr>
        <w:spacing w:after="0" w:line="63" w:lineRule="exact"/>
        <w:rPr>
          <w:rFonts w:ascii="Times New Roman" w:cs="Times New Roman" w:eastAsia="Times New Roman" w:hAnsi="Times New Roman"/>
          <w:sz w:val="14"/>
          <w:szCs w:val="14"/>
          <w:color w:val="auto"/>
        </w:rPr>
      </w:pPr>
    </w:p>
    <w:p>
      <w:pPr>
        <w:ind w:left="1740" w:right="499" w:hanging="10"/>
        <w:spacing w:after="0" w:line="279" w:lineRule="auto"/>
        <w:tabs>
          <w:tab w:leader="none" w:pos="193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Excluded Share was automatically cancelled and retired without any conversion thereof and ceased to exist, and no consideration was delivered in exchange therefor;</w:t>
      </w:r>
    </w:p>
    <w:p>
      <w:pPr>
        <w:spacing w:after="0" w:line="4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to purchase shares of Target Common Stock (each, a “Target Option”) that was outstanding immediately prior to the Effective</w:t>
      </w:r>
    </w:p>
    <w:p>
      <w:pPr>
        <w:spacing w:after="0" w:line="20" w:lineRule="exact"/>
        <w:rPr>
          <w:rFonts w:ascii="Times New Roman" w:cs="Times New Roman" w:eastAsia="Times New Roman" w:hAnsi="Times New Roman"/>
          <w:sz w:val="14"/>
          <w:szCs w:val="14"/>
          <w:color w:val="auto"/>
        </w:rPr>
      </w:pPr>
    </w:p>
    <w:p>
      <w:pPr>
        <w:ind w:left="1740" w:right="3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was automatically assumed by the Company and converted into an option to purchase a number of shares of the Company’s common stock (such option, an “Exchanged Option”), equal to the product (rounded down to the nearest whole number) of (x) the number of shares of Target Common Stock subject to such Target Option immediately prior to the Effective Time and (y) the Exchange Ratio (as defined below), at an exercise price per share (rounded up to the nearest whole cent)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404"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40" w:right="699"/>
        <w:spacing w:after="0" w:line="259" w:lineRule="auto"/>
        <w:rPr>
          <w:sz w:val="20"/>
          <w:szCs w:val="20"/>
          <w:color w:val="auto"/>
        </w:rPr>
      </w:pPr>
      <w:r>
        <w:rPr>
          <w:rFonts w:ascii="Times New Roman" w:cs="Times New Roman" w:eastAsia="Times New Roman" w:hAnsi="Times New Roman"/>
          <w:sz w:val="14"/>
          <w:szCs w:val="14"/>
          <w:color w:val="auto"/>
        </w:rPr>
        <w:t>equal to the quotient of (A) the exercise price per share of such Target Option immediately prior to the Effective Time divided by (B) the Exchange Ratio; provided, that the assumption and adjustment of the unvested Target Options was completed in a manner that satisfies the requirements of Section 409A of the U.S. Internal Revenue Code of 1986, as amended (the “Code”) and, with respect to any Target Option intended to be an “incentive stock option,” Code Section 424(a) and the applicable regulations promulgated thereunder;</w:t>
      </w:r>
    </w:p>
    <w:p>
      <w:pPr>
        <w:spacing w:after="0" w:line="56" w:lineRule="exact"/>
        <w:rPr>
          <w:sz w:val="20"/>
          <w:szCs w:val="20"/>
          <w:color w:val="auto"/>
        </w:rPr>
      </w:pPr>
    </w:p>
    <w:p>
      <w:pPr>
        <w:ind w:left="1740" w:right="319" w:hanging="10"/>
        <w:spacing w:after="0" w:line="275" w:lineRule="auto"/>
        <w:tabs>
          <w:tab w:leader="none" w:pos="193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award of the Target Restricted Shares (a “Target Restricted Share Award”) that was outstanding immediately prior to the Effective Time was automatically assumed by the Company such that each Target Restricted Share Award was converted into an award for a number of restricted shares of the Company’s common stock (such award, an “Exchanged RSA”), equal to the product (rounded down to the nearest whole number) of</w:t>
      </w:r>
    </w:p>
    <w:p>
      <w:pPr>
        <w:spacing w:after="0" w:line="1" w:lineRule="exact"/>
        <w:rPr>
          <w:rFonts w:ascii="Times New Roman" w:cs="Times New Roman" w:eastAsia="Times New Roman" w:hAnsi="Times New Roman"/>
          <w:sz w:val="13"/>
          <w:szCs w:val="13"/>
          <w:color w:val="auto"/>
        </w:rPr>
      </w:pPr>
    </w:p>
    <w:p>
      <w:pPr>
        <w:ind w:left="1920" w:hanging="190"/>
        <w:spacing w:after="0"/>
        <w:tabs>
          <w:tab w:leader="none" w:pos="19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Target Restricted Shares and (y) the Exchange Ratio (as defined below);</w:t>
      </w:r>
    </w:p>
    <w:p>
      <w:pPr>
        <w:spacing w:after="0" w:line="74" w:lineRule="exact"/>
        <w:rPr>
          <w:rFonts w:ascii="Times New Roman" w:cs="Times New Roman" w:eastAsia="Times New Roman" w:hAnsi="Times New Roman"/>
          <w:sz w:val="14"/>
          <w:szCs w:val="14"/>
          <w:color w:val="auto"/>
        </w:rPr>
      </w:pPr>
    </w:p>
    <w:p>
      <w:pPr>
        <w:jc w:val="both"/>
        <w:ind w:left="1740" w:right="299" w:hanging="10"/>
        <w:spacing w:after="0" w:line="264" w:lineRule="auto"/>
        <w:tabs>
          <w:tab w:leader="none" w:pos="192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Private Hadron’s SAFEs that was outstanding immediately prior to the Effective Time automatically converted into a number of shares of Target Common Stock determined in accordance with the terms of such SAFE, with such shares treated as Target Common Stock and receiving the consideration described above for Target Common Stock at the Effective Time;</w:t>
      </w:r>
    </w:p>
    <w:p>
      <w:pPr>
        <w:spacing w:after="0" w:line="52" w:lineRule="exact"/>
        <w:rPr>
          <w:rFonts w:ascii="Times New Roman" w:cs="Times New Roman" w:eastAsia="Times New Roman" w:hAnsi="Times New Roman"/>
          <w:sz w:val="14"/>
          <w:szCs w:val="14"/>
          <w:color w:val="auto"/>
        </w:rPr>
      </w:pPr>
    </w:p>
    <w:p>
      <w:pPr>
        <w:ind w:left="1740" w:right="299" w:hanging="10"/>
        <w:spacing w:after="0" w:line="264" w:lineRule="auto"/>
        <w:tabs>
          <w:tab w:leader="none" w:pos="191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the Company’s Class B common stock that was outstanding immediately prior to the Effective Time was, by virtue of the Merger and the applicable provisions of the amended and restated certificate of incorporation of the Company, automatically cancelled and extinguished and converted into one (1) share of the Company’s common stock; and</w:t>
      </w:r>
    </w:p>
    <w:p>
      <w:pPr>
        <w:spacing w:after="0" w:line="52" w:lineRule="exact"/>
        <w:rPr>
          <w:rFonts w:ascii="Times New Roman" w:cs="Times New Roman" w:eastAsia="Times New Roman" w:hAnsi="Times New Roman"/>
          <w:sz w:val="14"/>
          <w:szCs w:val="14"/>
          <w:color w:val="auto"/>
        </w:rPr>
      </w:pPr>
    </w:p>
    <w:p>
      <w:pPr>
        <w:ind w:left="1740" w:right="679" w:hanging="10"/>
        <w:spacing w:after="0" w:line="279" w:lineRule="auto"/>
        <w:tabs>
          <w:tab w:leader="none" w:pos="19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redeemed the public shares properly tendered for redemption in connection with the Business Combination pursuant to its certificate of incorporation (the “Redemption”).</w:t>
      </w:r>
    </w:p>
    <w:p>
      <w:pPr>
        <w:spacing w:after="0" w:line="126"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Pursuant to the Business Combination Agreement, the consideration paid in the Merger in respect of each share of Target Common Stock that was issued and outstanding immediately prior to the Effective Time was the Per Share Merger Consideration, which is a number of shares of the Company’s common stock equal to the Exchange Ratio. The “Exchange Ratio” means the quotient of: (a) the Aggregate Merger Consideration (as such term is defined below); divided by (b) the Target Fully Diluted Capital (as such term is defined below). The “Aggregate Merger Consideration” means the number of shares of the Company’s common stock equal to the difference of: (a) the Aggregate Company Common Stock (as defined below); minus (b) 13,333,333 shares of the Company’s common stock; provided, however, that if Private Hadron had any indebtedness outstanding as of the closing of the Merger, the Aggregate Merger Consideration would be further reduced by a number of shares of the Company’s common stock equal to the amount of such indebtedness divided by $10.59 (the “Per Share Price”) (rounded down to the nearest whole share). The “Aggregate Company Common Stock” means the number of shares of the Company’s common stock equal to the quotient of: (a) $776,599,997; divided by (b) the Per Share Price. The “Target Fully Diluted Capital” means the sum (without duplication) of the aggregate number of (a) shares of Target Common Stock (other than Target Restricted Shares) that were issued and outstanding immediately prior to the Effective Time assuming and after giving effect to the amendment and conversion of all SAFEs, (b) Target Restricted Shares that were issued and outstanding immediately prior to the Effective Time, and (c) all shares of Target Common Stock issuable upon full exercise of all Target Options outstanding as of immediately prior to the Effective Time (calculated using the treasury method of accounting on a cashless exercise basis).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Sponsor Share Conversion</w:t>
      </w:r>
    </w:p>
    <w:p>
      <w:pPr>
        <w:spacing w:after="0" w:line="91" w:lineRule="exact"/>
        <w:rPr>
          <w:sz w:val="20"/>
          <w:szCs w:val="20"/>
          <w:color w:val="auto"/>
        </w:rPr>
      </w:pPr>
    </w:p>
    <w:p>
      <w:pPr>
        <w:ind w:left="1400" w:right="419"/>
        <w:spacing w:after="0" w:line="279" w:lineRule="auto"/>
        <w:rPr>
          <w:sz w:val="20"/>
          <w:szCs w:val="20"/>
          <w:color w:val="auto"/>
        </w:rPr>
      </w:pPr>
      <w:r>
        <w:rPr>
          <w:rFonts w:ascii="Times New Roman" w:cs="Times New Roman" w:eastAsia="Times New Roman" w:hAnsi="Times New Roman"/>
          <w:sz w:val="14"/>
          <w:szCs w:val="14"/>
          <w:color w:val="auto"/>
        </w:rPr>
        <w:t>At the Effective Time, each share of the Company’s Class B common stock then issued and outstanding was automatically cancelled and extinguished and converted into one (1) share of the Company’s common stock.</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Redemption</w:t>
      </w:r>
    </w:p>
    <w:p>
      <w:pPr>
        <w:spacing w:after="0" w:line="91"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4"/>
          <w:szCs w:val="14"/>
          <w:color w:val="auto"/>
        </w:rPr>
        <w:t>The Company provided an opportunity to the holders of its public shares for the Redemption. The Company carried out the Redemption at the Effective Time in accordance with its certificate of incorporation.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40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Closing</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Closing of the Merger occurred on May 22, 2026, following the satisfaction of the conditions set forth in the Business Combination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Effective immediately following the consummation of the Business Combination, the Company was renamed “Hadron Energy, Inc.”</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Accounting Treatment</w:t>
      </w:r>
    </w:p>
    <w:p>
      <w:pPr>
        <w:spacing w:after="0" w:line="91"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The Business Combination is accounted for as a reverse recapitalization in accordance with GAAP. Under this method of accounting, although the Company acquired all of the outstanding equity interests of Private Hadron in the Business Combination, the Company is treated as the “acquired” company and Private Hadron is treated as the accounting acquirer for financial statement reporting purposes. Accordingly, the Business Combination is treated as the equivalent of Private Hadron issuing stock for the net assets of the Company, accompanied by a recapitalization. The net assets of the Company are stated at historical cost, with no goodwill or other intangible assets recorded. Operations prior to the Business Combination are those of Private Hadron.</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Private Hadron has been determined to be the accounting acquirer based on evaluation of the following facts and circumstances:</w:t>
      </w:r>
    </w:p>
    <w:p>
      <w:pPr>
        <w:spacing w:after="0" w:line="100" w:lineRule="exact"/>
        <w:rPr>
          <w:sz w:val="20"/>
          <w:szCs w:val="20"/>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Private Hadron have the greatest voting interest in the Post-Combination Company;</w:t>
      </w:r>
    </w:p>
    <w:p>
      <w:pPr>
        <w:spacing w:after="0" w:line="99" w:lineRule="exact"/>
        <w:rPr>
          <w:rFonts w:ascii="Times New Roman" w:cs="Times New Roman" w:eastAsia="Times New Roman" w:hAnsi="Times New Roman"/>
          <w:sz w:val="14"/>
          <w:szCs w:val="14"/>
          <w:color w:val="auto"/>
        </w:rPr>
      </w:pPr>
    </w:p>
    <w:p>
      <w:pPr>
        <w:ind w:left="2140" w:right="539" w:hanging="333"/>
        <w:spacing w:after="0" w:line="279" w:lineRule="auto"/>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Private Hadron have the ability to control decisions regarding election and removal of directors and officers of the Post-Combination Company;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Hadron will comprise the ongoing operations of the Post-Combination Company;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Hadron’s existing senior management became the senior management of the Post-Combination Company;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Hadron’s headquarters became the Post-Combination Company’s headquarters;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Post-Combination Company assumed the name Hadron Energy, Inc.</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Basis of Pro Forma Presentation</w:t>
      </w:r>
    </w:p>
    <w:p>
      <w:pPr>
        <w:spacing w:after="0" w:line="91" w:lineRule="exact"/>
        <w:rPr>
          <w:sz w:val="20"/>
          <w:szCs w:val="20"/>
          <w:color w:val="auto"/>
        </w:rPr>
      </w:pPr>
    </w:p>
    <w:p>
      <w:pPr>
        <w:ind w:left="1400" w:right="359"/>
        <w:spacing w:after="0" w:line="254" w:lineRule="auto"/>
        <w:rPr>
          <w:sz w:val="20"/>
          <w:szCs w:val="20"/>
          <w:color w:val="auto"/>
        </w:rPr>
      </w:pPr>
      <w:r>
        <w:rPr>
          <w:rFonts w:ascii="Times New Roman" w:cs="Times New Roman" w:eastAsia="Times New Roman" w:hAnsi="Times New Roman"/>
          <w:sz w:val="14"/>
          <w:szCs w:val="14"/>
          <w:color w:val="auto"/>
        </w:rPr>
        <w:t>The historical financial information has been adjusted to give pro forma effect to events that are related and/or directly attributable to the Business Combination and are factually supportable. 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Post-Combination Company will experience. The Company and Private Hadron have not had any historical relationship prior to the Business Combination. Accordingly, no pro forma adjustments were required to eliminate activities between the companies.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40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3439"/>
        <w:spacing w:after="0" w:line="282" w:lineRule="auto"/>
        <w:rPr>
          <w:sz w:val="20"/>
          <w:szCs w:val="20"/>
          <w:color w:val="auto"/>
        </w:rPr>
      </w:pPr>
      <w:r>
        <w:rPr>
          <w:rFonts w:ascii="Times New Roman" w:cs="Times New Roman" w:eastAsia="Times New Roman" w:hAnsi="Times New Roman"/>
          <w:sz w:val="14"/>
          <w:szCs w:val="14"/>
          <w:b w:val="1"/>
          <w:bCs w:val="1"/>
          <w:color w:val="auto"/>
        </w:rPr>
        <w:t>PRO FORMA CONDENSED COMBINED BALANCE SHEET AS OF MARCH 31, 2026 (unaudited)</w:t>
      </w:r>
    </w:p>
    <w:p>
      <w:pPr>
        <w:spacing w:after="0" w:line="12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GigCapital7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Hadron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Pro Forma</w:t>
            </w:r>
          </w:p>
        </w:tc>
      </w:tr>
      <w:tr>
        <w:trPr>
          <w:trHeight w:val="134"/>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Corp.</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Energy, Inc.</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Balance Sheet</w:t>
            </w:r>
          </w:p>
        </w:tc>
      </w:tr>
      <w:tr>
        <w:trPr>
          <w:trHeight w:val="147"/>
        </w:trPr>
        <w:tc>
          <w:tcPr>
            <w:tcW w:w="39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54,692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2,129,451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33,911,059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23,726,633</w:t>
            </w:r>
          </w:p>
        </w:tc>
      </w:tr>
      <w:tr>
        <w:trPr>
          <w:trHeight w:val="167"/>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(5,851,464)</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(6,517,105)</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154,351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81,134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235,485</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209,043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2,210,585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21,542,490</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23,962,118</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Cash and marketable securities held in Trust Account</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213,506,528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(213,506,528)</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35,419</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35,419</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60,611</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transaction costs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2,290,926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(2,290,926)</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213,715,571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4,597,541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(194,254,964)</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24,058,148</w:t>
            </w:r>
          </w:p>
        </w:tc>
      </w:tr>
      <w:tr>
        <w:trPr>
          <w:trHeight w:val="150"/>
        </w:trPr>
        <w:tc>
          <w:tcPr>
            <w:tcW w:w="39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LIABILITIES, REDEEMABLE ORDINARY SHARES AND</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333,683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1,832,384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(1,475,192)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357,194</w:t>
            </w:r>
          </w:p>
        </w:tc>
      </w:tr>
      <w:tr>
        <w:trPr>
          <w:trHeight w:val="167"/>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(333,683)</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payable</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138,514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138,514</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Accrued legal services</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2,649,839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(2,649,839)</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638,453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11,908,228</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252,866</w:t>
            </w:r>
          </w:p>
        </w:tc>
      </w:tr>
      <w:tr>
        <w:trPr>
          <w:trHeight w:val="167"/>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(638,453)</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(11,655,362)</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20,946</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20,946</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3,760,489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13,761,558</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(16,752,528)</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769,518</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10,023</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10,023</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Simple Agreements for Future Equity (SAFEs)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34,524,160</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(34,524,160)</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1,182,642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1,182,642</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4,943,131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48,295,741</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(51,276,689)</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1,962,183</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subject to possible redemption</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213,406,528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(213,406,528)</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Preferred shares, par value of $0.0001 per share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(255)</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par value of $0.0001 per share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ordinary shares, par value of $0.0001 per share</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Post-Combination Company 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10,738</w:t>
            </w:r>
          </w:p>
        </w:tc>
      </w:tr>
      <w:tr>
        <w:trPr>
          <w:trHeight w:val="167"/>
        </w:trPr>
        <w:tc>
          <w:tcPr>
            <w:tcW w:w="3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1,588</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82"/>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7,150</w:t>
            </w:r>
          </w:p>
        </w:tc>
        <w:tc>
          <w:tcPr>
            <w:tcW w:w="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267"/>
        </w:trPr>
        <w:tc>
          <w:tcPr>
            <w:tcW w:w="3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40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GigCapital7</w:t>
            </w:r>
          </w:p>
        </w:tc>
        <w:tc>
          <w:tcPr>
            <w:tcW w:w="100" w:type="dxa"/>
            <w:vAlign w:val="bottom"/>
          </w:tcPr>
          <w:p>
            <w:pPr>
              <w:spacing w:after="0"/>
              <w:rPr>
                <w:sz w:val="11"/>
                <w:szCs w:val="1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Hadron</w:t>
            </w:r>
          </w:p>
        </w:tc>
        <w:tc>
          <w:tcPr>
            <w:tcW w:w="460" w:type="dxa"/>
            <w:vAlign w:val="bottom"/>
          </w:tcPr>
          <w:p>
            <w:pPr>
              <w:spacing w:after="0"/>
              <w:rPr>
                <w:sz w:val="11"/>
                <w:szCs w:val="11"/>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Pro Forma</w:t>
            </w:r>
          </w:p>
        </w:tc>
      </w:tr>
      <w:tr>
        <w:trPr>
          <w:trHeight w:val="134"/>
        </w:trPr>
        <w:tc>
          <w:tcPr>
            <w:tcW w:w="3980" w:type="dxa"/>
            <w:vAlign w:val="bottom"/>
          </w:tcPr>
          <w:p>
            <w:pPr>
              <w:spacing w:after="0"/>
              <w:rPr>
                <w:sz w:val="11"/>
                <w:szCs w:val="1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Corp.</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Energy, Inc.</w:t>
            </w:r>
          </w:p>
        </w:tc>
        <w:tc>
          <w:tcPr>
            <w:tcW w:w="460" w:type="dxa"/>
            <w:vAlign w:val="bottom"/>
          </w:tcPr>
          <w:p>
            <w:pPr>
              <w:spacing w:after="0"/>
              <w:rPr>
                <w:sz w:val="11"/>
                <w:szCs w:val="11"/>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2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Balance Sheet</w:t>
            </w:r>
          </w:p>
        </w:tc>
      </w:tr>
      <w:tr>
        <w:trPr>
          <w:trHeight w:val="157"/>
        </w:trPr>
        <w:tc>
          <w:tcPr>
            <w:tcW w:w="39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Additional paid-in capital</w:t>
            </w: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15,302,584</w:t>
            </w: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ind w:left="100"/>
              <w:spacing w:after="0" w:line="157" w:lineRule="exact"/>
              <w:rPr>
                <w:sz w:val="20"/>
                <w:szCs w:val="20"/>
                <w:color w:val="auto"/>
              </w:rPr>
            </w:pPr>
            <w:r>
              <w:rPr>
                <w:rFonts w:ascii="Times New Roman" w:cs="Times New Roman" w:eastAsia="Times New Roman" w:hAnsi="Times New Roman"/>
                <w:sz w:val="14"/>
                <w:szCs w:val="14"/>
                <w:color w:val="auto"/>
              </w:rPr>
              <w:t>(B)</w:t>
            </w:r>
          </w:p>
        </w:tc>
        <w:tc>
          <w:tcPr>
            <w:tcW w:w="8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(2,488,193)</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81,086,266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7"/>
        </w:trPr>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34,524,160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33,809,059</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(7,150)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(5,858,092)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(5,851,464)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11,655,362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(4,635,421)</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(59,001,039)</w:t>
            </w: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(1,222,671)</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(59,001,039)</w:t>
            </w:r>
          </w:p>
        </w:tc>
      </w:tr>
      <w:tr>
        <w:trPr>
          <w:trHeight w:val="167"/>
        </w:trPr>
        <w:tc>
          <w:tcPr>
            <w:tcW w:w="3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5,858,092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 (deficit)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(4,634,088)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(43,698,200)</w:t>
            </w:r>
          </w:p>
        </w:tc>
        <w:tc>
          <w:tcPr>
            <w:tcW w:w="4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70,428,252</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22,095,965</w:t>
            </w:r>
          </w:p>
        </w:tc>
      </w:tr>
      <w:tr>
        <w:trPr>
          <w:trHeight w:val="150"/>
        </w:trPr>
        <w:tc>
          <w:tcPr>
            <w:tcW w:w="39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TOTAL LIABILITIES, REDEEMABLE ORDINARY SHARES</w:t>
            </w: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7"/>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AND SHAREHOLDERS’ EQUITY</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$ 213,715,571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4,597,541</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(194,254,964)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24,058,148</w:t>
            </w:r>
          </w:p>
        </w:tc>
      </w:tr>
    </w:tbl>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Adjustments to the Unaudited Pro Forma Condensed Combined Balance Sheet as of March 31, 2026</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pro forma notes and adjustments, based on preliminary estimates that could change materially as additional information is obtained, are as follows:</w:t>
      </w:r>
    </w:p>
    <w:p>
      <w:pPr>
        <w:spacing w:after="0" w:line="100" w:lineRule="exact"/>
        <w:rPr>
          <w:sz w:val="20"/>
          <w:szCs w:val="20"/>
          <w:color w:val="auto"/>
        </w:rPr>
      </w:pPr>
    </w:p>
    <w:p>
      <w:pPr>
        <w:ind w:left="2140" w:right="579" w:hanging="416"/>
        <w:spacing w:after="0" w:line="259"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liquidation and reclassification of the $213,506,528 of funds held in the Company’s trust account that after the May 2026 redemptions resulted in the release of $33,911,059 held in the trust account upon consummation of the Business Combination. Additionally, a forward stock purchase agreement was entered into for a purchase amount of $5,851,464 paid at closing from the cash released from the GigCapital7 trust account.</w:t>
      </w:r>
    </w:p>
    <w:p>
      <w:pPr>
        <w:spacing w:after="0" w:line="66" w:lineRule="exact"/>
        <w:rPr>
          <w:rFonts w:ascii="Times New Roman" w:cs="Times New Roman" w:eastAsia="Times New Roman" w:hAnsi="Times New Roman"/>
          <w:sz w:val="14"/>
          <w:szCs w:val="14"/>
          <w:color w:val="auto"/>
        </w:rPr>
      </w:pPr>
    </w:p>
    <w:p>
      <w:pPr>
        <w:ind w:left="2140" w:right="339" w:hanging="416"/>
        <w:spacing w:after="0" w:line="252"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estimated transaction costs of $7,332,839 incurred by the Company and Private Hadron of $4,844,646 and $2,488,193, respectively. These transactions costs are directly incremental and attributable to the Business Combination and are accounted for as a reduction in the combined cash account with a corresponding reduction in additional paid-in capital or accumulated deficit consistent with the treatment described in SEC Staff Accounting Bulletin Topic 5.A. For the Company’s transaction costs, $333,683 is included in accounts payable and an aggregate of $3,288,292 is included in accrued legal services and accrued liabilities in its unaudited condensed consolidated balance sheet as of March 31, 2026. None of the transaction costs have been paid as of the pro forma balance sheet date. The remaining estimate of costs to be incurred of $1,222,671 is reflected as an adjustment to accumulated deficit. For Private Hadron’s transaction costs, $2,290,926 was capitalized as deferred transaction costs, $1,475,192 was included in accounts payable on its unaudited condensed balance sheet as of March 31, 2026. The estimate of costs to be incurred of $2,488,193 is reflected as an adjustment to additional paid-in capital.</w:t>
      </w:r>
    </w:p>
    <w:p>
      <w:pPr>
        <w:spacing w:after="0" w:line="71" w:lineRule="exact"/>
        <w:rPr>
          <w:rFonts w:ascii="Times New Roman" w:cs="Times New Roman" w:eastAsia="Times New Roman" w:hAnsi="Times New Roman"/>
          <w:sz w:val="14"/>
          <w:szCs w:val="14"/>
          <w:color w:val="auto"/>
        </w:rPr>
      </w:pPr>
    </w:p>
    <w:p>
      <w:pPr>
        <w:ind w:left="2140" w:right="339" w:hanging="416"/>
        <w:spacing w:after="0" w:line="256"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conversion of Private Hadron’s SAFEs into 3,450,990 shares of the Post-Combination Company’s common stock and the reclassification of its fair value of the SAFEs of $34,524,160 into the equity of Post-Combination Company. The conversion of Private Hadron’s SAFEs into shares of the Post-Combination Company’s common stock was derived based on the overall valuation and valuation cap included in each SAFE agreement. This result was then adjusted for the exchange of shares to be received in the Post-Combination Company.</w:t>
      </w:r>
    </w:p>
    <w:p>
      <w:pPr>
        <w:spacing w:after="0" w:line="69" w:lineRule="exact"/>
        <w:rPr>
          <w:rFonts w:ascii="Times New Roman" w:cs="Times New Roman" w:eastAsia="Times New Roman" w:hAnsi="Times New Roman"/>
          <w:sz w:val="14"/>
          <w:szCs w:val="14"/>
          <w:color w:val="auto"/>
        </w:rPr>
      </w:pPr>
    </w:p>
    <w:p>
      <w:pPr>
        <w:ind w:left="2140" w:right="279" w:hanging="416"/>
        <w:spacing w:after="0" w:line="256"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reclassification of the 16,834,491 Class A ordinary shares of the Company redeemed at a balance of $180,342,376, which includes interest income after March 31, 2026 to stockholders’ equity of the Post-Combination Company and the immediate conversion of the remaining shares of the Company’s public shares into shares of the Post-Combination Company’s common stock on a one-to-one basis. This adjustment impacts the Post-Combination Company’s common stock (based on the par value of $0.0001 per share) of $2,000 and the remainder of $33,809,059 is recorded in additional paid-in capital.</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40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459" w:hanging="416"/>
        <w:spacing w:after="0" w:line="279"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reclassification of the par value of the 13,333,333 Class B ordinary shares of the Company of $1,333 and 924,167 shares of Target Common Stock of $255 classified under stockholders’ equity into the Post-Combination Company’s common stock.</w:t>
      </w:r>
    </w:p>
    <w:p>
      <w:pPr>
        <w:spacing w:after="0" w:line="53" w:lineRule="exact"/>
        <w:rPr>
          <w:rFonts w:ascii="Times New Roman" w:cs="Times New Roman" w:eastAsia="Times New Roman" w:hAnsi="Times New Roman"/>
          <w:sz w:val="14"/>
          <w:szCs w:val="14"/>
          <w:color w:val="auto"/>
        </w:rPr>
      </w:pPr>
    </w:p>
    <w:p>
      <w:pPr>
        <w:ind w:left="2140" w:hanging="416"/>
        <w:spacing w:after="0"/>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issuance of 71,498,842 shares of Post-Combination Company common stock to stockholders of the Post-</w:t>
      </w:r>
    </w:p>
    <w:p>
      <w:pPr>
        <w:spacing w:after="0" w:line="20" w:lineRule="exact"/>
        <w:rPr>
          <w:rFonts w:ascii="Times New Roman" w:cs="Times New Roman" w:eastAsia="Times New Roman" w:hAnsi="Times New Roman"/>
          <w:sz w:val="14"/>
          <w:szCs w:val="14"/>
          <w:color w:val="auto"/>
        </w:rPr>
      </w:pPr>
    </w:p>
    <w:p>
      <w:pPr>
        <w:ind w:left="2140" w:right="35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Combination Company. This adjustment impacts the Post-Combination Company’s common stock (based on the par value of $0.0001 per share) and additional paid-in capital by $7,150.</w:t>
      </w:r>
    </w:p>
    <w:p>
      <w:pPr>
        <w:spacing w:after="0" w:line="67" w:lineRule="exact"/>
        <w:rPr>
          <w:rFonts w:ascii="Times New Roman" w:cs="Times New Roman" w:eastAsia="Times New Roman" w:hAnsi="Times New Roman"/>
          <w:sz w:val="14"/>
          <w:szCs w:val="14"/>
          <w:color w:val="auto"/>
        </w:rPr>
      </w:pPr>
    </w:p>
    <w:p>
      <w:pPr>
        <w:ind w:left="2140" w:right="619" w:hanging="416"/>
        <w:spacing w:after="0" w:line="279"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the Company’s historical accumulated deficit of the Company, the accounting acquiree after recording the transaction costs as described in (B) above.</w:t>
      </w:r>
    </w:p>
    <w:p>
      <w:pPr>
        <w:spacing w:after="0" w:line="53" w:lineRule="exact"/>
        <w:rPr>
          <w:rFonts w:ascii="Times New Roman" w:cs="Times New Roman" w:eastAsia="Times New Roman" w:hAnsi="Times New Roman"/>
          <w:sz w:val="14"/>
          <w:szCs w:val="14"/>
          <w:color w:val="auto"/>
        </w:rPr>
      </w:pPr>
    </w:p>
    <w:p>
      <w:pPr>
        <w:ind w:left="2140" w:right="299" w:hanging="416"/>
        <w:spacing w:after="0" w:line="279"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reclass of the legal settlement liability of $11,655,362 on Private Hadron’s unaudited condensed balance sheet as of March 31, 2026 that was issued and settled as equity.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OPERATIONS FOR THE THREE MONTHS PERIOD ENDED MARCH 31, 2026</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8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GigCapital7</w:t>
            </w:r>
          </w:p>
        </w:tc>
        <w:tc>
          <w:tcPr>
            <w:tcW w:w="80" w:type="dxa"/>
            <w:vAlign w:val="bottom"/>
          </w:tcPr>
          <w:p>
            <w:pPr>
              <w:spacing w:after="0"/>
              <w:rPr>
                <w:sz w:val="11"/>
                <w:szCs w:val="11"/>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Hadron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5"/>
        </w:trPr>
        <w:tc>
          <w:tcPr>
            <w:tcW w:w="40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Statement of</w:t>
            </w: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Corp.</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Energy, Inc.</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Operations</w:t>
            </w:r>
          </w:p>
        </w:tc>
        <w:tc>
          <w:tcPr>
            <w:tcW w:w="0" w:type="dxa"/>
            <w:vAlign w:val="bottom"/>
          </w:tcPr>
          <w:p>
            <w:pPr>
              <w:spacing w:after="0"/>
              <w:rPr>
                <w:sz w:val="1"/>
                <w:szCs w:val="1"/>
                <w:color w:val="auto"/>
              </w:rPr>
            </w:pPr>
          </w:p>
        </w:tc>
      </w:tr>
      <w:tr>
        <w:trPr>
          <w:trHeight w:val="147"/>
        </w:trPr>
        <w:tc>
          <w:tcPr>
            <w:tcW w:w="40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1,675,288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1,562,910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442,807</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442,807</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2,734,112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2,734,112</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1,945</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legal settlement liability</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(4,689,637)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(I)</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4,689,637</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1,675,288</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52,137</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4,689,637</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6,417,062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(1,675,288)</w:t>
            </w: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(52,137)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(4,689,637)</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(6,417,062)</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 (SAFEs)</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13,419,233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(J)</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(13,419,233)</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warrants and derivative liability</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356,891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356,891</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(15,220)</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(15,220)</w:t>
            </w: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Interest and dividend income on marketable securities held in Trust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1,869,218</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(K)</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(1,869,218)</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535,601</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13,367,096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(19,978,088)</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(6,075,391)</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and 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535,601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13,367,096</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(19,978,088)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(6,075,391)</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(257,544)</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(L)  </w:t>
            </w: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257,544</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common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535,601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13,109,552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(19,720,544)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(6,075,391)</w:t>
            </w: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Weighted-average share outstanding of Post-Combination Company</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 basic and diluted</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(M)</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71,498,842</w:t>
            </w:r>
          </w:p>
        </w:tc>
        <w:tc>
          <w:tcPr>
            <w:tcW w:w="0" w:type="dxa"/>
            <w:vAlign w:val="bottom"/>
          </w:tcPr>
          <w:p>
            <w:pPr>
              <w:spacing w:after="0"/>
              <w:rPr>
                <w:sz w:val="1"/>
                <w:szCs w:val="1"/>
                <w:color w:val="auto"/>
              </w:rPr>
            </w:pPr>
          </w:p>
        </w:tc>
      </w:tr>
      <w:tr>
        <w:trPr>
          <w:trHeight w:val="282"/>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99"/>
              </w:rPr>
              <w:t>54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4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8"/>
              </w:rPr>
              <w:t>Hadron</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5"/>
        </w:trPr>
        <w:tc>
          <w:tcPr>
            <w:tcW w:w="4080" w:type="dxa"/>
            <w:vAlign w:val="bottom"/>
          </w:tcPr>
          <w:p>
            <w:pPr>
              <w:spacing w:after="0"/>
              <w:rPr>
                <w:sz w:val="9"/>
                <w:szCs w:val="9"/>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GigCapital7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62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Statement</w:t>
            </w:r>
          </w:p>
        </w:tc>
        <w:tc>
          <w:tcPr>
            <w:tcW w:w="0" w:type="dxa"/>
            <w:vAlign w:val="bottom"/>
          </w:tcPr>
          <w:p>
            <w:pPr>
              <w:spacing w:after="0"/>
              <w:rPr>
                <w:sz w:val="1"/>
                <w:szCs w:val="1"/>
                <w:color w:val="auto"/>
              </w:rPr>
            </w:pPr>
          </w:p>
        </w:tc>
      </w:tr>
      <w:tr>
        <w:trPr>
          <w:trHeight w:val="115"/>
        </w:trPr>
        <w:tc>
          <w:tcPr>
            <w:tcW w:w="40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500"/>
              <w:spacing w:after="0" w:line="115" w:lineRule="exact"/>
              <w:rPr>
                <w:sz w:val="20"/>
                <w:szCs w:val="20"/>
                <w:color w:val="auto"/>
              </w:rPr>
            </w:pPr>
            <w:r>
              <w:rPr>
                <w:rFonts w:ascii="Times New Roman" w:cs="Times New Roman" w:eastAsia="Times New Roman" w:hAnsi="Times New Roman"/>
                <w:sz w:val="11"/>
                <w:szCs w:val="11"/>
                <w:b w:val="1"/>
                <w:bCs w:val="1"/>
                <w:color w:val="auto"/>
                <w:w w:val="97"/>
              </w:rPr>
              <w:t>Energy,</w:t>
            </w:r>
          </w:p>
        </w:tc>
        <w:tc>
          <w:tcPr>
            <w:tcW w:w="3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34"/>
        </w:trPr>
        <w:tc>
          <w:tcPr>
            <w:tcW w:w="4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Corp.</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380" w:type="dxa"/>
            <w:vAlign w:val="bottom"/>
          </w:tcPr>
          <w:p>
            <w:pPr>
              <w:spacing w:after="0"/>
              <w:rPr>
                <w:sz w:val="11"/>
                <w:szCs w:val="11"/>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0" w:type="dxa"/>
            <w:vAlign w:val="bottom"/>
          </w:tcPr>
          <w:p>
            <w:pPr>
              <w:spacing w:after="0"/>
              <w:rPr>
                <w:sz w:val="1"/>
                <w:szCs w:val="1"/>
                <w:color w:val="auto"/>
              </w:rPr>
            </w:pPr>
          </w:p>
        </w:tc>
      </w:tr>
      <w:tr>
        <w:trPr>
          <w:trHeight w:val="130"/>
        </w:trPr>
        <w:tc>
          <w:tcPr>
            <w:tcW w:w="408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Basic and diluted net loss per share - Post-Combination</w:t>
            </w: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Company Common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52"/>
        </w:trPr>
        <w:tc>
          <w:tcPr>
            <w:tcW w:w="40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Net income attributable to Class A ordinary shares subject to</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possible redemption</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321,361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Basic and diluted weighted-average shares outstanding, Class A</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ordinary shares subject to possible redemption</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8"/>
              </w:rPr>
              <w:t>20,000,000</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8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and diluted net income per share, Class A ordinary</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 subject to possible redemption</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income (loss) attributable to Class B non-redeemable ordinary</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214,240</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Basic and diluted weighted-average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non-redeemable ordinary shares outstanding</w:t>
            </w:r>
          </w:p>
        </w:tc>
        <w:tc>
          <w:tcPr>
            <w:tcW w:w="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8"/>
              </w:rPr>
              <w:t>13,333,333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and diluted net income (loss) per share, Class B</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non-redeemable ordinary shares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0.02</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Weighted-average share outstanding of Hadron Energy common</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basic</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921,519</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net income (loss) per share - Hadron Energy Common</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14.23</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Weighted-average share outstanding of Hadron Energy common</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ck diluted</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985,863</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0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Diluted net income (loss) per share - Hadron Energy Common</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(0.30)</w:t>
            </w: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400" w:right="479"/>
        <w:spacing w:after="0" w:line="282" w:lineRule="auto"/>
        <w:rPr>
          <w:sz w:val="20"/>
          <w:szCs w:val="20"/>
          <w:color w:val="auto"/>
        </w:rPr>
      </w:pPr>
      <w:r>
        <w:rPr>
          <w:rFonts w:ascii="Times New Roman" w:cs="Times New Roman" w:eastAsia="Times New Roman" w:hAnsi="Times New Roman"/>
          <w:sz w:val="14"/>
          <w:szCs w:val="14"/>
          <w:b w:val="1"/>
          <w:bCs w:val="1"/>
          <w:color w:val="auto"/>
        </w:rPr>
        <w:t>Adjustments to Unaudited Pro Forma Condensed Combined Statement of Operations and Comprehensive Income (Loss) for the year ended March 31, 2026</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pro forma notes and adjustments, based on preliminary estimates that could change materially as additional information is obtained, are as follows:</w:t>
      </w:r>
    </w:p>
    <w:p>
      <w:pPr>
        <w:spacing w:after="0" w:line="100" w:lineRule="exact"/>
        <w:rPr>
          <w:sz w:val="20"/>
          <w:szCs w:val="20"/>
          <w:color w:val="auto"/>
        </w:rPr>
      </w:pPr>
    </w:p>
    <w:p>
      <w:pPr>
        <w:ind w:left="2140" w:right="299" w:hanging="416"/>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$4,689,637 of income from the Change in fair value of legal settlement liability that was settled upon closing of the Business Combination.</w:t>
      </w:r>
    </w:p>
    <w:p>
      <w:pPr>
        <w:spacing w:after="0" w:line="53" w:lineRule="exact"/>
        <w:rPr>
          <w:rFonts w:ascii="Times New Roman" w:cs="Times New Roman" w:eastAsia="Times New Roman" w:hAnsi="Times New Roman"/>
          <w:sz w:val="14"/>
          <w:szCs w:val="14"/>
          <w:color w:val="auto"/>
        </w:rPr>
      </w:pPr>
    </w:p>
    <w:p>
      <w:pPr>
        <w:ind w:left="2140" w:right="879" w:hanging="416"/>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remeasurement losses on Private Hadron SAFEs of $13,419,233 upon consummation of the Business Combination.</w:t>
      </w:r>
    </w:p>
    <w:p>
      <w:pPr>
        <w:spacing w:after="0" w:line="53" w:lineRule="exact"/>
        <w:rPr>
          <w:rFonts w:ascii="Times New Roman" w:cs="Times New Roman" w:eastAsia="Times New Roman" w:hAnsi="Times New Roman"/>
          <w:sz w:val="14"/>
          <w:szCs w:val="14"/>
          <w:color w:val="auto"/>
        </w:rPr>
      </w:pPr>
    </w:p>
    <w:p>
      <w:pPr>
        <w:ind w:left="2140" w:right="579" w:hanging="416"/>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interest and dividend income of $1,869,218 on the marketable securities held in the Trust Account as if the Business Combination was considered effective on January 1, 2025.</w:t>
      </w:r>
    </w:p>
    <w:p>
      <w:pPr>
        <w:spacing w:after="0" w:line="53" w:lineRule="exact"/>
        <w:rPr>
          <w:rFonts w:ascii="Times New Roman" w:cs="Times New Roman" w:eastAsia="Times New Roman" w:hAnsi="Times New Roman"/>
          <w:sz w:val="14"/>
          <w:szCs w:val="14"/>
          <w:color w:val="auto"/>
        </w:rPr>
      </w:pPr>
    </w:p>
    <w:p>
      <w:pPr>
        <w:ind w:left="2140" w:right="879" w:hanging="416"/>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$257,544 of undistributed earnings due to the overall net loss position on the Pro Forma Statement of Operations.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40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299" w:hanging="416"/>
        <w:spacing w:after="0" w:line="264" w:lineRule="auto"/>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w:t>
      </w:r>
    </w:p>
    <w:p>
      <w:pPr>
        <w:spacing w:after="0" w:line="217" w:lineRule="exact"/>
        <w:rPr>
          <w:sz w:val="20"/>
          <w:szCs w:val="20"/>
          <w:color w:val="auto"/>
        </w:rPr>
      </w:pPr>
    </w:p>
    <w:p>
      <w:pPr>
        <w:ind w:left="1400" w:right="339"/>
        <w:spacing w:after="0" w:line="282" w:lineRule="auto"/>
        <w:rPr>
          <w:sz w:val="20"/>
          <w:szCs w:val="20"/>
          <w:color w:val="auto"/>
        </w:rPr>
      </w:pPr>
      <w:r>
        <w:rPr>
          <w:rFonts w:ascii="Times New Roman" w:cs="Times New Roman" w:eastAsia="Times New Roman" w:hAnsi="Times New Roman"/>
          <w:sz w:val="14"/>
          <w:szCs w:val="14"/>
          <w:b w:val="1"/>
          <w:bCs w:val="1"/>
          <w:color w:val="auto"/>
        </w:rPr>
        <w:t>PRO FORMA CONDENSED COMBINED STATEMENT OF OPERATIONS AND COMPREHENSIVE INCOME (LOSS) FOR THE YEAR ENDED DECEMBER 31, 2025 (Unaudited)</w:t>
      </w:r>
    </w:p>
    <w:p>
      <w:pPr>
        <w:spacing w:after="0" w:line="12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7"/>
              </w:rPr>
              <w:t>GigCapital7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Hadron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5"/>
        </w:trPr>
        <w:tc>
          <w:tcPr>
            <w:tcW w:w="4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Statement of</w:t>
            </w: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Corp.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Energy, Inc.</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0" w:type="dxa"/>
            <w:vAlign w:val="bottom"/>
          </w:tcPr>
          <w:p>
            <w:pPr>
              <w:spacing w:after="0"/>
              <w:rPr>
                <w:sz w:val="1"/>
                <w:szCs w:val="1"/>
                <w:color w:val="auto"/>
              </w:rPr>
            </w:pPr>
          </w:p>
        </w:tc>
      </w:tr>
      <w:tr>
        <w:trPr>
          <w:trHeight w:val="147"/>
        </w:trPr>
        <w:tc>
          <w:tcPr>
            <w:tcW w:w="40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3,340,796</w:t>
            </w:r>
          </w:p>
        </w:tc>
        <w:tc>
          <w:tcPr>
            <w:tcW w:w="12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19,329,987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22,670,783</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550,971</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12,565,721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12,565,721</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6,411</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6,411</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3,340,796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32,453,090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35,793,886</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(3,340,796)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(32,453,090)</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(35,793,886)</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(39,321,489)</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39,321,489</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(1,283,055)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(1,283,055)</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52"/>
        </w:trPr>
        <w:tc>
          <w:tcPr>
            <w:tcW w:w="40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Interest and dividend income on marketable securities held in Trust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8,448,606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(8,448,606)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3,825,465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(71,774,579)</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30,872,883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(37,076,231)</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and 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3,825,465</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(71,774,579)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30,872,883</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(37,076,231)</w:t>
            </w:r>
          </w:p>
        </w:tc>
        <w:tc>
          <w:tcPr>
            <w:tcW w:w="0" w:type="dxa"/>
            <w:vAlign w:val="bottom"/>
          </w:tcPr>
          <w:p>
            <w:pPr>
              <w:spacing w:after="0"/>
              <w:rPr>
                <w:sz w:val="1"/>
                <w:szCs w:val="1"/>
                <w:color w:val="auto"/>
              </w:rPr>
            </w:pPr>
          </w:p>
        </w:tc>
      </w:tr>
      <w:tr>
        <w:trPr>
          <w:trHeight w:val="152"/>
        </w:trPr>
        <w:tc>
          <w:tcPr>
            <w:tcW w:w="40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Weighted-average share outstanding of Post-Combination Company</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 basic and diluted</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(P)</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71,498,842</w:t>
            </w:r>
          </w:p>
        </w:tc>
        <w:tc>
          <w:tcPr>
            <w:tcW w:w="0" w:type="dxa"/>
            <w:vAlign w:val="bottom"/>
          </w:tcPr>
          <w:p>
            <w:pPr>
              <w:spacing w:after="0"/>
              <w:rPr>
                <w:sz w:val="1"/>
                <w:szCs w:val="1"/>
                <w:color w:val="auto"/>
              </w:rPr>
            </w:pPr>
          </w:p>
        </w:tc>
      </w:tr>
      <w:tr>
        <w:trPr>
          <w:trHeight w:val="150"/>
        </w:trPr>
        <w:tc>
          <w:tcPr>
            <w:tcW w:w="40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and diluted net loss per share - Post-Combination Company</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(0.52)</w:t>
            </w:r>
          </w:p>
        </w:tc>
        <w:tc>
          <w:tcPr>
            <w:tcW w:w="0" w:type="dxa"/>
            <w:vAlign w:val="bottom"/>
          </w:tcPr>
          <w:p>
            <w:pPr>
              <w:spacing w:after="0"/>
              <w:rPr>
                <w:sz w:val="1"/>
                <w:szCs w:val="1"/>
                <w:color w:val="auto"/>
              </w:rPr>
            </w:pPr>
          </w:p>
        </w:tc>
      </w:tr>
      <w:tr>
        <w:trPr>
          <w:trHeight w:val="152"/>
        </w:trPr>
        <w:tc>
          <w:tcPr>
            <w:tcW w:w="40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Net income attributable to Class A ordinary shares subject to possible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2,295,279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Basic and diluted weighted-average shares outstanding, Class A</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ordinary shares subject to possible redemption</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20,000,000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and diluted net income per share, Class A ordinary 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subject to possible redemption</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income (loss) attributable to Class B non-redeemable ordinary</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1,530,186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Basic and diluted weighted-average Class B non-redeemable ordinary</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13,333,333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and diluted net income (loss) per share,</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Class B non-redeemable ordinary shares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0.11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Weighted-average share outstanding of Hadron Energy common stock</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 and diluted - common stock</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914,000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0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and diluted net loss per share - Hadron Energy Common</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(78.53)</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479"/>
        <w:spacing w:after="0" w:line="282" w:lineRule="auto"/>
        <w:rPr>
          <w:sz w:val="20"/>
          <w:szCs w:val="20"/>
          <w:color w:val="auto"/>
        </w:rPr>
      </w:pPr>
      <w:r>
        <w:rPr>
          <w:rFonts w:ascii="Times New Roman" w:cs="Times New Roman" w:eastAsia="Times New Roman" w:hAnsi="Times New Roman"/>
          <w:sz w:val="14"/>
          <w:szCs w:val="14"/>
          <w:b w:val="1"/>
          <w:bCs w:val="1"/>
          <w:color w:val="auto"/>
        </w:rPr>
        <w:t>Adjustments to Unaudited Pro Forma Condensed Combined Statement of Operations and Comprehensive Income (Loss) for the year ended December 31, 2025</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The pro forma notes and adjustments, based on preliminary estimates that could change materially as additional information is obtained, are as follows:</w:t>
      </w:r>
    </w:p>
    <w:p>
      <w:pPr>
        <w:spacing w:after="0" w:line="111" w:lineRule="exact"/>
        <w:rPr>
          <w:sz w:val="20"/>
          <w:szCs w:val="20"/>
          <w:color w:val="auto"/>
        </w:rPr>
      </w:pPr>
    </w:p>
    <w:p>
      <w:pPr>
        <w:ind w:left="2140" w:right="279" w:hanging="416"/>
        <w:spacing w:after="0" w:line="279" w:lineRule="auto"/>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remeasurement losses on Private Hadron SAFEs of $39,321,489 as if the Business Combination was considered effective on January 1, 2025.</w:t>
      </w:r>
    </w:p>
    <w:p>
      <w:pPr>
        <w:spacing w:after="0" w:line="53" w:lineRule="exact"/>
        <w:rPr>
          <w:rFonts w:ascii="Times New Roman" w:cs="Times New Roman" w:eastAsia="Times New Roman" w:hAnsi="Times New Roman"/>
          <w:sz w:val="14"/>
          <w:szCs w:val="14"/>
          <w:color w:val="auto"/>
        </w:rPr>
      </w:pPr>
    </w:p>
    <w:p>
      <w:pPr>
        <w:ind w:left="2140" w:right="579" w:hanging="416"/>
        <w:spacing w:after="0" w:line="279" w:lineRule="auto"/>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interest and dividend income of $8,448,606 on the marketable securities held in the Trust Account as if the Business Combination was considered effective on January 1, 2025.</w:t>
      </w:r>
    </w:p>
    <w:p>
      <w:pPr>
        <w:spacing w:after="0" w:line="53" w:lineRule="exact"/>
        <w:rPr>
          <w:rFonts w:ascii="Times New Roman" w:cs="Times New Roman" w:eastAsia="Times New Roman" w:hAnsi="Times New Roman"/>
          <w:sz w:val="14"/>
          <w:szCs w:val="14"/>
          <w:color w:val="auto"/>
        </w:rPr>
      </w:pPr>
    </w:p>
    <w:p>
      <w:pPr>
        <w:ind w:left="2140" w:right="479" w:hanging="416"/>
        <w:spacing w:after="0" w:line="264" w:lineRule="auto"/>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40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 RESULTS OF OPERATIONS OF PRIVATE HADRON</w:t>
      </w:r>
    </w:p>
    <w:p>
      <w:pPr>
        <w:spacing w:after="0" w:line="156" w:lineRule="exact"/>
        <w:rPr>
          <w:sz w:val="20"/>
          <w:szCs w:val="20"/>
          <w:color w:val="auto"/>
        </w:rPr>
      </w:pPr>
    </w:p>
    <w:p>
      <w:pPr>
        <w:ind w:left="1400" w:right="379"/>
        <w:spacing w:after="0" w:line="252" w:lineRule="auto"/>
        <w:rPr>
          <w:sz w:val="20"/>
          <w:szCs w:val="20"/>
          <w:color w:val="auto"/>
        </w:rPr>
      </w:pPr>
      <w:r>
        <w:rPr>
          <w:rFonts w:ascii="Times New Roman" w:cs="Times New Roman" w:eastAsia="Times New Roman" w:hAnsi="Times New Roman"/>
          <w:sz w:val="14"/>
          <w:szCs w:val="14"/>
          <w:i w:val="1"/>
          <w:iCs w:val="1"/>
          <w:color w:val="auto"/>
        </w:rPr>
        <w:t>The following Management’s Discussion and Analysis of Financial Condition and Results of Operations should be read together with, and is based on, our unaudited condensed financial statements as of March 31, 2026 and for the three-month periods ended March 31, 2026 and 2025, appearing elsewhere in this registration statement on Form S-1. In addition to historical information, some of the information contained in this discussion and analysis or set forth elsewhere in this registration statement, including information with respect to our plans and strategy for our business, future financial performance, expense levels and liquidity sources, includes forward-looking statements that involve risks and uncertainties. You should read the sections entitled “Cautionary Note Regarding Forward-Looking Statements” and “Risk Factors” elsewhere in this registration statement for a discussion of a variety of important factors that could cause actual results and the timing of events to differ materially from the results described in or implied by the forward-looking statements contained in the following discussion and analysis. Unless the context otherwise requires, references in this section to “the Company”, “us”, “our” or “we” refer to Private Hadron.</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1400" w:right="259"/>
        <w:spacing w:after="0" w:line="254" w:lineRule="auto"/>
        <w:rPr>
          <w:sz w:val="20"/>
          <w:szCs w:val="20"/>
          <w:color w:val="auto"/>
        </w:rPr>
      </w:pPr>
      <w:r>
        <w:rPr>
          <w:rFonts w:ascii="Times New Roman" w:cs="Times New Roman" w:eastAsia="Times New Roman" w:hAnsi="Times New Roman"/>
          <w:sz w:val="14"/>
          <w:szCs w:val="14"/>
          <w:color w:val="auto"/>
        </w:rPr>
        <w:t>We are a micro modular reactor company utilizing light water reactor technology to generate carbon-free electricity. The Company is a leading innovator in micro modular reactor technology using a versatile, small-scale, cost-effective and rapidly deployable microreactors to meet the growing electricity demand driven by data centers, artificial intelligence, and industrialization. The Company is developing a standardized, factory-fabricated, 10 megawatt electric pressurized light-water micro modular reactor based on Generation III+ technology. Designed for deployment at most U.S. sites with minimal site-specific requirements, each reactor is designed to meet the power demands of data centers, industrial sites, and remote applications. Scaled commercialization is planned for 2030.</w:t>
      </w:r>
    </w:p>
    <w:p>
      <w:pPr>
        <w:spacing w:after="0" w:line="145"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On September 27, 2025, GigCapital7 entered into the Business Combination Agreement, dated as of September 27, 2025, by and among GigCapital7, Merger Sub, and the Company. Pursuant to the Business Combination Agreement, Merger Sub merged with and into the Company, with the Company continuing as the surviving corporation. On December 12, 2025, the parties entered into a first amendment to the Business Combination Agreement (the “First Amendment”), pursuant to which the parties expanded the size of the post-Closing Board of Directors to eight (8) members. On April 16, 2026, the parties entered into a second amendment to the Business Combination Agreement (the “Second Amendment”), pursuant to which the parties amend the Business Combination Agreement to (a) adjust the valuation of the Company and (b) extend the Outside Date. On May 7, 2026, the Company and the shareholders of GigCapital7 approved the business combination contemplated by the Business Combination Agreement, as amended. The business combination was accounted for as a reverse recapitalization. The Company has continued to incur transaction-related professional services costs in connection with the contemplated Business Combination, certain of which have been deferred and are reflected on our condensed balance sheet as deferred transaction costs. On May 22, 2026, the Business Combination was consummated. Net proceeds to be received by the Company upon consummation of the Business Combination, after giving effect to 16,834,491 shares tendered for redemption, are approximately $33.9 million. Additionally, a forward stock purchase agreement was entered into for a purchase amount of $5.9 million paid at closing from the cash released from the GigCapital7 trust account.</w:t>
      </w:r>
    </w:p>
    <w:p>
      <w:pPr>
        <w:spacing w:after="0" w:line="147"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color w:val="auto"/>
        </w:rPr>
        <w:t>Upon consummation of the Business Combination, all outstanding historical Private Hadron equity interests, including common shares, SAFEs, and stock awards, were converted or exchanged into shares of, or rights to acquire shares of, Class A or Class B common stock in the combined company in accordance with the terms of the Business Combination Agreement and the applicable Exchange Ratio.</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Key Factors Affecting Our Prospects and Future Results</w:t>
      </w:r>
    </w:p>
    <w:p>
      <w:pPr>
        <w:spacing w:after="0" w:line="91"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 including competition from carbon-based and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40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85" w:lineRule="auto"/>
        <w:rPr>
          <w:sz w:val="20"/>
          <w:szCs w:val="20"/>
          <w:color w:val="auto"/>
        </w:rPr>
      </w:pPr>
      <w:r>
        <w:rPr>
          <w:rFonts w:ascii="Times New Roman" w:cs="Times New Roman" w:eastAsia="Times New Roman" w:hAnsi="Times New Roman"/>
          <w:sz w:val="13"/>
          <w:szCs w:val="13"/>
          <w:color w:val="auto"/>
        </w:rPr>
        <w:t>other non-carbon-based energy generators, the risk of perceived safety issues and their consequences for our reputation and the other factors discussed under the section titled “Risk Factors” in this registration statement. We believe that the following factors are key to our success: commencing and expanding commercial launch operations, funding our operations, maintaining and protecting our intellectual property portfolio, obtaining regulatory approvals, and adding operational and financial personnel to support our development efforts and planned future commercialization.</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Impact of Macroeconomic Conditions</w:t>
      </w:r>
    </w:p>
    <w:p>
      <w:pPr>
        <w:spacing w:after="0" w:line="91" w:lineRule="exact"/>
        <w:rPr>
          <w:sz w:val="20"/>
          <w:szCs w:val="20"/>
          <w:color w:val="auto"/>
        </w:rPr>
      </w:pPr>
    </w:p>
    <w:p>
      <w:pPr>
        <w:ind w:left="1400" w:right="259"/>
        <w:spacing w:after="0" w:line="256" w:lineRule="auto"/>
        <w:rPr>
          <w:sz w:val="20"/>
          <w:szCs w:val="20"/>
          <w:color w:val="auto"/>
        </w:rPr>
      </w:pPr>
      <w:r>
        <w:rPr>
          <w:rFonts w:ascii="Times New Roman" w:cs="Times New Roman" w:eastAsia="Times New Roman" w:hAnsi="Times New Roman"/>
          <w:sz w:val="14"/>
          <w:szCs w:val="14"/>
          <w:color w:val="auto"/>
        </w:rPr>
        <w:t>Our business is subject to various trends, events or uncertainties that are reasonably likely to cause our reported financial information not to be necessarily indicative of future operating results or of future financial condition. The macroeconomic environment both in the United States and globally has the potential to impact our business and financial performance. More specifically, factors such as trade agreements, tariffs, interest rates, inflation, tax law, labor trends, supply chain disruptions, fiscal policy and recession risks could impact the cost to construct and operate our factory, and even impact the future profitability of our operations.</w:t>
      </w:r>
    </w:p>
    <w:p>
      <w:pPr>
        <w:spacing w:after="0" w:line="142" w:lineRule="exact"/>
        <w:rPr>
          <w:sz w:val="20"/>
          <w:szCs w:val="20"/>
          <w:color w:val="auto"/>
        </w:rPr>
      </w:pPr>
    </w:p>
    <w:p>
      <w:pPr>
        <w:ind w:left="1400" w:right="379"/>
        <w:spacing w:after="0" w:line="256" w:lineRule="auto"/>
        <w:rPr>
          <w:sz w:val="20"/>
          <w:szCs w:val="20"/>
          <w:color w:val="auto"/>
        </w:rPr>
      </w:pPr>
      <w:r>
        <w:rPr>
          <w:rFonts w:ascii="Times New Roman" w:cs="Times New Roman" w:eastAsia="Times New Roman" w:hAnsi="Times New Roman"/>
          <w:sz w:val="14"/>
          <w:szCs w:val="14"/>
          <w:color w:val="auto"/>
        </w:rPr>
        <w:t>Supply chain vulnerabilities represent a critical area of macro-economic risk for our business. Global disruptions from geopolitical tensions, natural disasters, or public health crises, can severely impact the availability and cost of essential components for energy infrastructure. These disruptions can lead to extended lead times for specialized equipment, shortages of critical materials, and unexpected cost escalations that complicate project planning and execution. Our reliance on supply networks for turbine components, electrical systems, and construction materials creates exposure to these global supply chain risks.</w:t>
      </w:r>
    </w:p>
    <w:p>
      <w:pPr>
        <w:spacing w:after="0" w:line="142" w:lineRule="exact"/>
        <w:rPr>
          <w:sz w:val="20"/>
          <w:szCs w:val="20"/>
          <w:color w:val="auto"/>
        </w:rPr>
      </w:pPr>
    </w:p>
    <w:p>
      <w:pPr>
        <w:ind w:left="1400" w:right="479"/>
        <w:spacing w:after="0" w:line="256" w:lineRule="auto"/>
        <w:rPr>
          <w:sz w:val="20"/>
          <w:szCs w:val="20"/>
          <w:color w:val="auto"/>
        </w:rPr>
      </w:pPr>
      <w:r>
        <w:rPr>
          <w:rFonts w:ascii="Times New Roman" w:cs="Times New Roman" w:eastAsia="Times New Roman" w:hAnsi="Times New Roman"/>
          <w:sz w:val="14"/>
          <w:szCs w:val="14"/>
          <w:color w:val="auto"/>
        </w:rPr>
        <w:t>Inflation remains a significant concern, particularly as it affects construction materials, specialized equipment, and labor costs throughout our project development cycle. These inflationary pressures can erode project margins and complicate long-term capital planning efforts. Economic growth and recession cycles directly correlate with energy demand across industrial, commercial, and residential sectors. During economic downturns, we will experience reduced consumption patterns, while periods of growth drive increased energy needs, affecting our revenue projections and expansion strategies.</w:t>
      </w:r>
    </w:p>
    <w:p>
      <w:pPr>
        <w:spacing w:after="0" w:line="142" w:lineRule="exact"/>
        <w:rPr>
          <w:sz w:val="20"/>
          <w:szCs w:val="20"/>
          <w:color w:val="auto"/>
        </w:rPr>
      </w:pPr>
    </w:p>
    <w:p>
      <w:pPr>
        <w:jc w:val="both"/>
        <w:ind w:left="1400" w:right="279"/>
        <w:spacing w:after="0" w:line="264" w:lineRule="auto"/>
        <w:rPr>
          <w:sz w:val="20"/>
          <w:szCs w:val="20"/>
          <w:color w:val="auto"/>
        </w:rPr>
      </w:pPr>
      <w:r>
        <w:rPr>
          <w:rFonts w:ascii="Times New Roman" w:cs="Times New Roman" w:eastAsia="Times New Roman" w:hAnsi="Times New Roman"/>
          <w:sz w:val="14"/>
          <w:szCs w:val="14"/>
          <w:color w:val="auto"/>
        </w:rPr>
        <w:t>Demand for energy in the United States is currently being driven by the explosive growth in the data center industry, particularly as artificial intelligence (AI) deployment, cloud computing adoption and digital transformation initiatives accelerate across sectors, and industrialization. Should power demand growth in the market slow, customer demand for our baseload low-carbon power could be negatively impacted.</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Key Components of Our Results of Operations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91"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3"/>
          <w:szCs w:val="13"/>
          <w:color w:val="auto"/>
        </w:rPr>
        <w:t>General and administrative (“G&amp;A”) expenses consist primarily of personnel-related expenses for executives, human resources, finance and other G&amp;A employees, including salary, professional services costs and facility and overhead costs. We anticipate that our G&amp;A expenses will increase in the future in connection with one-time costs of becoming a public company as well as ongoing costs of operating as a public company, including expanding headcount and increased fees for directors and outside advisors. We expect to incur significant costs to comply with corporate governance, internal controls, and similar requirements applicable to public companies. Additionally, we expect to incur increased costs associated with establishing sales, marketing and commercialization functions prior to any potential future regulatory approvals or commercialization of our technology.</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1" w:lineRule="exact"/>
        <w:rPr>
          <w:sz w:val="20"/>
          <w:szCs w:val="20"/>
          <w:color w:val="auto"/>
        </w:rPr>
      </w:pPr>
    </w:p>
    <w:p>
      <w:pPr>
        <w:jc w:val="both"/>
        <w:ind w:left="1400" w:right="639"/>
        <w:spacing w:after="0" w:line="293" w:lineRule="auto"/>
        <w:rPr>
          <w:sz w:val="20"/>
          <w:szCs w:val="20"/>
          <w:color w:val="auto"/>
        </w:rPr>
      </w:pPr>
      <w:r>
        <w:rPr>
          <w:rFonts w:ascii="Times New Roman" w:cs="Times New Roman" w:eastAsia="Times New Roman" w:hAnsi="Times New Roman"/>
          <w:sz w:val="13"/>
          <w:szCs w:val="13"/>
          <w:color w:val="auto"/>
        </w:rPr>
        <w:t>R&amp;D expenses consist primarily of internal and external R&amp;D expenses. We focus our R&amp;D activities on technology development and regulatory support for the development of the factory light-water micro modular reactor. Our R&amp;D expenses consist of employee-related expenses, including salaries, benefits, payroll taxes, travel, for personnel in R&amp;D functions; expenses related to technology development; and facilities, overhead,</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40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79"/>
        <w:spacing w:after="0" w:line="264" w:lineRule="auto"/>
        <w:rPr>
          <w:sz w:val="20"/>
          <w:szCs w:val="20"/>
          <w:color w:val="auto"/>
        </w:rPr>
      </w:pPr>
      <w:r>
        <w:rPr>
          <w:rFonts w:ascii="Times New Roman" w:cs="Times New Roman" w:eastAsia="Times New Roman" w:hAnsi="Times New Roman"/>
          <w:sz w:val="14"/>
          <w:szCs w:val="14"/>
          <w:color w:val="auto"/>
        </w:rPr>
        <w:t>and other expenses. We expect our R&amp;D expenses to increase in the future as we continue to develop our technology. Our R&amp;D activities are a critical component of achieving commercialization of any of our technology development and realizing our business strategy. We remain focused on using our resources to further develop our existing pipeline.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1" w:lineRule="exact"/>
        <w:rPr>
          <w:sz w:val="20"/>
          <w:szCs w:val="20"/>
          <w:color w:val="auto"/>
        </w:rPr>
      </w:pPr>
    </w:p>
    <w:p>
      <w:pPr>
        <w:jc w:val="both"/>
        <w:ind w:left="1400" w:right="939"/>
        <w:spacing w:after="0" w:line="293" w:lineRule="auto"/>
        <w:rPr>
          <w:sz w:val="20"/>
          <w:szCs w:val="20"/>
          <w:color w:val="auto"/>
        </w:rPr>
      </w:pPr>
      <w:r>
        <w:rPr>
          <w:rFonts w:ascii="Times New Roman" w:cs="Times New Roman" w:eastAsia="Times New Roman" w:hAnsi="Times New Roman"/>
          <w:sz w:val="13"/>
          <w:szCs w:val="13"/>
          <w:color w:val="auto"/>
        </w:rPr>
        <w:t>Stock-based compensation expense is measured using a fair value-based method for all equity-based awards, with the cost of awarded equity instruments recognized over the period during which the award vests. Stock-based compensation expense relates primarily to the vesting and cancellation of restricted shares granted to employees pursuant to the Hadron Energy Equity Incentive Plan (the “Former Plan”).</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legal settlement liability</w:t>
      </w:r>
    </w:p>
    <w:p>
      <w:pPr>
        <w:spacing w:after="0" w:line="91" w:lineRule="exact"/>
        <w:rPr>
          <w:sz w:val="20"/>
          <w:szCs w:val="20"/>
          <w:color w:val="auto"/>
        </w:rPr>
      </w:pPr>
    </w:p>
    <w:p>
      <w:pPr>
        <w:ind w:left="1400" w:right="419"/>
        <w:spacing w:after="0" w:line="264" w:lineRule="auto"/>
        <w:rPr>
          <w:sz w:val="20"/>
          <w:szCs w:val="20"/>
          <w:color w:val="auto"/>
        </w:rPr>
      </w:pPr>
      <w:r>
        <w:rPr>
          <w:rFonts w:ascii="Times New Roman" w:cs="Times New Roman" w:eastAsia="Times New Roman" w:hAnsi="Times New Roman"/>
          <w:sz w:val="14"/>
          <w:szCs w:val="14"/>
          <w:color w:val="auto"/>
        </w:rPr>
        <w:t>Change in fair value of legal settlement liability represents the periodic remeasurement of a previously accrued estimated legal settlement liability that was originally recorded during the year ended December 31, 2025. Changes in the estimated liability, including subsequent reversals of previously accrued amounts, are recognized within operating expenses in the period in which the estimate is revised.</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Simple Agreements for Future Equity</w:t>
      </w:r>
    </w:p>
    <w:p>
      <w:pPr>
        <w:spacing w:after="0" w:line="91" w:lineRule="exact"/>
        <w:rPr>
          <w:sz w:val="20"/>
          <w:szCs w:val="20"/>
          <w:color w:val="auto"/>
        </w:rPr>
      </w:pPr>
    </w:p>
    <w:p>
      <w:pPr>
        <w:ind w:left="1400" w:right="339"/>
        <w:spacing w:after="0" w:line="256" w:lineRule="auto"/>
        <w:rPr>
          <w:sz w:val="20"/>
          <w:szCs w:val="20"/>
          <w:color w:val="auto"/>
        </w:rPr>
      </w:pPr>
      <w:r>
        <w:rPr>
          <w:rFonts w:ascii="Times New Roman" w:cs="Times New Roman" w:eastAsia="Times New Roman" w:hAnsi="Times New Roman"/>
          <w:sz w:val="14"/>
          <w:szCs w:val="14"/>
          <w:color w:val="auto"/>
        </w:rPr>
        <w:t xml:space="preserve">The change in fair value of SAFEs represents the periodic remeasurement of the fair value related to the SAFEs. The Company determined that the SAFEs should be accounted for at fair value as a liability under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with changes in fair value recorded in the statement of operations.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91" w:lineRule="exact"/>
        <w:rPr>
          <w:sz w:val="20"/>
          <w:szCs w:val="20"/>
          <w:color w:val="auto"/>
        </w:rPr>
      </w:pPr>
    </w:p>
    <w:p>
      <w:pPr>
        <w:ind w:left="1400" w:right="539"/>
        <w:spacing w:after="0" w:line="264" w:lineRule="auto"/>
        <w:rPr>
          <w:sz w:val="20"/>
          <w:szCs w:val="20"/>
          <w:color w:val="auto"/>
        </w:rPr>
      </w:pPr>
      <w:r>
        <w:rPr>
          <w:rFonts w:ascii="Times New Roman" w:cs="Times New Roman" w:eastAsia="Times New Roman" w:hAnsi="Times New Roman"/>
          <w:sz w:val="14"/>
          <w:szCs w:val="14"/>
          <w:color w:val="auto"/>
        </w:rPr>
        <w:t>We are subject to U.S. federal and state income taxes based on enacted rates, as adjusted for allowable credits, deductions, uncertain tax positions, changes in deferred tax assets and liabilities and changes in tax laws. Provision for income taxes primarily relates to changes in deferred taxes, fully offset by valuation allowances.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Comparison of the three months ended March 31, 2026 and the three months ended March 31, 2025</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0" w:type="dxa"/>
            <w:vAlign w:val="bottom"/>
          </w:tcPr>
          <w:p>
            <w:pPr>
              <w:spacing w:after="0"/>
              <w:rPr>
                <w:sz w:val="1"/>
                <w:szCs w:val="1"/>
                <w:color w:val="auto"/>
              </w:rPr>
            </w:pPr>
          </w:p>
        </w:tc>
      </w:tr>
      <w:tr>
        <w:trPr>
          <w:trHeight w:val="147"/>
        </w:trPr>
        <w:tc>
          <w:tcPr>
            <w:tcW w:w="28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 expenses</w:t>
            </w: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1,562,910</w:t>
            </w:r>
          </w:p>
        </w:tc>
        <w:tc>
          <w:tcPr>
            <w:tcW w:w="8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148,877</w:t>
            </w: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4"/>
                <w:szCs w:val="14"/>
                <w:color w:val="auto"/>
              </w:rPr>
              <w:t>442,807</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6,322</w:t>
            </w:r>
          </w:p>
        </w:tc>
        <w:tc>
          <w:tcPr>
            <w:tcW w:w="0" w:type="dxa"/>
            <w:vAlign w:val="bottom"/>
          </w:tcPr>
          <w:p>
            <w:pPr>
              <w:spacing w:after="0"/>
              <w:rPr>
                <w:sz w:val="1"/>
                <w:szCs w:val="1"/>
                <w:color w:val="auto"/>
              </w:rPr>
            </w:pPr>
          </w:p>
        </w:tc>
      </w:tr>
      <w:tr>
        <w:trPr>
          <w:trHeight w:val="167"/>
        </w:trPr>
        <w:tc>
          <w:tcPr>
            <w:tcW w:w="2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2,734,113</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52"/>
        </w:trPr>
        <w:tc>
          <w:tcPr>
            <w:tcW w:w="28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Change in fair value of legal settlement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liability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(4,689,638)</w:t>
            </w:r>
          </w:p>
        </w:tc>
        <w:tc>
          <w:tcPr>
            <w:tcW w:w="1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7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52,137</w:t>
            </w:r>
          </w:p>
        </w:tc>
        <w:tc>
          <w:tcPr>
            <w:tcW w:w="8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164,390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(52,137)</w:t>
            </w:r>
          </w:p>
        </w:tc>
        <w:tc>
          <w:tcPr>
            <w:tcW w:w="1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(164,390)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0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1760" w:type="dxa"/>
            <w:vAlign w:val="bottom"/>
            <w:gridSpan w:val="3"/>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34"/>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47"/>
        </w:trPr>
        <w:tc>
          <w:tcPr>
            <w:tcW w:w="36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Other income (loss)</w:t>
            </w: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36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Change in fair value of Simple Agreements for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Future Equity</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13,419,233</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(55,961)</w:t>
            </w:r>
          </w:p>
        </w:tc>
      </w:tr>
      <w:tr>
        <w:trPr>
          <w:trHeight w:val="167"/>
        </w:trPr>
        <w:tc>
          <w:tcPr>
            <w:tcW w:w="3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other income (loss)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13,419,233</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(55,961)</w:t>
            </w:r>
          </w:p>
        </w:tc>
      </w:tr>
      <w:tr>
        <w:trPr>
          <w:trHeight w:val="167"/>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13,367,096</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(220,351)</w:t>
            </w:r>
          </w:p>
        </w:tc>
      </w:tr>
      <w:tr>
        <w:trPr>
          <w:trHeight w:val="16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51"/>
        </w:trPr>
        <w:tc>
          <w:tcPr>
            <w:tcW w:w="36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Net income (loss) and comprehensive income</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13,367,096</w:t>
            </w:r>
          </w:p>
        </w:tc>
        <w:tc>
          <w:tcPr>
            <w:tcW w:w="7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(220,351)</w:t>
            </w:r>
          </w:p>
        </w:tc>
      </w:tr>
      <w:tr>
        <w:trPr>
          <w:trHeight w:val="20"/>
        </w:trPr>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91" w:lineRule="exact"/>
        <w:rPr>
          <w:sz w:val="20"/>
          <w:szCs w:val="20"/>
          <w:color w:val="auto"/>
        </w:rPr>
      </w:pPr>
    </w:p>
    <w:p>
      <w:pPr>
        <w:ind w:left="1400" w:right="499"/>
        <w:spacing w:after="0" w:line="279" w:lineRule="auto"/>
        <w:rPr>
          <w:sz w:val="20"/>
          <w:szCs w:val="20"/>
          <w:color w:val="auto"/>
        </w:rPr>
      </w:pPr>
      <w:r>
        <w:rPr>
          <w:rFonts w:ascii="Times New Roman" w:cs="Times New Roman" w:eastAsia="Times New Roman" w:hAnsi="Times New Roman"/>
          <w:sz w:val="14"/>
          <w:szCs w:val="14"/>
          <w:color w:val="auto"/>
        </w:rPr>
        <w:t>G&amp;A expenses were $1,562,910 for the three months ended March 31, 2026 compared to $148,877 for the three months ended March 31, 2025. The increase of $1,414,033 was due primarily to the expansion of personnel-related costs and third-party advisory services.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1"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R&amp;D expenses were $442,807 for the three months ended March 31, 2026 compared to $6,322 for the three months ended March 31, 2025. R&amp;D expenses relate to employee-related expenses, including salaries, benefits, payroll taxes, and travel, for personnel in R&amp;D functions; expenses related to technology development; and other expenses. The increase reflects the continued ramp-up of our R&amp;D function, including the addition of personnel performing R&amp;D activities and increased technology development expenditures supporting the design of our pressurized light-water micro modular reactor.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Change in fair value of legal settlement liability</w:t>
      </w:r>
    </w:p>
    <w:p>
      <w:pPr>
        <w:spacing w:after="0" w:line="91" w:lineRule="exact"/>
        <w:rPr>
          <w:sz w:val="20"/>
          <w:szCs w:val="20"/>
          <w:color w:val="auto"/>
        </w:rPr>
      </w:pPr>
    </w:p>
    <w:p>
      <w:pPr>
        <w:ind w:left="1400" w:right="499"/>
        <w:spacing w:after="0" w:line="264" w:lineRule="auto"/>
        <w:rPr>
          <w:sz w:val="20"/>
          <w:szCs w:val="20"/>
          <w:color w:val="auto"/>
        </w:rPr>
      </w:pPr>
      <w:r>
        <w:rPr>
          <w:rFonts w:ascii="Times New Roman" w:cs="Times New Roman" w:eastAsia="Times New Roman" w:hAnsi="Times New Roman"/>
          <w:sz w:val="14"/>
          <w:szCs w:val="14"/>
          <w:color w:val="auto"/>
        </w:rPr>
        <w:t>Change in fair value of legal settlement liability was a gain of $4,689,638 for the three months ended March 31, 2026 compared to $0 for the three months ended March 31, 2025, representing the remeasurement during the current quarter of a previously accrued estimated legal settlement liability that was originally recorded during the year ended December 31, 2025.</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Stock-based compensation expense was $2,734,113 for the three months ended March 31, 2026 compared to $9,013 for the three months ended</w:t>
      </w:r>
    </w:p>
    <w:p>
      <w:pPr>
        <w:spacing w:after="0" w:line="21" w:lineRule="exact"/>
        <w:rPr>
          <w:sz w:val="20"/>
          <w:szCs w:val="20"/>
          <w:color w:val="auto"/>
        </w:rPr>
      </w:pPr>
    </w:p>
    <w:p>
      <w:pPr>
        <w:jc w:val="both"/>
        <w:ind w:left="1400" w:right="299"/>
        <w:spacing w:after="0" w:line="253" w:lineRule="auto"/>
        <w:rPr>
          <w:sz w:val="20"/>
          <w:szCs w:val="20"/>
          <w:color w:val="auto"/>
        </w:rPr>
      </w:pPr>
      <w:r>
        <w:rPr>
          <w:rFonts w:ascii="Times New Roman" w:cs="Times New Roman" w:eastAsia="Times New Roman" w:hAnsi="Times New Roman"/>
          <w:sz w:val="14"/>
          <w:szCs w:val="14"/>
          <w:color w:val="auto"/>
        </w:rPr>
        <w:t>March 31, 2025. The increase of $2,725,100 was primarily driven by the recognition of expense related to restricted share grants under the Former Plan, including the modification and commencement of vesting of new grants of 33,500 restricted shares to employees and advisors during the quarter. Stock-based compensation is measured at the estimated fair value of the shares on the grant date and recognized over the requisite service period.</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Depreciation</w:t>
      </w:r>
    </w:p>
    <w:p>
      <w:pPr>
        <w:spacing w:after="0" w:line="91" w:lineRule="exact"/>
        <w:rPr>
          <w:sz w:val="20"/>
          <w:szCs w:val="20"/>
          <w:color w:val="auto"/>
        </w:rPr>
      </w:pPr>
    </w:p>
    <w:p>
      <w:pPr>
        <w:ind w:left="1400" w:right="459"/>
        <w:spacing w:after="0" w:line="264" w:lineRule="auto"/>
        <w:rPr>
          <w:sz w:val="20"/>
          <w:szCs w:val="20"/>
          <w:color w:val="auto"/>
        </w:rPr>
      </w:pPr>
      <w:r>
        <w:rPr>
          <w:rFonts w:ascii="Times New Roman" w:cs="Times New Roman" w:eastAsia="Times New Roman" w:hAnsi="Times New Roman"/>
          <w:sz w:val="14"/>
          <w:szCs w:val="14"/>
          <w:color w:val="auto"/>
        </w:rPr>
        <w:t>Depreciation expense was $1,945 for the three months ended March 31, 2026 compared to $178 for the three months ended March 31, 2025. The increase reflects depreciation of property and equipment, principally furniture, fixtures and computer equipment, that has been placed in service since inception. There were no purchases of property and equipment during the three months ended March 31, 2026.</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Change in fair value of Simple Agreements for Future Equity</w:t>
      </w:r>
    </w:p>
    <w:p>
      <w:pPr>
        <w:spacing w:after="0" w:line="175" w:lineRule="exact"/>
        <w:rPr>
          <w:sz w:val="20"/>
          <w:szCs w:val="20"/>
          <w:color w:val="auto"/>
        </w:rPr>
      </w:pPr>
    </w:p>
    <w:p>
      <w:pPr>
        <w:ind w:left="1400" w:right="699"/>
        <w:spacing w:after="0" w:line="319" w:lineRule="auto"/>
        <w:rPr>
          <w:sz w:val="20"/>
          <w:szCs w:val="20"/>
          <w:color w:val="auto"/>
        </w:rPr>
      </w:pPr>
      <w:r>
        <w:rPr>
          <w:rFonts w:ascii="Times New Roman" w:cs="Times New Roman" w:eastAsia="Times New Roman" w:hAnsi="Times New Roman"/>
          <w:sz w:val="13"/>
          <w:szCs w:val="13"/>
          <w:color w:val="auto"/>
        </w:rPr>
        <w:t>Change in fair value of SAFEs was a gain of $13,419,233 for the three months ended March 31, 2026 compared to a loss of $55,961 for the three months ended March 31, 2025, in each case representing the remeasurement of the fair value of the SAFEs at the end of the reporting period.</w:t>
      </w: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404"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91" w:lineRule="exact"/>
        <w:rPr>
          <w:sz w:val="20"/>
          <w:szCs w:val="20"/>
          <w:color w:val="auto"/>
        </w:rPr>
      </w:pPr>
    </w:p>
    <w:p>
      <w:pPr>
        <w:ind w:left="1400" w:right="439"/>
        <w:spacing w:after="0" w:line="279" w:lineRule="auto"/>
        <w:rPr>
          <w:sz w:val="20"/>
          <w:szCs w:val="20"/>
          <w:color w:val="auto"/>
        </w:rPr>
      </w:pPr>
      <w:r>
        <w:rPr>
          <w:rFonts w:ascii="Times New Roman" w:cs="Times New Roman" w:eastAsia="Times New Roman" w:hAnsi="Times New Roman"/>
          <w:sz w:val="14"/>
          <w:szCs w:val="14"/>
          <w:color w:val="auto"/>
        </w:rPr>
        <w:t>Provision for income taxes was $0 for the three months ended March 31, 2026 and for the three months ended March 31, 2025, in each case primarily due to changes in deferred tax balances offset by valuation allowances against our deferred tax assets.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 and Going Concern</w:t>
      </w:r>
    </w:p>
    <w:p>
      <w:pPr>
        <w:spacing w:after="0" w:line="91"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We have incurred operating losses since our inception. Although we recognized net income of $13,367,096 for the three months ended March 31, 2026 (compared to a net loss of $220,351 for the three months ended March 31, 2025), our net income for the current quarter was driven primarily by two non-cash and non-recurring items: a $13,419,233 gain on the remeasurement of our SAFE liability and a $4,689,638 remeasurement of a previously accrued estimated legal settlement liability. Excluding these items, we incurred an underlying operating loss for the three months ended March 31, 2026, and we expect to continue to incur operating losses for the foreseeable future. As of March 31, 2026, the Company had cash of $2,129,451 and an accumulated deficit of $59,001,039, and for the three months ended March 31, 2026, negative cash flows from operations of $1,212,790. We are still in the early stages of our development and expect to continue to incur significant expenses, operating losses, and negative operating cash flows for the foreseeable future due to increases in expenses from historical levels because of additional costs and expenses related to the development of our technology and factory and the development of market and strategic relationships with other businesses.</w:t>
      </w:r>
    </w:p>
    <w:p>
      <w:pPr>
        <w:spacing w:after="0" w:line="14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Until such time as we can generate substantial revenue, if ever, we expect to finance our cash needs through a combination of equity and debt financings, or other capital sources, including, the proceeds available to us in connection with the Business Combination. We plan to continue to fund our losses from operations through cash on hand, as well as through future equity offerings, debt financings, other third-party funding, or potential licensing or collaboration arrangements. To the extent that we raise additional capital through the future sale of equity or debt, the ownership interest of our stockholders will be diluted. The terms of these securities may include liquidation or other preferences that adversely affect the rights of our existing common stockholders. If we raise additional funds through collaboration agreements, marketing agreements, or licensing arrangements, we may have to relinquish valuable rights to our technologies or future revenue streams on terms that may not be favorable to us. If we are unable to raise sufficient funds through equity or debt financings, we may be required to delay, limit, curtail or terminate our technology development or future commercialization efforts or may be forced to cease operations or file for bankruptcy protection. This may have a material adverse effect on our business, operating results and financial condition and our ability to achieve our intended business objectives. Additionally, we may never become profitable, or if we do, may not be able to sustain profitability on a recurring basis. There can be no assurance that additional funds will be available when needed from any source or, if available, will be available on terms that are acceptable to us. Any of these actions could materially harm our business, results of operations and future prospects.</w:t>
      </w:r>
    </w:p>
    <w:p>
      <w:pPr>
        <w:spacing w:after="0" w:line="147"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As a result of these conditions, the Company’s ability to continue as a going concern depends on its ability to obtain financial support and additional sources of funds and financing to support the needs of the business, ongoing operations and ultimately to generate profitable operations. As such, we have concluded that there is substantial doubt over our ability to continue as a going concern as conditions and events, considered in the aggregate, indicate that we are currently unable to meet our obligations as they become due and expect to be unable to meet our obligations within one year after the date that the financial statements included in this registration statement were originally issued. The accompanying condensed financial statements have been prepared on a going concern basis, which contemplates the realization of assets and settlement of liabilities and commitments in the normal course of business. The financial information and financial statements do not include any adjustments or reclassifications of assets and liabilities that might be necessary if we are unable to continue as a going concern.</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40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We will need to raise additional capital to continue operations based on our current business plan, and expectations and assumptions considering current macroeconomic conditions. Our ability to raise additional capital may also be adversely impacted by potential worsening global economic conditions and disruptions to, and volatility in, financial markets in the U.S. and worldwide from geopolitical and macroeconomic events. There can be no assurance that we will be able to secure such additional funding on acceptable terms and conditions, or at all. If we cannot obtain sufficient capital immediately, we will not have sufficient cash flows and liquidity to finance our business operations as currently contemplated and we may need to substantially alter, or possibly even discontinue, our operations. In the event of a bankruptcy proceeding or insolvency, or restructuring of our capital structure, our stockholders could suffer a total loss of their investment.</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Simple Agreement for Future Equity</w:t>
      </w:r>
    </w:p>
    <w:p>
      <w:pPr>
        <w:spacing w:after="0" w:line="91"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w:t>
      </w:r>
    </w:p>
    <w:p>
      <w:pPr>
        <w:spacing w:after="0" w:line="143"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 xml:space="preserve">The Company determined that the SAFEs should be accounted for at fair value as a liability under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44" w:lineRule="exact"/>
        <w:rPr>
          <w:sz w:val="20"/>
          <w:szCs w:val="20"/>
          <w:color w:val="auto"/>
        </w:rPr>
      </w:pPr>
    </w:p>
    <w:p>
      <w:pPr>
        <w:ind w:left="1400" w:right="359"/>
        <w:spacing w:after="0" w:line="285" w:lineRule="auto"/>
        <w:rPr>
          <w:sz w:val="20"/>
          <w:szCs w:val="20"/>
          <w:color w:val="auto"/>
        </w:rPr>
      </w:pPr>
      <w:r>
        <w:rPr>
          <w:rFonts w:ascii="Times New Roman" w:cs="Times New Roman" w:eastAsia="Times New Roman" w:hAnsi="Times New Roman"/>
          <w:sz w:val="13"/>
          <w:szCs w:val="13"/>
          <w:color w:val="auto"/>
        </w:rPr>
        <w:t>We believe these assumptions would be made by a market participant in estimating the valuation of the SAFEs. We assess these assumptions and estimates on an on-going basis as additional data impacting the assumptions and estimates are obtained. There is substantial judgment in selecting the assumptions that we use to determine the fair value of the SAFEs and other companies could use similar market inputs and experience and arrive at different conclusions with respect to those used to calculate fair value. Using alternative assumptions could cause differences in the resulting fair value.</w:t>
      </w:r>
    </w:p>
    <w:p>
      <w:pPr>
        <w:spacing w:after="0" w:line="124"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4"/>
          <w:szCs w:val="14"/>
          <w:color w:val="auto"/>
        </w:rPr>
        <w:t>Upon the Closing of the Business Combination, all outstanding SAFEs were converted into shares of common stock of the Company in accordance with their respective terms. As a result, as of the Closing, there are no SAFEs outstanding.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following is a summary of cash flows for the three months ended March 31, 2026 and 2025:</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15"/>
        </w:trPr>
        <w:tc>
          <w:tcPr>
            <w:tcW w:w="2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gridSpan w:val="2"/>
          </w:tcPr>
          <w:p>
            <w:pPr>
              <w:jc w:val="right"/>
              <w:ind w:right="1080"/>
              <w:spacing w:after="0" w:line="115"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Pr>
          <w:p>
            <w:pPr>
              <w:spacing w:after="0"/>
              <w:rPr>
                <w:sz w:val="9"/>
                <w:szCs w:val="9"/>
                <w:color w:val="auto"/>
              </w:rPr>
            </w:pPr>
          </w:p>
        </w:tc>
        <w:tc>
          <w:tcPr>
            <w:tcW w:w="940" w:type="dxa"/>
            <w:vAlign w:val="bottom"/>
            <w:gridSpan w:val="2"/>
          </w:tcPr>
          <w:p>
            <w:pPr>
              <w:jc w:val="right"/>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March 31,</w:t>
            </w:r>
          </w:p>
        </w:tc>
      </w:tr>
      <w:tr>
        <w:trPr>
          <w:trHeight w:val="134"/>
        </w:trPr>
        <w:tc>
          <w:tcPr>
            <w:tcW w:w="244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2026</w:t>
            </w:r>
          </w:p>
        </w:tc>
        <w:tc>
          <w:tcPr>
            <w:tcW w:w="8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1"/>
                <w:szCs w:val="11"/>
                <w:color w:val="auto"/>
              </w:rPr>
            </w:pPr>
          </w:p>
        </w:tc>
      </w:tr>
      <w:tr>
        <w:trPr>
          <w:trHeight w:val="147"/>
        </w:trPr>
        <w:tc>
          <w:tcPr>
            <w:tcW w:w="2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cash provided by (used in)</w:t>
            </w: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activities</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(1,212,790)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(210,611)</w:t>
            </w:r>
          </w:p>
        </w:tc>
      </w:tr>
      <w:tr>
        <w:trPr>
          <w:trHeight w:val="167"/>
        </w:trPr>
        <w:tc>
          <w:tcPr>
            <w:tcW w:w="2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Financing activities</w:t>
            </w: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1,585,000</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307,000</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w:t>
            </w:r>
          </w:p>
        </w:tc>
        <w:tc>
          <w:tcPr>
            <w:tcW w:w="10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372,210</w:t>
            </w:r>
          </w:p>
        </w:tc>
        <w:tc>
          <w:tcPr>
            <w:tcW w:w="8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96,389</w:t>
            </w:r>
          </w:p>
        </w:tc>
        <w:tc>
          <w:tcPr>
            <w:tcW w:w="80" w:type="dxa"/>
            <w:vAlign w:val="bottom"/>
          </w:tcPr>
          <w:p>
            <w:pPr>
              <w:spacing w:after="0"/>
              <w:rPr>
                <w:sz w:val="14"/>
                <w:szCs w:val="14"/>
                <w:color w:val="auto"/>
              </w:rPr>
            </w:pPr>
          </w:p>
        </w:tc>
      </w:tr>
      <w:tr>
        <w:trPr>
          <w:trHeight w:val="167"/>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at beginning of the period</w:t>
            </w: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1,757,241</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17,276</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Cash at end of the period</w:t>
            </w:r>
          </w:p>
        </w:tc>
        <w:tc>
          <w:tcPr>
            <w:tcW w:w="10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2,129,451</w:t>
            </w:r>
          </w:p>
        </w:tc>
        <w:tc>
          <w:tcPr>
            <w:tcW w:w="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113,665</w:t>
            </w:r>
          </w:p>
        </w:tc>
        <w:tc>
          <w:tcPr>
            <w:tcW w:w="80" w:type="dxa"/>
            <w:vAlign w:val="bottom"/>
          </w:tcPr>
          <w:p>
            <w:pPr>
              <w:spacing w:after="0"/>
              <w:rPr>
                <w:sz w:val="14"/>
                <w:szCs w:val="14"/>
                <w:color w:val="auto"/>
              </w:rPr>
            </w:pPr>
          </w:p>
        </w:tc>
      </w:tr>
      <w:tr>
        <w:trPr>
          <w:trHeight w:val="283"/>
        </w:trPr>
        <w:tc>
          <w:tcPr>
            <w:tcW w:w="2440" w:type="dxa"/>
            <w:vAlign w:val="bottom"/>
          </w:tcPr>
          <w:p>
            <w:pPr>
              <w:spacing w:after="0"/>
              <w:rPr>
                <w:sz w:val="24"/>
                <w:szCs w:val="24"/>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159"/>
          </w:cols>
          <w:pgMar w:left="300" w:top="40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operating activities</w:t>
      </w:r>
    </w:p>
    <w:p>
      <w:pPr>
        <w:spacing w:after="0" w:line="91" w:lineRule="exact"/>
        <w:rPr>
          <w:sz w:val="20"/>
          <w:szCs w:val="20"/>
          <w:color w:val="auto"/>
        </w:rPr>
      </w:pPr>
    </w:p>
    <w:p>
      <w:pPr>
        <w:ind w:left="1400" w:right="319"/>
        <w:spacing w:after="0" w:line="259" w:lineRule="auto"/>
        <w:rPr>
          <w:sz w:val="20"/>
          <w:szCs w:val="20"/>
          <w:color w:val="auto"/>
        </w:rPr>
      </w:pPr>
      <w:r>
        <w:rPr>
          <w:rFonts w:ascii="Times New Roman" w:cs="Times New Roman" w:eastAsia="Times New Roman" w:hAnsi="Times New Roman"/>
          <w:sz w:val="14"/>
          <w:szCs w:val="14"/>
          <w:color w:val="auto"/>
        </w:rPr>
        <w:t>Net cash used in operating activities of $1,212,790 for the three months ended March 31, 2026 was primarily driven by non-cash gains that reduced reported net income to cash, including a $13,419,233 change in the fair value of SAFEs and a $4,689,638 remeasurement of an accrued legal settlement liability partially offset by $2,734,113 of stock-based compensation, $771,931 of net favorable changes in operating assets and liabilities, $20,996 of noncash operating lease expense, and $1,945 of depreciation.</w:t>
      </w:r>
    </w:p>
    <w:p>
      <w:pPr>
        <w:spacing w:after="0" w:line="139"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4"/>
          <w:szCs w:val="14"/>
          <w:color w:val="auto"/>
        </w:rPr>
        <w:t>Net cash used in operating activities of $210,611 for the three months ended March 31, 2025 was primarily attributable to a net loss of $220,351 and net unfavorable changes in operating assets and liabilities.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91" w:lineRule="exact"/>
        <w:rPr>
          <w:sz w:val="20"/>
          <w:szCs w:val="20"/>
          <w:color w:val="auto"/>
        </w:rPr>
      </w:pPr>
    </w:p>
    <w:p>
      <w:pPr>
        <w:ind w:left="1400" w:right="479"/>
        <w:spacing w:after="0" w:line="279" w:lineRule="auto"/>
        <w:rPr>
          <w:sz w:val="20"/>
          <w:szCs w:val="20"/>
          <w:color w:val="auto"/>
        </w:rPr>
      </w:pPr>
      <w:r>
        <w:rPr>
          <w:rFonts w:ascii="Times New Roman" w:cs="Times New Roman" w:eastAsia="Times New Roman" w:hAnsi="Times New Roman"/>
          <w:sz w:val="14"/>
          <w:szCs w:val="14"/>
          <w:color w:val="auto"/>
        </w:rPr>
        <w:t>Net cash provided by financing activities of $1,585,000 for the three months ended March 31, 2026 was attributable to proceeds from the issuance of SAFEs.</w:t>
      </w:r>
    </w:p>
    <w:p>
      <w:pPr>
        <w:spacing w:after="0" w:line="126" w:lineRule="exact"/>
        <w:rPr>
          <w:sz w:val="20"/>
          <w:szCs w:val="20"/>
          <w:color w:val="auto"/>
        </w:rPr>
      </w:pPr>
    </w:p>
    <w:p>
      <w:pPr>
        <w:ind w:left="1400" w:right="579"/>
        <w:spacing w:after="0" w:line="279" w:lineRule="auto"/>
        <w:rPr>
          <w:sz w:val="20"/>
          <w:szCs w:val="20"/>
          <w:color w:val="auto"/>
        </w:rPr>
      </w:pPr>
      <w:r>
        <w:rPr>
          <w:rFonts w:ascii="Times New Roman" w:cs="Times New Roman" w:eastAsia="Times New Roman" w:hAnsi="Times New Roman"/>
          <w:sz w:val="14"/>
          <w:szCs w:val="14"/>
          <w:color w:val="auto"/>
        </w:rPr>
        <w:t>Net cash provided by financing activities of $307,000 for the three months ended March 31, 2025 was attributable to proceeds from the issuance of SAFEs.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91"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4"/>
          <w:szCs w:val="14"/>
          <w:color w:val="auto"/>
        </w:rPr>
        <w:t>We did not have any material commitments or contractual obligations as of March 31, 2026, other than leases under which we lease real estate for office space and a vehicle. These leases have been classified as operating leases.</w:t>
      </w:r>
    </w:p>
    <w:p>
      <w:pPr>
        <w:spacing w:after="0" w:line="126"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As disclosed in our Registration Statement on Form S-4, as amended, in February 2025 the Company entered into a vehicle lease through January 2028 with aggregate minimum lease payments of $80,519, and in June 2025 the Company entered into an office lease through June 2026 with aggregate minimum lease payments of $70,270. There were no material new commitments or contractual obligations entered into during the three months ended March 31, 2026.</w:t>
      </w:r>
    </w:p>
    <w:p>
      <w:pPr>
        <w:spacing w:after="0" w:line="1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Contractual payments under the leases as of March 31, 2026 are as follows:</w:t>
      </w:r>
    </w:p>
    <w:p>
      <w:pPr>
        <w:spacing w:after="0" w:line="189" w:lineRule="exact"/>
        <w:rPr>
          <w:sz w:val="20"/>
          <w:szCs w:val="20"/>
          <w:color w:val="auto"/>
        </w:rPr>
      </w:pPr>
    </w:p>
    <w:tbl>
      <w:tblPr>
        <w:tblLayout w:type="fixed"/>
        <w:tblInd w:w="1740" w:type="dxa"/>
        <w:tblCellMar>
          <w:top w:w="0" w:type="dxa"/>
          <w:left w:w="0" w:type="dxa"/>
          <w:bottom w:w="0" w:type="dxa"/>
          <w:right w:w="0" w:type="dxa"/>
        </w:tblCellMar>
      </w:tblPr>
      <w:tr>
        <w:trPr>
          <w:trHeight w:val="134"/>
        </w:trPr>
        <w:tc>
          <w:tcPr>
            <w:tcW w:w="28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11"/>
                <w:szCs w:val="11"/>
                <w:color w:val="auto"/>
              </w:rPr>
            </w:pPr>
          </w:p>
        </w:tc>
        <w:tc>
          <w:tcPr>
            <w:tcW w:w="640" w:type="dxa"/>
            <w:vAlign w:val="bottom"/>
            <w:gridSpan w:val="2"/>
          </w:tcPr>
          <w:p>
            <w:pPr>
              <w:jc w:val="center"/>
              <w:ind w:left="117"/>
              <w:spacing w:after="0"/>
              <w:rPr>
                <w:sz w:val="20"/>
                <w:szCs w:val="20"/>
                <w:color w:val="auto"/>
              </w:rPr>
            </w:pPr>
            <w:r>
              <w:rPr>
                <w:rFonts w:ascii="Times New Roman" w:cs="Times New Roman" w:eastAsia="Times New Roman" w:hAnsi="Times New Roman"/>
                <w:sz w:val="11"/>
                <w:szCs w:val="11"/>
                <w:b w:val="1"/>
                <w:bCs w:val="1"/>
                <w:color w:val="auto"/>
                <w:w w:val="99"/>
              </w:rPr>
              <w:t>2027</w:t>
            </w:r>
          </w:p>
        </w:tc>
        <w:tc>
          <w:tcPr>
            <w:tcW w:w="36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2028</w:t>
            </w:r>
          </w:p>
        </w:tc>
        <w:tc>
          <w:tcPr>
            <w:tcW w:w="360" w:type="dxa"/>
            <w:vAlign w:val="bottom"/>
          </w:tcPr>
          <w:p>
            <w:pPr>
              <w:spacing w:after="0"/>
              <w:rPr>
                <w:sz w:val="11"/>
                <w:szCs w:val="11"/>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7"/>
        </w:trPr>
        <w:tc>
          <w:tcPr>
            <w:tcW w:w="28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Vehicle lease</w:t>
            </w:r>
          </w:p>
        </w:tc>
        <w:tc>
          <w:tcPr>
            <w:tcW w:w="2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9,520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color w:val="auto"/>
              </w:rPr>
              <w:t>$12,694</w:t>
            </w:r>
          </w:p>
        </w:tc>
        <w:tc>
          <w:tcPr>
            <w:tcW w:w="3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color w:val="auto"/>
                <w:w w:val="98"/>
              </w:rPr>
              <w:t>$1,552</w:t>
            </w: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$23,766</w:t>
            </w:r>
          </w:p>
        </w:tc>
        <w:tc>
          <w:tcPr>
            <w:tcW w:w="40" w:type="dxa"/>
            <w:vAlign w:val="bottom"/>
            <w:tcBorders>
              <w:top w:val="single" w:sz="8" w:color="CCEEFF"/>
            </w:tcBorders>
            <w:shd w:val="clear" w:color="auto" w:fill="CCEEFF"/>
          </w:tcPr>
          <w:p>
            <w:pPr>
              <w:spacing w:after="0"/>
              <w:rPr>
                <w:sz w:val="13"/>
                <w:szCs w:val="13"/>
                <w:color w:val="auto"/>
              </w:rPr>
            </w:pPr>
          </w:p>
        </w:tc>
      </w:tr>
      <w:tr>
        <w:trPr>
          <w:trHeight w:val="167"/>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Office lease</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3"/>
              </w:rPr>
              <w:t>12,013</w:t>
            </w:r>
          </w:p>
        </w:tc>
        <w:tc>
          <w:tcPr>
            <w:tcW w:w="18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12,013</w:t>
            </w:r>
          </w:p>
        </w:tc>
      </w:tr>
      <w:tr>
        <w:trPr>
          <w:trHeight w:val="21"/>
        </w:trPr>
        <w:tc>
          <w:tcPr>
            <w:tcW w:w="2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3"/>
              </w:rPr>
              <w:t>21,533</w:t>
            </w:r>
          </w:p>
        </w:tc>
        <w:tc>
          <w:tcPr>
            <w:tcW w:w="10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12,694</w:t>
            </w:r>
          </w:p>
        </w:tc>
        <w:tc>
          <w:tcPr>
            <w:tcW w:w="74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1,552</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35,779</w:t>
            </w:r>
          </w:p>
        </w:tc>
      </w:tr>
      <w:tr>
        <w:trPr>
          <w:trHeight w:val="20"/>
        </w:trPr>
        <w:tc>
          <w:tcPr>
            <w:tcW w:w="2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of March 31, 2026, we did not have any off-balance sheet arrangements as defined in Item 303(a)(4) of Regulation S-K.</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1"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condensed financial statements, which have been prepared in accordance with GAAP. The preparation of these financial statements requires our management to make estimates and assumptions that affect the reported amounts of assets and liabilities and the disclosure of contingent assets and liabilities at the date of the financial statements, as well as the reported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40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85" w:lineRule="auto"/>
        <w:rPr>
          <w:sz w:val="20"/>
          <w:szCs w:val="20"/>
          <w:color w:val="auto"/>
        </w:rPr>
      </w:pPr>
      <w:r>
        <w:rPr>
          <w:rFonts w:ascii="Times New Roman" w:cs="Times New Roman" w:eastAsia="Times New Roman" w:hAnsi="Times New Roman"/>
          <w:sz w:val="13"/>
          <w:szCs w:val="13"/>
          <w:color w:val="auto"/>
        </w:rPr>
        <w:t>about the carrying value of assets and liabilities that are not readily apparent from other sources. Our actual results may differ from these estimates under different assumptions or conditions. There have been no material changes to our critical accounting policies and estimates from those disclosed in our Registration Statement on Form S-4, as amended. Our most critical accounting policies and estimates continue to relate to (i) the fair value of Simple Agreements for Future Equity, (ii) stock-based compensation, and (iii) accruals for loss contingencies, including for an expected legal settlement.</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Recently Issued and Adopted Accounting Pronouncements</w:t>
      </w:r>
    </w:p>
    <w:p>
      <w:pPr>
        <w:spacing w:after="0" w:line="91" w:lineRule="exact"/>
        <w:rPr>
          <w:sz w:val="20"/>
          <w:szCs w:val="20"/>
          <w:color w:val="auto"/>
        </w:rPr>
      </w:pPr>
    </w:p>
    <w:p>
      <w:pPr>
        <w:ind w:left="1400" w:right="379"/>
        <w:spacing w:after="0" w:line="279" w:lineRule="auto"/>
        <w:rPr>
          <w:sz w:val="20"/>
          <w:szCs w:val="20"/>
          <w:color w:val="auto"/>
        </w:rPr>
      </w:pPr>
      <w:r>
        <w:rPr>
          <w:rFonts w:ascii="Times New Roman" w:cs="Times New Roman" w:eastAsia="Times New Roman" w:hAnsi="Times New Roman"/>
          <w:sz w:val="14"/>
          <w:szCs w:val="14"/>
          <w:color w:val="auto"/>
        </w:rPr>
        <w:t>We describe the recently issued accounting pronouncements that apply to us in Note 2 to our condensed financial statements included elsewhere in this registration statement.</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91"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The Company is an “emerging growth company” as defined in the Jumpstart Our Business Startups Act (“JOBS Act”). The JOBS Act provides emerging growth companies with certain exemptions from public company reporting requirements for up to five fiscal years while a company remains an emerging growth company. As part of these exemptions, the Company has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w:t>
      </w:r>
    </w:p>
    <w:p>
      <w:pPr>
        <w:spacing w:after="0" w:line="145" w:lineRule="exact"/>
        <w:rPr>
          <w:sz w:val="20"/>
          <w:szCs w:val="20"/>
          <w:color w:val="auto"/>
        </w:rPr>
      </w:pPr>
    </w:p>
    <w:p>
      <w:pPr>
        <w:ind w:left="1400" w:right="599"/>
        <w:spacing w:after="0" w:line="279" w:lineRule="auto"/>
        <w:rPr>
          <w:sz w:val="20"/>
          <w:szCs w:val="20"/>
          <w:color w:val="auto"/>
        </w:rPr>
      </w:pPr>
      <w:r>
        <w:rPr>
          <w:rFonts w:ascii="Times New Roman" w:cs="Times New Roman" w:eastAsia="Times New Roman" w:hAnsi="Times New Roman"/>
          <w:sz w:val="14"/>
          <w:szCs w:val="14"/>
          <w:color w:val="auto"/>
        </w:rPr>
        <w:t>We also qualify as a “smaller reporting company,” as such term is defined in Rule 12b-2 of the Securities Exchange Act of 1934, as amended. As a smaller reporting company, we may continue to rely on certain reduced disclosure requirements available to smaller reporting companies.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 About Market Risk</w:t>
      </w:r>
    </w:p>
    <w:p>
      <w:pPr>
        <w:spacing w:after="0" w:line="91"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4"/>
          <w:szCs w:val="14"/>
          <w:color w:val="auto"/>
        </w:rPr>
        <w:t>As a “smaller reporting company” as defined by Rule 12b-2 of the Exchange Act, and pursuant to Item 305 of Regulation S-K, we are not required to disclose information under this section.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40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3" w:lineRule="exact"/>
        <w:rPr>
          <w:sz w:val="20"/>
          <w:szCs w:val="20"/>
          <w:color w:val="auto"/>
        </w:rPr>
      </w:pPr>
    </w:p>
    <w:p>
      <w:pPr>
        <w:ind w:left="1400" w:right="259" w:firstLine="340"/>
        <w:spacing w:after="0" w:line="282" w:lineRule="auto"/>
        <w:rPr>
          <w:sz w:val="20"/>
          <w:szCs w:val="20"/>
          <w:color w:val="auto"/>
        </w:rPr>
      </w:pPr>
      <w:r>
        <w:rPr>
          <w:rFonts w:ascii="Times New Roman" w:cs="Times New Roman" w:eastAsia="Times New Roman" w:hAnsi="Times New Roman"/>
          <w:sz w:val="14"/>
          <w:szCs w:val="14"/>
          <w:i w:val="1"/>
          <w:iCs w:val="1"/>
          <w:color w:val="auto"/>
        </w:rPr>
        <w:t>The following discussion reflects the business of the Company. In this section, “we,” “our,” “the Company” or “Hadron Energy” below generally refers to Hadron Energy, Inc. and its subsidiaries.</w:t>
      </w:r>
    </w:p>
    <w:p>
      <w:pPr>
        <w:spacing w:after="0" w:line="2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1400" w:right="359"/>
        <w:spacing w:after="0" w:line="254" w:lineRule="auto"/>
        <w:rPr>
          <w:sz w:val="20"/>
          <w:szCs w:val="20"/>
          <w:color w:val="auto"/>
        </w:rPr>
      </w:pPr>
      <w:r>
        <w:rPr>
          <w:rFonts w:ascii="Times New Roman" w:cs="Times New Roman" w:eastAsia="Times New Roman" w:hAnsi="Times New Roman"/>
          <w:sz w:val="14"/>
          <w:szCs w:val="14"/>
          <w:color w:val="auto"/>
        </w:rPr>
        <w:t>Hadron Energy is an advanced nuclear technology company developing factory-fabricated, transportable 10 MWe MMRs to meet the growing global demand for clean, reliable, and affordable power. Our mission is to deliver scalable, carbon-free energy solutions that can be rapidly deployed to power a variety of industries, including data centers, industrial facilities, remote communities, government installations and more. We were founded to revolutionize energy delivery by combining the high capacity and reliability of nuclear power with modular scalability, building on proven light-water reactor (“LWR”) technology combined with innovations in safety, deployment and fuel cycle design to create a safe, small-scale, cost-effective and rapidly deployable nuclear energy solution to growing electricity demand.</w:t>
      </w:r>
    </w:p>
    <w:p>
      <w:pPr>
        <w:spacing w:after="0" w:line="145" w:lineRule="exact"/>
        <w:rPr>
          <w:sz w:val="20"/>
          <w:szCs w:val="20"/>
          <w:color w:val="auto"/>
        </w:rPr>
      </w:pPr>
    </w:p>
    <w:p>
      <w:pPr>
        <w:ind w:left="1400" w:right="379"/>
        <w:spacing w:after="0" w:line="253" w:lineRule="auto"/>
        <w:rPr>
          <w:sz w:val="20"/>
          <w:szCs w:val="20"/>
          <w:color w:val="auto"/>
        </w:rPr>
      </w:pPr>
      <w:r>
        <w:rPr>
          <w:rFonts w:ascii="Times New Roman" w:cs="Times New Roman" w:eastAsia="Times New Roman" w:hAnsi="Times New Roman"/>
          <w:sz w:val="14"/>
          <w:szCs w:val="14"/>
          <w:color w:val="auto"/>
        </w:rPr>
        <w:t>Headquartered in the San Francisco Bay Area with a secondary office in New York City, we leverage a bi-coastal strategy to accelerate engineering innovation, regulatory engagement, and investor access. We have already received a strong early interest in our MMR solution and have engaged with key potential customers for future deployments representing hundreds of units. Our flagship product, the “Hadron Halo” or “Halo”, will be a 10 MWe MMR designed for a sealed 10-year fuel cycle and will be manufactured in a centralized U.S. factory and shipped via standard heavy-haul truck or rail for installation on-site. In contrast, traditional nuclear reactors are typically 600-1,000+ MWe facilities requiring decade-long construction projects and $10-30 billion in site-specific capital investment. We believe our smaller MMRs can be deployed much faster and at lower upfront cost per kilowatt (“kW”), enabling the use of nuclear power in new markets and use cases.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91"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 xml:space="preserve">Global demand for electricity is rising rapidly as artificial intelligence demands increase exponentially and reshoring of industrialization takes hold. Worldwide electricity consumption is projected to nearly triple by 2050, driven by growth in data centers, electric vehicles, and industrial electrification. According to the </w:t>
      </w:r>
      <w:r>
        <w:rPr>
          <w:rFonts w:ascii="Times New Roman" w:cs="Times New Roman" w:eastAsia="Times New Roman" w:hAnsi="Times New Roman"/>
          <w:sz w:val="14"/>
          <w:szCs w:val="14"/>
          <w:b w:val="1"/>
          <w:bCs w:val="1"/>
          <w:color w:val="auto"/>
        </w:rPr>
        <w:t>DOE</w:t>
      </w:r>
      <w:r>
        <w:rPr>
          <w:rFonts w:ascii="Times New Roman" w:cs="Times New Roman" w:eastAsia="Times New Roman" w:hAnsi="Times New Roman"/>
          <w:sz w:val="14"/>
          <w:szCs w:val="14"/>
          <w:color w:val="auto"/>
        </w:rPr>
        <w:t>, in the U.S. alone, data centers (which consumed roughly 4% of U.S. electricity in 2023) are expected to consume up to 12% of all U.S. electricity by 2030, due in large part to the boom in artificial intelligence and cloud computing. This surging demand for reliable, 24/7 power is coupled with global decarbonization initiatives, creating a significant opportunity for advanced nuclear power solutions and renewable energy sources like wind and solar power.</w:t>
      </w:r>
    </w:p>
    <w:p>
      <w:pPr>
        <w:spacing w:after="0" w:line="145" w:lineRule="exact"/>
        <w:rPr>
          <w:sz w:val="20"/>
          <w:szCs w:val="20"/>
          <w:color w:val="auto"/>
        </w:rPr>
      </w:pPr>
    </w:p>
    <w:p>
      <w:pPr>
        <w:ind w:left="1400" w:right="379"/>
        <w:spacing w:after="0" w:line="279" w:lineRule="auto"/>
        <w:rPr>
          <w:sz w:val="20"/>
          <w:szCs w:val="20"/>
          <w:color w:val="auto"/>
        </w:rPr>
      </w:pPr>
      <w:r>
        <w:rPr>
          <w:rFonts w:ascii="Times New Roman" w:cs="Times New Roman" w:eastAsia="Times New Roman" w:hAnsi="Times New Roman"/>
          <w:sz w:val="14"/>
          <w:szCs w:val="14"/>
          <w:color w:val="auto"/>
        </w:rPr>
        <w:t>The use of wind and solar power has grown rapidly in recent years and now accounts for a notable share of energy generation. However, these existing renewable energy solutions face critical limitations in providing continuous, high-density power, including the following:</w:t>
      </w:r>
    </w:p>
    <w:p>
      <w:pPr>
        <w:spacing w:after="0" w:line="51" w:lineRule="exact"/>
        <w:rPr>
          <w:sz w:val="20"/>
          <w:szCs w:val="20"/>
          <w:color w:val="auto"/>
        </w:rPr>
      </w:pPr>
    </w:p>
    <w:p>
      <w:pPr>
        <w:ind w:left="2140" w:right="419" w:hanging="333"/>
        <w:spacing w:after="0" w:line="260" w:lineRule="auto"/>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Land Use</w:t>
      </w:r>
      <w:r>
        <w:rPr>
          <w:rFonts w:ascii="Times New Roman" w:cs="Times New Roman" w:eastAsia="Times New Roman" w:hAnsi="Times New Roman"/>
          <w:sz w:val="14"/>
          <w:szCs w:val="14"/>
          <w:color w:val="auto"/>
        </w:rPr>
        <w:t>: Renewable energy generation is land-intensive. A 10 megawatt (“MW”) solar farm typically requires approximately 50–80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acres of land, and a 10 MW onshore wind farm can require 500+ acres of land, when accounting for turbine spacing. In contrast, a single Hadron Halo unit (including its modular balance-of-plant, as described further below) is expected to require less than one acre of land to produce 10 MW of power, dramatically reducing land requirements for equivalent energy output.</w:t>
      </w:r>
    </w:p>
    <w:p>
      <w:pPr>
        <w:spacing w:after="0" w:line="63" w:lineRule="exact"/>
        <w:rPr>
          <w:rFonts w:ascii="Times New Roman" w:cs="Times New Roman" w:eastAsia="Times New Roman" w:hAnsi="Times New Roman"/>
          <w:sz w:val="14"/>
          <w:szCs w:val="14"/>
          <w:color w:val="auto"/>
        </w:rPr>
      </w:pPr>
    </w:p>
    <w:p>
      <w:pPr>
        <w:ind w:left="2140" w:right="379" w:hanging="333"/>
        <w:spacing w:after="0" w:line="257" w:lineRule="auto"/>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Capacity Factor and Reliability</w:t>
      </w:r>
      <w:r>
        <w:rPr>
          <w:rFonts w:ascii="Times New Roman" w:cs="Times New Roman" w:eastAsia="Times New Roman" w:hAnsi="Times New Roman"/>
          <w:sz w:val="14"/>
          <w:szCs w:val="14"/>
          <w:color w:val="auto"/>
        </w:rPr>
        <w:t>: Capacity factor is a performance metric for power generation used to compare the efficiency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reliability of different energy sources. Expressed as a percentage, capacity factor shows how often and how consistently an energy source is used, with higher capacity factors indicating more intensive and continuous operation. Due to the intermittent nature of wind and sunlight, the capacity factor of wind and solar farms are heavily influenced by season and geographic location, with average capacity factors often in the 25%-35% range. In comparison, U.S. nuclear power</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40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60" w:right="279"/>
        <w:spacing w:after="0" w:line="254" w:lineRule="auto"/>
        <w:rPr>
          <w:sz w:val="20"/>
          <w:szCs w:val="20"/>
          <w:color w:val="auto"/>
        </w:rPr>
      </w:pPr>
      <w:r>
        <w:rPr>
          <w:rFonts w:ascii="Times New Roman" w:cs="Times New Roman" w:eastAsia="Times New Roman" w:hAnsi="Times New Roman"/>
          <w:sz w:val="14"/>
          <w:szCs w:val="14"/>
          <w:color w:val="auto"/>
        </w:rPr>
        <w:t>plants are designed to run at or near full output with an average capacity factor of approximately 93%, the highest capacity factor of any major energy source according to the U.S. Energy Information Administration (the “EIA”). This reliable around-the-clock output makes nuclear energy well suited to provide baseload power, which represents the minimum, steady level of electricity demand on a grid that must be met to ensure a reliable and consistent power supply. Power generation from renewables, on the other hand, requires either overbuilding capacity (such as gas turbines) or adding energy storage to achieve similar reliability due to intermittency, with solar having a 23.4% capacity factor and wind having a 34.3% capacity factor.</w:t>
      </w:r>
    </w:p>
    <w:p>
      <w:pPr>
        <w:spacing w:after="0" w:line="70" w:lineRule="exact"/>
        <w:rPr>
          <w:sz w:val="20"/>
          <w:szCs w:val="20"/>
          <w:color w:val="auto"/>
        </w:rPr>
      </w:pPr>
    </w:p>
    <w:p>
      <w:pPr>
        <w:ind w:left="2140" w:right="339" w:hanging="333"/>
        <w:spacing w:after="0" w:line="253"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Energy Storage Costs</w:t>
      </w:r>
      <w:r>
        <w:rPr>
          <w:rFonts w:ascii="Times New Roman" w:cs="Times New Roman" w:eastAsia="Times New Roman" w:hAnsi="Times New Roman"/>
          <w:sz w:val="14"/>
          <w:szCs w:val="14"/>
          <w:color w:val="auto"/>
        </w:rPr>
        <w:t>: As noted above, in order to supply 24/7 power using intermittent renewables like wind and solar energy, large-scale energy storage must be added to these sites. Battery energy storage systems enable energy from renewables to be stored and released when power is needed most. Current battery storage systems are expensive. Grid-scale battery systems today cost approximately $200– $400 per kWh of storage capacity. Incorporating sufficient battery capacity to provide energy during low-output times, such as nights and multi-day lulls in wind speed, can substantially raise the levelized cost of renewable energy. Other energy storage solutions (such as pumped hydropower) are geographically limited to regions with significant elevation differences between two reservoirs. These factors make it challenging for renewable energy sites (including their energy storage requirements) to fully replace firm power plants without significant cost or overbuild.</w:t>
      </w:r>
    </w:p>
    <w:p>
      <w:pPr>
        <w:spacing w:after="0" w:line="146"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We believe MMRs like ours are uniquely positioned to address these limitations. The Hadron Halo will offer the high capacity factor and reliability of conventional nuclear energy packaged in a modular, small-scale design. By operating continuously at full power and requiring minimal land, MMRs can complement renewable energy production by providing carbon-free baseload power in locations or applications where large plants or vast solar/wind farms are impractical. We expect growing demand for “always-on” clean power that nuclear energy can provide. We believe that the Hadron Halo can meet this demand and will support critical and growing energy needs, including the power needs of data center infrastructure and industrial processes. This drives a significant market for advanced nuclear reactors.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Technology Overview</w:t>
      </w:r>
    </w:p>
    <w:p>
      <w:pPr>
        <w:spacing w:after="0" w:line="9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Nuclear reactors generate power by converting the energy released from atomic fission into electricity. Inside the reactor core, uranium fuel undergoes a controlled nuclear chain reaction that splits atomic nuclei and releases heat. This heat warms water circulating through the reactor’s primary coolant loop, which is under high pressure so it remains liquid. The hot water transfers its heat through a steam generator to a separate secondary loop, in which feedwater is converted to steam. The steam then drives a turbine connected to a generator, producing electricity. In essence, a nuclear power plant operates much like a conventional thermal power plant, but the heat source is nuclear fission rather than combustion, which means no carbon emissions are produced.</w:t>
      </w:r>
    </w:p>
    <w:p>
      <w:pPr>
        <w:spacing w:after="0" w:line="145" w:lineRule="exact"/>
        <w:rPr>
          <w:sz w:val="20"/>
          <w:szCs w:val="20"/>
          <w:color w:val="auto"/>
        </w:rPr>
      </w:pPr>
    </w:p>
    <w:p>
      <w:pPr>
        <w:ind w:left="1400" w:right="319"/>
        <w:spacing w:after="0" w:line="259" w:lineRule="auto"/>
        <w:rPr>
          <w:sz w:val="20"/>
          <w:szCs w:val="20"/>
          <w:color w:val="auto"/>
        </w:rPr>
      </w:pPr>
      <w:r>
        <w:rPr>
          <w:rFonts w:ascii="Times New Roman" w:cs="Times New Roman" w:eastAsia="Times New Roman" w:hAnsi="Times New Roman"/>
          <w:sz w:val="14"/>
          <w:szCs w:val="14"/>
          <w:color w:val="auto"/>
        </w:rPr>
        <w:t>The systems directly associated with the nuclear reaction and primary heat transfer are collectively called the nuclear island. This includes the reactor pressure vessel, reactor core, control rods, internal pumps, and steam generators. The systems that convert heat into electricity, such as turbines, generators, condensers, and electrical switchgear, are the balance-of-plant. Together, the nuclear island and balance-of-plant form a complete generating station.</w:t>
      </w:r>
    </w:p>
    <w:p>
      <w:pPr>
        <w:spacing w:after="0" w:line="139"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We believe MMRs like ours are uniquely positioned to address these limitations. The Hadron Halo will offer the high capacity factor and reliability of conventional nuclear energy packaged in a modular, small-scale design. By operating continuously at full power and requiring minimal land, MMRs can complement renewable energy production by providing carbon-free baseload power in locations or applications where large plants or vast solar/wind farms are impractical. We expect growing demand for “always-on” clean power that nuclear energy can provide. We believe that the Hadron Halo can meet this demand and will support critical and growing energy needs, including the power needs of data center infrastructure and industrial processes. This drives a significant market for advanced nuclear reactors.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40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Technology Overview</w:t>
      </w:r>
    </w:p>
    <w:p>
      <w:pPr>
        <w:spacing w:after="0" w:line="9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Nuclear reactors generate power by converting the energy released from atomic fission into electricity. Inside the reactor core, uranium fuel undergoes a controlled nuclear chain reaction that splits atomic nuclei and releases heat. This heat warms water circulating through the reactor’s primary coolant loop, which is under high pressure so it remains liquid. The hot water transfers its heat through a steam generator to a separate secondary loop, in which feedwater is converted to steam. The steam then drives a turbine connected to a generator, producing electricity. In essence, a nuclear power plant operates much like a conventional thermal power plant, but the heat source is nuclear fission rather than combustion, which means no carbon emissions are produced.</w:t>
      </w:r>
    </w:p>
    <w:p>
      <w:pPr>
        <w:spacing w:after="0" w:line="145" w:lineRule="exact"/>
        <w:rPr>
          <w:sz w:val="20"/>
          <w:szCs w:val="20"/>
          <w:color w:val="auto"/>
        </w:rPr>
      </w:pPr>
    </w:p>
    <w:p>
      <w:pPr>
        <w:ind w:left="1400" w:right="319"/>
        <w:spacing w:after="0" w:line="259" w:lineRule="auto"/>
        <w:rPr>
          <w:sz w:val="20"/>
          <w:szCs w:val="20"/>
          <w:color w:val="auto"/>
        </w:rPr>
      </w:pPr>
      <w:r>
        <w:rPr>
          <w:rFonts w:ascii="Times New Roman" w:cs="Times New Roman" w:eastAsia="Times New Roman" w:hAnsi="Times New Roman"/>
          <w:sz w:val="14"/>
          <w:szCs w:val="14"/>
          <w:color w:val="auto"/>
        </w:rPr>
        <w:t>The systems directly associated with the nuclear reaction and primary heat transfer are collectively called the nuclear island. This includes the reactor pressure vessel, reactor core, control rods, internal pumps, and steam generators. The systems that convert heat into electricity, such as turbines, generators, condensers, and electrical switchgear, are the balance-of-plant. Together, the nuclear island and balance-of-plant form a complete generating station.</w:t>
      </w:r>
    </w:p>
    <w:p>
      <w:pPr>
        <w:spacing w:after="0" w:line="160" w:lineRule="exact"/>
        <w:rPr>
          <w:sz w:val="20"/>
          <w:szCs w:val="20"/>
          <w:color w:val="auto"/>
        </w:rPr>
      </w:pPr>
    </w:p>
    <w:p>
      <w:pPr>
        <w:ind w:left="1400" w:right="2959"/>
        <w:spacing w:after="0" w:line="264" w:lineRule="auto"/>
        <w:rPr>
          <w:sz w:val="20"/>
          <w:szCs w:val="20"/>
          <w:color w:val="auto"/>
        </w:rPr>
      </w:pPr>
      <w:r>
        <w:rPr>
          <w:rFonts w:ascii="Times New Roman" w:cs="Times New Roman" w:eastAsia="Times New Roman" w:hAnsi="Times New Roman"/>
          <w:sz w:val="14"/>
          <w:szCs w:val="14"/>
          <w:color w:val="auto"/>
        </w:rPr>
        <w:t>The Hadron Halo is based on LWR principles, miniaturized and optimized for modular deployment. The Hadron Halos are compact Generation III+ reactors designed for inherent safety and long-duration operation with a 10-year refueling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-327660</wp:posOffset>
            </wp:positionV>
            <wp:extent cx="1198245" cy="3230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98245" cy="3230880"/>
                    </a:xfrm>
                    <a:prstGeom prst="rect">
                      <a:avLst/>
                    </a:prstGeom>
                    <a:noFill/>
                  </pic:spPr>
                </pic:pic>
              </a:graphicData>
            </a:graphic>
          </wp:anchor>
        </w:drawing>
      </w:r>
    </w:p>
    <w:p>
      <w:pPr>
        <w:spacing w:after="0" w:line="137" w:lineRule="exact"/>
        <w:rPr>
          <w:sz w:val="20"/>
          <w:szCs w:val="20"/>
          <w:color w:val="auto"/>
        </w:rPr>
      </w:pPr>
    </w:p>
    <w:p>
      <w:pPr>
        <w:ind w:left="1400" w:right="3059"/>
        <w:spacing w:after="0" w:line="254" w:lineRule="auto"/>
        <w:rPr>
          <w:sz w:val="20"/>
          <w:szCs w:val="20"/>
          <w:color w:val="auto"/>
        </w:rPr>
      </w:pPr>
      <w:r>
        <w:rPr>
          <w:rFonts w:ascii="Times New Roman" w:cs="Times New Roman" w:eastAsia="Times New Roman" w:hAnsi="Times New Roman"/>
          <w:sz w:val="14"/>
          <w:szCs w:val="14"/>
          <w:color w:val="auto"/>
        </w:rPr>
        <w:t>Hadron Energy re-envisions the well-established PWR, one of the two primary types of light-water reactors used worldwide (the other being the boiling water reactor). Both use ordinary water as coolant and moderator; in a PWR the primary loop remains liquid under high pressure and transfers heat to a separate secondary loop that produces steam to drive a turbine. This configuration has become the dominant form of LWR technology worldwide due to its safety, simplicity, and extensive operating history. The majority of all reactors operating worldwide are LWRs.</w:t>
      </w:r>
    </w:p>
    <w:p>
      <w:pPr>
        <w:spacing w:after="0" w:line="166" w:lineRule="exact"/>
        <w:rPr>
          <w:sz w:val="20"/>
          <w:szCs w:val="20"/>
          <w:color w:val="auto"/>
        </w:rPr>
      </w:pPr>
    </w:p>
    <w:p>
      <w:pPr>
        <w:ind w:left="1400" w:right="3019"/>
        <w:spacing w:after="0" w:line="256" w:lineRule="auto"/>
        <w:rPr>
          <w:sz w:val="20"/>
          <w:szCs w:val="20"/>
          <w:color w:val="auto"/>
        </w:rPr>
      </w:pPr>
      <w:r>
        <w:rPr>
          <w:rFonts w:ascii="Times New Roman" w:cs="Times New Roman" w:eastAsia="Times New Roman" w:hAnsi="Times New Roman"/>
          <w:sz w:val="14"/>
          <w:szCs w:val="14"/>
          <w:color w:val="auto"/>
        </w:rPr>
        <w:t>Our design uses LEU+ fuel that is a commercially available and standardized nuclear fuel supported by an existing nuclear supply chain. By leveraging this familiar reactor architecture and fuel type, Hadron Energy can benefit from decades of operating experience across the global nuclear industry, spanning plant operators, suppliers, and regulators, which reduces design risk and supports licensing and deployment.</w:t>
      </w:r>
    </w:p>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Several key design features differentiate the Hadron Halo from other MMR manufacturers:</w:t>
      </w:r>
    </w:p>
    <w:p>
      <w:pPr>
        <w:spacing w:after="0" w:line="100" w:lineRule="exact"/>
        <w:rPr>
          <w:sz w:val="20"/>
          <w:szCs w:val="20"/>
          <w:color w:val="auto"/>
        </w:rPr>
      </w:pPr>
    </w:p>
    <w:p>
      <w:pPr>
        <w:ind w:left="1940" w:right="2959" w:hanging="202"/>
        <w:spacing w:after="0" w:line="254" w:lineRule="auto"/>
        <w:tabs>
          <w:tab w:leader="none" w:pos="1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our reactor core reduces the nuclear fuel required per unit of power. It does so by optimizing fuel geometry and neutron economy within the core. This allows each reactor to achieve the same energy output using less uranium, which lowers total fuel procurement costs and reduces the long-term volume of used fuel that must be stored and managed. The resulting decrease in spent fuel volume can reduce both interim fuel storage and eventual fuel reprocessing or disposal costs over the reactor’s lifetime.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color w:val="auto"/>
        </w:rPr>
        <w:t>The Hadron Halo</w:t>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color w:val="auto"/>
        </w:rPr>
        <w:t>Illustration</w:t>
      </w:r>
    </w:p>
    <w:p>
      <w:pPr>
        <w:spacing w:after="0" w:line="95" w:lineRule="exact"/>
        <w:rPr>
          <w:sz w:val="20"/>
          <w:szCs w:val="20"/>
          <w:color w:val="auto"/>
        </w:rPr>
      </w:pPr>
    </w:p>
    <w:p>
      <w:pPr>
        <w:ind w:left="2140" w:right="319" w:hanging="333"/>
        <w:spacing w:after="0" w:line="259"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the reactor core is engineered to operate at a lower power density than conventional large reactors, which reduces thermal and mechanical stresses. This “less aggressive” operating regime decreases wear on critical reactor components, including the fuel assemblies, control rod mechanisms, and coolant system equipment, thereby extending component life, improving reliability, and minimizing the likelihood of unplanned maintenance or early replacement.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40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right="279" w:hanging="333"/>
        <w:spacing w:after="0" w:line="253" w:lineRule="auto"/>
        <w:tabs>
          <w:tab w:leader="none" w:pos="2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Next, our Hadron Halo design strategically incorporates standard off-the-shelf equipment and components, eliminating the need for custom engineering. Complementing our strategy to utilize readily available LEU+ fuel, these commercially available equipment and components, including pumps, electronics, valves, and control systems, are already qualified and proven in the nuclear industry to offer superior reliability. In contrast, designing and manufacturing new or custom components requires substantial investment, extended lead times, and extensive qualification testing, which can introduce significant risks such as fabrication delays, certification setbacks, or early-stage performance failures discovered only during commissioning. Hadron Energy designs around these challenges by utilizing tried-and-true technology and well-established supply chains to source equipment and components.</w:t>
      </w:r>
    </w:p>
    <w:p>
      <w:pPr>
        <w:spacing w:after="0" w:line="115"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The NRC is responsible for certifying nuclear reactor designs and overseeing their operation. Because the Hadron Halo’s design is based on the same core principles as currently licensed reactors in the U.S., our path to licensing follows a well-established regulatory framework. The technology incorporated into the Hadron Halo, such as its pressurized water reactor architecture, fuel form, and coolant systems, has been proven through decades of safe commercial operation across the global LWR fleet. By building upon this established foundation rather than introducing novel or untested reactor concepts, Hadron Energy aims to reduce licensing risk and improve public confidence in the safety and reliability of its system. We believe that this use of familiar, demonstrated technology will strengthen market acceptance and reinforce our image as a provider of a safe, clean energy solution built on proven nuclear design principles.</w:t>
      </w:r>
    </w:p>
    <w:p>
      <w:pPr>
        <w:spacing w:after="0" w:line="1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Key design features and intended advantages of our MMR technology include:</w:t>
      </w:r>
    </w:p>
    <w:p>
      <w:pPr>
        <w:spacing w:after="0" w:line="98" w:lineRule="exact"/>
        <w:rPr>
          <w:sz w:val="20"/>
          <w:szCs w:val="20"/>
          <w:color w:val="auto"/>
        </w:rPr>
      </w:pPr>
    </w:p>
    <w:p>
      <w:pPr>
        <w:ind w:left="2140" w:right="539" w:hanging="333"/>
        <w:spacing w:after="0" w:line="260" w:lineRule="auto"/>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10-Year Fuel Cycle</w:t>
      </w:r>
      <w:r>
        <w:rPr>
          <w:rFonts w:ascii="Times New Roman" w:cs="Times New Roman" w:eastAsia="Times New Roman" w:hAnsi="Times New Roman"/>
          <w:sz w:val="14"/>
          <w:szCs w:val="14"/>
          <w:color w:val="auto"/>
        </w:rPr>
        <w:t>: Each Hadron Halo is designed to run continuously for 10 years without refueling. Compared to the 18-24 month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refueling cycle required for conventional large reactors, the Hadron Halo would eliminate approximately 5-6 refueling outages over a decade. The Hadron Halo’s 10-year sealed core greatly reduces fuel handling, operational complexity, and logistical support compared with conventional large LWR fuel management.</w:t>
      </w:r>
    </w:p>
    <w:p>
      <w:pPr>
        <w:spacing w:after="0" w:line="63" w:lineRule="exact"/>
        <w:rPr>
          <w:rFonts w:ascii="Times New Roman" w:cs="Times New Roman" w:eastAsia="Times New Roman" w:hAnsi="Times New Roman"/>
          <w:sz w:val="14"/>
          <w:szCs w:val="14"/>
          <w:color w:val="auto"/>
        </w:rPr>
      </w:pPr>
    </w:p>
    <w:p>
      <w:pPr>
        <w:ind w:left="2140" w:right="379" w:hanging="333"/>
        <w:spacing w:after="0" w:line="255" w:lineRule="auto"/>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Factory Fabrication</w:t>
      </w:r>
      <w:r>
        <w:rPr>
          <w:rFonts w:ascii="Times New Roman" w:cs="Times New Roman" w:eastAsia="Times New Roman" w:hAnsi="Times New Roman"/>
          <w:sz w:val="14"/>
          <w:szCs w:val="14"/>
          <w:color w:val="auto"/>
        </w:rPr>
        <w:t>: The Hadron Halos and primary components are being designed for serial production in a factory setting.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anticipate that each Hadron Halo unit will be built, assembled, and tested in under 12 months in the factory, after which it will be shipped to the site as a turnkey product. This timeline stands in stark contrast to traditional gigawatt -scale plants that have historically required intensive on-site construction steps, including nuclear-grade concrete placement, piece-by-piece assembly, and critical welding projects. Factory production of the Hadron Halo is expected to improve quality control and enable accelerated build-outs of installed electricity-generating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120015</wp:posOffset>
            </wp:positionV>
            <wp:extent cx="3919220" cy="17278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19220" cy="172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Hadron Energy Assembly Line Illustration</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404"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2140" w:right="439" w:hanging="333"/>
        <w:spacing w:after="0" w:line="254"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Integral Design</w:t>
      </w:r>
      <w:r>
        <w:rPr>
          <w:rFonts w:ascii="Times New Roman" w:cs="Times New Roman" w:eastAsia="Times New Roman" w:hAnsi="Times New Roman"/>
          <w:sz w:val="14"/>
          <w:szCs w:val="14"/>
          <w:color w:val="auto"/>
        </w:rPr>
        <w:t>: All of the Hadron Halo’s primary loop components are housed within the reactor pressure vessel, including the reactor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core, primary coolant pumps, steam generator, and the pressurizer. This integral design allows more assembly to take place within the factory, minimizing the number of separate components that must be shipped to the site for installation. Our design also significantly reduces the possibility of a so-called large-break loss of coolant accident, an accident scenario in which a large rupture in the coolant system causes a rapid loss of coolant, potentially leading to overheating. In conventional designs where major coolant piping is external, this is a significant risk. Our integral design mitigates this risk, making a large rupture unlikely and ensuring potential effects are safely contained within the vessel.</w:t>
      </w:r>
    </w:p>
    <w:p>
      <w:pPr>
        <w:spacing w:after="0" w:line="68" w:lineRule="exact"/>
        <w:rPr>
          <w:rFonts w:ascii="Times New Roman" w:cs="Times New Roman" w:eastAsia="Times New Roman" w:hAnsi="Times New Roman"/>
          <w:sz w:val="14"/>
          <w:szCs w:val="14"/>
          <w:color w:val="auto"/>
        </w:rPr>
      </w:pPr>
    </w:p>
    <w:p>
      <w:pPr>
        <w:ind w:left="2140" w:right="599" w:hanging="333"/>
        <w:spacing w:after="0" w:line="260"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Modular Deployment</w:t>
      </w:r>
      <w:r>
        <w:rPr>
          <w:rFonts w:ascii="Times New Roman" w:cs="Times New Roman" w:eastAsia="Times New Roman" w:hAnsi="Times New Roman"/>
          <w:sz w:val="14"/>
          <w:szCs w:val="14"/>
          <w:color w:val="auto"/>
        </w:rPr>
        <w:t>: Our modular deployment design minimizes heavy civil works, eliminating the need for specialized on-site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construction of a nuclear island, which is typical for conventional large LWRs. The MMR will arrive essentially ready to connect and provide power to the public electrical grid or the customer’s electrical system. A site could potentially go from groundbreaking to operation within 12–18 months of equipment delivery.</w:t>
      </w:r>
    </w:p>
    <w:p>
      <w:pPr>
        <w:spacing w:after="0" w:line="63" w:lineRule="exact"/>
        <w:rPr>
          <w:rFonts w:ascii="Times New Roman" w:cs="Times New Roman" w:eastAsia="Times New Roman" w:hAnsi="Times New Roman"/>
          <w:sz w:val="14"/>
          <w:szCs w:val="14"/>
          <w:color w:val="auto"/>
        </w:rPr>
      </w:pPr>
    </w:p>
    <w:p>
      <w:pPr>
        <w:ind w:left="2140" w:right="459" w:hanging="333"/>
        <w:spacing w:after="0" w:line="260"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Transportability and Modular Deployment</w:t>
      </w:r>
      <w:r>
        <w:rPr>
          <w:rFonts w:ascii="Times New Roman" w:cs="Times New Roman" w:eastAsia="Times New Roman" w:hAnsi="Times New Roman"/>
          <w:sz w:val="14"/>
          <w:szCs w:val="14"/>
          <w:color w:val="auto"/>
        </w:rPr>
        <w:t>: The entire Hadron Halo unit, including the reactor module and its accompanying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balance-of-plant, are sized for transport by standard heavy-haul tractor-trailers, railcars, or barges. The primary components of each Hadron Halo are transported on skids or in standard shipping containers for quick installation. Transportable, modular units enable us to serve locations that large plants or long transmission lines cannot easily 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170180</wp:posOffset>
            </wp:positionV>
            <wp:extent cx="4011930" cy="1211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11930" cy="121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Hadron Halo Transportability Illustration</w:t>
      </w:r>
    </w:p>
    <w:p>
      <w:pPr>
        <w:spacing w:after="0" w:line="98" w:lineRule="exact"/>
        <w:rPr>
          <w:sz w:val="20"/>
          <w:szCs w:val="20"/>
          <w:color w:val="auto"/>
        </w:rPr>
      </w:pPr>
    </w:p>
    <w:p>
      <w:pPr>
        <w:ind w:left="2140" w:right="439" w:hanging="333"/>
        <w:spacing w:after="0" w:line="260"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Compact Footprint</w:t>
      </w:r>
      <w:r>
        <w:rPr>
          <w:rFonts w:ascii="Times New Roman" w:cs="Times New Roman" w:eastAsia="Times New Roman" w:hAnsi="Times New Roman"/>
          <w:sz w:val="14"/>
          <w:szCs w:val="14"/>
          <w:color w:val="auto"/>
        </w:rPr>
        <w:t>: Each Hadron Halo is expected to have a footprint of less than one acre of land. This significantly reduces land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requirements compared to renewable energy generation; for example, achieving an equivalent 10 MWe of electrical output from wind or solar would potentially require hundreds of acres, in addition to space for battery storage systems. The compact footprint allows for placement at existing industrial sites or data center campuses.</w:t>
      </w:r>
    </w:p>
    <w:p>
      <w:pPr>
        <w:spacing w:after="0" w:line="63" w:lineRule="exact"/>
        <w:rPr>
          <w:rFonts w:ascii="Times New Roman" w:cs="Times New Roman" w:eastAsia="Times New Roman" w:hAnsi="Times New Roman"/>
          <w:sz w:val="14"/>
          <w:szCs w:val="14"/>
          <w:color w:val="auto"/>
        </w:rPr>
      </w:pPr>
    </w:p>
    <w:p>
      <w:pPr>
        <w:ind w:left="2140" w:right="419" w:hanging="333"/>
        <w:spacing w:after="0" w:line="282"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Scalable Capacity</w:t>
      </w:r>
      <w:r>
        <w:rPr>
          <w:rFonts w:ascii="Times New Roman" w:cs="Times New Roman" w:eastAsia="Times New Roman" w:hAnsi="Times New Roman"/>
          <w:sz w:val="14"/>
          <w:szCs w:val="14"/>
          <w:color w:val="auto"/>
        </w:rPr>
        <w:t>: Because of the Hadron Halo’s modular design, capacity can be scaled by adding multiple units, for instance 10 units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100 MWe, to meet larger power requirements with a phased, incremental approach.</w:t>
      </w:r>
    </w:p>
    <w:p>
      <w:pPr>
        <w:spacing w:after="0" w:line="49" w:lineRule="exact"/>
        <w:rPr>
          <w:rFonts w:ascii="Times New Roman" w:cs="Times New Roman" w:eastAsia="Times New Roman" w:hAnsi="Times New Roman"/>
          <w:sz w:val="14"/>
          <w:szCs w:val="14"/>
          <w:color w:val="auto"/>
        </w:rPr>
      </w:pPr>
    </w:p>
    <w:p>
      <w:pPr>
        <w:ind w:left="2140" w:right="339" w:hanging="333"/>
        <w:spacing w:after="0" w:line="265"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Power Output and Use Cases</w:t>
      </w:r>
      <w:r>
        <w:rPr>
          <w:rFonts w:ascii="Times New Roman" w:cs="Times New Roman" w:eastAsia="Times New Roman" w:hAnsi="Times New Roman"/>
          <w:sz w:val="14"/>
          <w:szCs w:val="14"/>
          <w:color w:val="auto"/>
        </w:rPr>
        <w:t>: The Hadron Halo produces approximately 35 MWth, converted to 10 MWe of electricity. These estimates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reflect continuous 24/7 output at a 93% capacity factor. Unlike renewables requiring 50–500 acres for equivalent capacity, the Hadron Halo and its balance-of-plant occupy under one acre, enabling compact deployment at industrial sites or data campuses.</w:t>
      </w:r>
    </w:p>
    <w:p>
      <w:pPr>
        <w:spacing w:after="0" w:line="61" w:lineRule="exact"/>
        <w:rPr>
          <w:rFonts w:ascii="Times New Roman" w:cs="Times New Roman" w:eastAsia="Times New Roman" w:hAnsi="Times New Roman"/>
          <w:sz w:val="14"/>
          <w:szCs w:val="14"/>
          <w:color w:val="auto"/>
        </w:rPr>
      </w:pPr>
    </w:p>
    <w:p>
      <w:pPr>
        <w:jc w:val="both"/>
        <w:ind w:left="2140" w:right="499" w:hanging="333"/>
        <w:spacing w:after="0" w:line="265"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Safety</w:t>
      </w:r>
      <w:r>
        <w:rPr>
          <w:rFonts w:ascii="Times New Roman" w:cs="Times New Roman" w:eastAsia="Times New Roman" w:hAnsi="Times New Roman"/>
          <w:sz w:val="14"/>
          <w:szCs w:val="14"/>
          <w:color w:val="auto"/>
        </w:rPr>
        <w:t>: Safety is central to our technology. Our reactor core is self-regulating and passively cooled in emergency situations, leveraging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highly reliable fuel and modern control systems to ensure safe shut-down without external intervention. We intend for the design of the Hadron Halo to meet or exceed NRC safety requirements for advanced reactors, including recent MMR guidance.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40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2140" w:right="279" w:hanging="333"/>
        <w:spacing w:after="0" w:line="282"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Shielding</w:t>
      </w:r>
      <w:r>
        <w:rPr>
          <w:rFonts w:ascii="Times New Roman" w:cs="Times New Roman" w:eastAsia="Times New Roman" w:hAnsi="Times New Roman"/>
          <w:sz w:val="14"/>
          <w:szCs w:val="14"/>
          <w:color w:val="auto"/>
        </w:rPr>
        <w:t>: To ensure public and personnel safety, the Hadron Halo includes robust, multi-layer shielding engineered to contain gamma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neutron radiation within the reactor module.</w:t>
      </w:r>
    </w:p>
    <w:p>
      <w:pPr>
        <w:spacing w:after="0" w:line="124"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In summary, by combining proven LWR technology with modern engineering (advanced materials, digital controls) and a novel deployment model, we aim to reduce barriers to entry and unlock the potential of nuclear energy in markets that have never been able to deploy it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162560</wp:posOffset>
            </wp:positionV>
            <wp:extent cx="4011930" cy="22574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11930"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color w:val="auto"/>
        </w:rPr>
        <w:t>Hadron Energy Microreactor Data Center Deployment Rendering</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believe that Hadron Energy has several competitive strengths that position us well in the advanced nuclear industry:</w:t>
      </w:r>
    </w:p>
    <w:p>
      <w:pPr>
        <w:spacing w:after="0" w:line="98" w:lineRule="exact"/>
        <w:rPr>
          <w:sz w:val="20"/>
          <w:szCs w:val="20"/>
          <w:color w:val="auto"/>
        </w:rPr>
      </w:pPr>
    </w:p>
    <w:p>
      <w:pPr>
        <w:ind w:left="2140" w:right="339" w:hanging="333"/>
        <w:spacing w:after="0" w:line="254"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Factory-Built, Modular Design</w:t>
      </w:r>
      <w:r>
        <w:rPr>
          <w:rFonts w:ascii="Times New Roman" w:cs="Times New Roman" w:eastAsia="Times New Roman" w:hAnsi="Times New Roman"/>
          <w:sz w:val="14"/>
          <w:szCs w:val="14"/>
          <w:color w:val="auto"/>
        </w:rPr>
        <w:t>: Our approach to mass-manufacturing and assembly of the Hadron Halo in a factory versus on-site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construction could dramatically reduce unit costs and deployment times compared to large conventional nuclear power plant construction projects. For these large plants, producing about one gigawatt of electricity, much more of the work is done on the build site, rather than the controlled environment of a factory. Since large nuclear power plants are more of a project than a product, there is less standardization of their design from one site to another, increasing engineering costs. By contrast, Hadron Halo units will be interchangeable, minimizing custom engineering work for each installation. Modular production also means revenue generation can begin faster (12-18 months from groundbreaking) versus a decade-long wait for a traditional nuclear power plant to come online.</w:t>
      </w:r>
    </w:p>
    <w:p>
      <w:pPr>
        <w:spacing w:after="0" w:line="68" w:lineRule="exact"/>
        <w:rPr>
          <w:rFonts w:ascii="Times New Roman" w:cs="Times New Roman" w:eastAsia="Times New Roman" w:hAnsi="Times New Roman"/>
          <w:sz w:val="14"/>
          <w:szCs w:val="14"/>
          <w:color w:val="auto"/>
        </w:rPr>
      </w:pPr>
    </w:p>
    <w:p>
      <w:pPr>
        <w:ind w:left="2480" w:right="339" w:hanging="245"/>
        <w:spacing w:after="0" w:line="257" w:lineRule="auto"/>
        <w:tabs>
          <w:tab w:leader="none" w:pos="248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Early Regulatory Engagement</w:t>
      </w:r>
      <w:r>
        <w:rPr>
          <w:rFonts w:ascii="Times New Roman" w:cs="Times New Roman" w:eastAsia="Times New Roman" w:hAnsi="Times New Roman"/>
          <w:sz w:val="14"/>
          <w:szCs w:val="14"/>
          <w:color w:val="auto"/>
        </w:rPr>
        <w:t>: We are proactively working with the NRC and other regulatory agencies to accelerate licensing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Hadron Halo. We are targeting an NRC 10 CFR Part 52 ML submission by 2027–2028, leveraging the new regulatory frameworks being developed for MMRs. In addition to applying for our ML, we are pursuing a COL through NRC 10 CFR Part 52. By engaging early and often with regulatory agencies, we aim to shorten the licensing timeline from the historical 8-10 years for large reactors to approximately 3-4 years from incorporation of</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40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500" w:right="479"/>
        <w:spacing w:after="0" w:line="264" w:lineRule="auto"/>
        <w:rPr>
          <w:sz w:val="20"/>
          <w:szCs w:val="20"/>
          <w:color w:val="auto"/>
        </w:rPr>
      </w:pPr>
      <w:r>
        <w:rPr>
          <w:rFonts w:ascii="Times New Roman" w:cs="Times New Roman" w:eastAsia="Times New Roman" w:hAnsi="Times New Roman"/>
          <w:sz w:val="14"/>
          <w:szCs w:val="14"/>
          <w:color w:val="auto"/>
        </w:rPr>
        <w:t>our design, consistent with recent NRC guidance for advanced reactors. Efficient licensing will allow us to commercialize sooner and capture first-mover advantages. For further information on regulatory oversight, please refer to the section below entitled “</w:t>
      </w:r>
      <w:r>
        <w:rPr>
          <w:rFonts w:ascii="Times New Roman" w:cs="Times New Roman" w:eastAsia="Times New Roman" w:hAnsi="Times New Roman"/>
          <w:sz w:val="14"/>
          <w:szCs w:val="14"/>
          <w:i w:val="1"/>
          <w:iCs w:val="1"/>
          <w:color w:val="auto"/>
        </w:rPr>
        <w:t>Government Regulations</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ind w:left="2480" w:right="279" w:hanging="245"/>
        <w:spacing w:after="0" w:line="260" w:lineRule="auto"/>
        <w:tabs>
          <w:tab w:leader="none" w:pos="2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Customer Pipeline</w:t>
      </w:r>
      <w:r>
        <w:rPr>
          <w:rFonts w:ascii="Times New Roman" w:cs="Times New Roman" w:eastAsia="Times New Roman" w:hAnsi="Times New Roman"/>
          <w:sz w:val="14"/>
          <w:szCs w:val="14"/>
          <w:color w:val="auto"/>
        </w:rPr>
        <w:t>: We have already received substantial market interest in our MMR power solution. We have already engaged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key potential customers for future deployments of the Hadron Halo. These early indications of interest span data center operators, industrial firms, and government entities, indicating broad demand across some of our target sectors. A strong pipeline not only validates our selection of target markets but also provides leverage in raising capital and scaling operations.</w:t>
      </w:r>
    </w:p>
    <w:p>
      <w:pPr>
        <w:spacing w:after="0" w:line="63" w:lineRule="exact"/>
        <w:rPr>
          <w:rFonts w:ascii="Times New Roman" w:cs="Times New Roman" w:eastAsia="Times New Roman" w:hAnsi="Times New Roman"/>
          <w:sz w:val="14"/>
          <w:szCs w:val="14"/>
          <w:color w:val="auto"/>
        </w:rPr>
      </w:pPr>
    </w:p>
    <w:p>
      <w:pPr>
        <w:ind w:left="2480" w:right="279" w:hanging="245"/>
        <w:spacing w:after="0" w:line="254" w:lineRule="auto"/>
        <w:tabs>
          <w:tab w:leader="none" w:pos="2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Experienced Team</w:t>
      </w:r>
      <w:r>
        <w:rPr>
          <w:rFonts w:ascii="Times New Roman" w:cs="Times New Roman" w:eastAsia="Times New Roman" w:hAnsi="Times New Roman"/>
          <w:sz w:val="14"/>
          <w:szCs w:val="14"/>
          <w:color w:val="auto"/>
        </w:rPr>
        <w:t>: Hadron Energy’s leadership and engineering team bring deep expertise from across the nuclear, energy,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sectors. Our team of employees and consultants includes former NRC regulators (including a former director of the NRC’s Office of Nuclear Reactor Regulation) who advise on our licensing strategy, a former chief nuclear officer of operating power plants who guides our reactor engineering, operations and safety culture, experienced manufacturing and supply chain executives, and finance professionals (including a CFO with about 20 years of public company experience). This combination of nuclear industry knowledge and execution experience gives us confidence in our ability to achieve our goals. For further information on our team, please refer to the section below entitled “</w:t>
      </w:r>
      <w:r>
        <w:rPr>
          <w:rFonts w:ascii="Times New Roman" w:cs="Times New Roman" w:eastAsia="Times New Roman" w:hAnsi="Times New Roman"/>
          <w:sz w:val="14"/>
          <w:szCs w:val="14"/>
          <w:i w:val="1"/>
          <w:iCs w:val="1"/>
          <w:color w:val="auto"/>
        </w:rPr>
        <w:t>Human Capital</w:t>
      </w:r>
      <w:r>
        <w:rPr>
          <w:rFonts w:ascii="Times New Roman" w:cs="Times New Roman" w:eastAsia="Times New Roman" w:hAnsi="Times New Roman"/>
          <w:sz w:val="14"/>
          <w:szCs w:val="14"/>
          <w:color w:val="auto"/>
        </w:rPr>
        <w:t>”.</w:t>
      </w:r>
    </w:p>
    <w:p>
      <w:pPr>
        <w:spacing w:after="0" w:line="68" w:lineRule="exact"/>
        <w:rPr>
          <w:rFonts w:ascii="Times New Roman" w:cs="Times New Roman" w:eastAsia="Times New Roman" w:hAnsi="Times New Roman"/>
          <w:sz w:val="14"/>
          <w:szCs w:val="14"/>
          <w:color w:val="auto"/>
        </w:rPr>
      </w:pPr>
    </w:p>
    <w:p>
      <w:pPr>
        <w:ind w:left="2480" w:right="259" w:hanging="245"/>
        <w:spacing w:after="0" w:line="255" w:lineRule="auto"/>
        <w:tabs>
          <w:tab w:leader="none" w:pos="2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Strategic Fuel Supply Position</w:t>
      </w:r>
      <w:r>
        <w:rPr>
          <w:rFonts w:ascii="Times New Roman" w:cs="Times New Roman" w:eastAsia="Times New Roman" w:hAnsi="Times New Roman"/>
          <w:sz w:val="14"/>
          <w:szCs w:val="14"/>
          <w:color w:val="auto"/>
        </w:rPr>
        <w:t>: Our strategy centers on using LEU+ fuel (enriched to 5-10% U-235) to achieve long core life.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Sourcing LEU+ fuel is integral to our strategy because it avoids the long lead time and approvals still required for HALEU. As a member of the DOE HALEU Consortium, we are positioned to benefit from federal support in developing the HALEU supply chain, but we avoid the risk and uncertainty of using HALEU fuel directly. We are also exploring partnerships in fuel fabrication and potential fuel recycling to vertically integrate our fuel cycle over time. For further information on our fuel strategy, please refer to the section below entitled “</w:t>
      </w:r>
      <w:r>
        <w:rPr>
          <w:rFonts w:ascii="Times New Roman" w:cs="Times New Roman" w:eastAsia="Times New Roman" w:hAnsi="Times New Roman"/>
          <w:sz w:val="14"/>
          <w:szCs w:val="14"/>
          <w:i w:val="1"/>
          <w:iCs w:val="1"/>
          <w:color w:val="auto"/>
        </w:rPr>
        <w:t>Fuel Supply</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These key competitive strengths, including our cost-efficient modular product, our fast-track licensing plan, early engagement with potential customers, our seasoned team, and our secure fuel strategy, provide a solid foundation as we move toward commercial deployment of the Hadron Halo. Although other advanced reactor developers exist, we believe our focus on small (10 MWe) transportable MMRs and a strategy focused on engaging concurrently and early with regulators, suppliers, strategic partners, states, and customers will differentiate us in the market and enable us to achieve first mover advantage.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Growth Strategy</w:t>
      </w:r>
    </w:p>
    <w:p>
      <w:pPr>
        <w:spacing w:after="0" w:line="91" w:lineRule="exact"/>
        <w:rPr>
          <w:sz w:val="20"/>
          <w:szCs w:val="20"/>
          <w:color w:val="auto"/>
        </w:rPr>
      </w:pPr>
    </w:p>
    <w:p>
      <w:pPr>
        <w:ind w:left="1400" w:right="499"/>
        <w:spacing w:after="0" w:line="279" w:lineRule="auto"/>
        <w:rPr>
          <w:sz w:val="20"/>
          <w:szCs w:val="20"/>
          <w:color w:val="auto"/>
        </w:rPr>
      </w:pPr>
      <w:r>
        <w:rPr>
          <w:rFonts w:ascii="Times New Roman" w:cs="Times New Roman" w:eastAsia="Times New Roman" w:hAnsi="Times New Roman"/>
          <w:sz w:val="14"/>
          <w:szCs w:val="14"/>
          <w:color w:val="auto"/>
        </w:rPr>
        <w:t>Our growth strategy is focused on scaling rapidly to meet growing electricity demand for clean energy while carefully managing key technology and regulatory milestones. The principal elements of our growth plan include:</w:t>
      </w:r>
    </w:p>
    <w:p>
      <w:pPr>
        <w:spacing w:after="0" w:line="51" w:lineRule="exact"/>
        <w:rPr>
          <w:sz w:val="20"/>
          <w:szCs w:val="20"/>
          <w:color w:val="auto"/>
        </w:rPr>
      </w:pPr>
    </w:p>
    <w:p>
      <w:pPr>
        <w:ind w:left="1720" w:right="319" w:hanging="246"/>
        <w:spacing w:after="0" w:line="255" w:lineRule="auto"/>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Licensing Milestones</w:t>
      </w:r>
      <w:r>
        <w:rPr>
          <w:rFonts w:ascii="Times New Roman" w:cs="Times New Roman" w:eastAsia="Times New Roman" w:hAnsi="Times New Roman"/>
          <w:sz w:val="14"/>
          <w:szCs w:val="14"/>
          <w:color w:val="auto"/>
        </w:rPr>
        <w:t>: Our goal is to submit our NRC 10 CFR Part 52 manufacturing license (ML) and combined license (COL) for the Hadron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Halo by 2027–2028, enabling us to begin commercial deployment soon after with an anticipated review time of no longer than 18 months. We are targeting our first deployment (FOAK) unit by 2030, assuming timely regulatory approval. Meeting these licensing timelines is critical because regulatory clearance is a gating item for commercial deployment, and thus, revenue generation, in the nuclear industry. We have structured our development schedule around NRC submission and approval milestones, including completing major design review documents (like the Preliminary Safety Analysis Report) in advance of the formal ML and COL license applications.</w:t>
      </w:r>
    </w:p>
    <w:p>
      <w:pPr>
        <w:spacing w:after="0" w:line="68" w:lineRule="exact"/>
        <w:rPr>
          <w:rFonts w:ascii="Times New Roman" w:cs="Times New Roman" w:eastAsia="Times New Roman" w:hAnsi="Times New Roman"/>
          <w:sz w:val="14"/>
          <w:szCs w:val="14"/>
          <w:color w:val="auto"/>
        </w:rPr>
      </w:pPr>
    </w:p>
    <w:p>
      <w:pPr>
        <w:ind w:left="1720" w:right="359" w:hanging="246"/>
        <w:spacing w:after="0" w:line="265" w:lineRule="auto"/>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Manufacturing Scale-Up</w:t>
      </w:r>
      <w:r>
        <w:rPr>
          <w:rFonts w:ascii="Times New Roman" w:cs="Times New Roman" w:eastAsia="Times New Roman" w:hAnsi="Times New Roman"/>
          <w:sz w:val="14"/>
          <w:szCs w:val="14"/>
          <w:color w:val="auto"/>
        </w:rPr>
        <w:t>: Within approximately the first five years of development, our vision is to partner with well-established manufacturers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produce our first units. In the following five to ten years, Hadron Energy intends to invest in high-volume manufacturing capability to drive down costs per unit and to meet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404"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319"/>
        <w:spacing w:after="0" w:line="253" w:lineRule="auto"/>
        <w:rPr>
          <w:sz w:val="20"/>
          <w:szCs w:val="20"/>
          <w:color w:val="auto"/>
        </w:rPr>
      </w:pPr>
      <w:r>
        <w:rPr>
          <w:rFonts w:ascii="Times New Roman" w:cs="Times New Roman" w:eastAsia="Times New Roman" w:hAnsi="Times New Roman"/>
          <w:sz w:val="14"/>
          <w:szCs w:val="14"/>
          <w:color w:val="auto"/>
        </w:rPr>
        <w:t>expected demand. We plan to establish a U.S.-based manufacturing plant (a so-called “gigafactory” for reactors) with an initial production capacity goal of at least 50 units per year by 2035, scaling to at least 100 units per year by 2040. To achieve this, we will pursue a phased buildout starting with a pilot production line (capable of producing a few units per year by 2030 for FOAK deployments) and then expanding tooling, workforce, and automation to reach full-rate production. We are currently in the process of evaluating potential factory sites, including several in nuclear-friendly eastern U.S. states, focusing on regions with skilled manufacturing labor, supportive state policies, and access to logistics infrastructure for shipping heavy equipment. For further information about our manufacturing plans, please refer to the section below entitled “</w:t>
      </w:r>
      <w:r>
        <w:rPr>
          <w:rFonts w:ascii="Times New Roman" w:cs="Times New Roman" w:eastAsia="Times New Roman" w:hAnsi="Times New Roman"/>
          <w:sz w:val="14"/>
          <w:szCs w:val="14"/>
          <w:i w:val="1"/>
          <w:iCs w:val="1"/>
          <w:color w:val="auto"/>
        </w:rPr>
        <w:t>Manufacturing and Supply Chain</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1720" w:right="259" w:hanging="246"/>
        <w:spacing w:after="0" w:line="257"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Cost Reductions and Unit Economics</w:t>
      </w:r>
      <w:r>
        <w:rPr>
          <w:rFonts w:ascii="Times New Roman" w:cs="Times New Roman" w:eastAsia="Times New Roman" w:hAnsi="Times New Roman"/>
          <w:sz w:val="14"/>
          <w:szCs w:val="14"/>
          <w:color w:val="auto"/>
        </w:rPr>
        <w:t>: We will strive to continuously reduce the levelized cost of electricity (“LCOE”) from our reactors through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 improvements and economies of scale. Our target pricing, detailed below, is competitive with the LCOE from diesel generators and peaking power plants, especially in remote applications. Key drivers of our cost reductions will be manufacturing learning curve (lower per-unit capital expenditure), extended core life requiring less operational expenditure, and the refinement of standardized site deployment practices that will reduce construction and labor costs for Hadron Energy to produce the microreactor units.</w:t>
      </w:r>
    </w:p>
    <w:p>
      <w:pPr>
        <w:spacing w:after="0" w:line="65" w:lineRule="exact"/>
        <w:rPr>
          <w:rFonts w:ascii="Times New Roman" w:cs="Times New Roman" w:eastAsia="Times New Roman" w:hAnsi="Times New Roman"/>
          <w:sz w:val="14"/>
          <w:szCs w:val="14"/>
          <w:color w:val="auto"/>
        </w:rPr>
      </w:pPr>
    </w:p>
    <w:p>
      <w:pPr>
        <w:ind w:left="1720" w:right="399" w:hanging="246"/>
        <w:spacing w:after="0" w:line="253"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Revenue Model</w:t>
      </w:r>
      <w:r>
        <w:rPr>
          <w:rFonts w:ascii="Times New Roman" w:cs="Times New Roman" w:eastAsia="Times New Roman" w:hAnsi="Times New Roman"/>
          <w:sz w:val="14"/>
          <w:szCs w:val="14"/>
          <w:color w:val="auto"/>
        </w:rPr>
        <w:t>: Our business model is structured as an “energy-as-a-service” provider, not as a one-off equipment seller. We plan to generate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stable, recurring revenue through long-term power purchase agreements (“PPAs”), under which customers will purchase electricity at a predetermined price. Under this model, Hadron Energy will be the developer, owner, and licensed operator of the Hadron Halo units. The PPAs will be a comprehensive service contract that includes not only the power generated but also all operations, maintenance, fuel management, and lifecycle responsibilities, including decommissioning. This approach will provide our customers with reliable, carbon-free power without the significant regulatory and operational burden of owning a nuclear asset, while providing Hadron Energy with predictable, long-term cash flows. Our target PPA price is $0.15 per kWh. While PPAs are our primary strategy, we may also explore alternative structures, such as leasing models, to meet specific customer needs.</w:t>
      </w:r>
    </w:p>
    <w:p>
      <w:pPr>
        <w:spacing w:after="0" w:line="70" w:lineRule="exact"/>
        <w:rPr>
          <w:rFonts w:ascii="Times New Roman" w:cs="Times New Roman" w:eastAsia="Times New Roman" w:hAnsi="Times New Roman"/>
          <w:sz w:val="14"/>
          <w:szCs w:val="14"/>
          <w:color w:val="auto"/>
        </w:rPr>
      </w:pPr>
    </w:p>
    <w:p>
      <w:pPr>
        <w:ind w:left="1720" w:right="339" w:hanging="246"/>
        <w:spacing w:after="0" w:line="260"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Market Expansion (Domestic and International)</w:t>
      </w:r>
      <w:r>
        <w:rPr>
          <w:rFonts w:ascii="Times New Roman" w:cs="Times New Roman" w:eastAsia="Times New Roman" w:hAnsi="Times New Roman"/>
          <w:sz w:val="14"/>
          <w:szCs w:val="14"/>
          <w:color w:val="auto"/>
        </w:rPr>
        <w:t>: We will initially target deployment of the Hadron Halo in the U.S. and U.S. Territories.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U.S.-first approach will allow us to operate within an emerging, favorable regulatory environment, leverage our established intellectual property protections, and streamline initial logistics without the complexities of export controls. The U.S. also presents significant commercial demand for clean energy from data center hubs, remote communities, and industrial sites.</w:t>
      </w:r>
    </w:p>
    <w:p>
      <w:pPr>
        <w:spacing w:after="0" w:line="138" w:lineRule="exact"/>
        <w:rPr>
          <w:sz w:val="20"/>
          <w:szCs w:val="20"/>
          <w:color w:val="auto"/>
        </w:rPr>
      </w:pPr>
    </w:p>
    <w:p>
      <w:pPr>
        <w:ind w:left="1400" w:right="259"/>
        <w:spacing w:after="0" w:line="254" w:lineRule="auto"/>
        <w:rPr>
          <w:sz w:val="20"/>
          <w:szCs w:val="20"/>
          <w:color w:val="auto"/>
        </w:rPr>
      </w:pPr>
      <w:r>
        <w:rPr>
          <w:rFonts w:ascii="Times New Roman" w:cs="Times New Roman" w:eastAsia="Times New Roman" w:hAnsi="Times New Roman"/>
          <w:sz w:val="14"/>
          <w:szCs w:val="14"/>
          <w:color w:val="auto"/>
        </w:rPr>
        <w:t>Once our pilot manufacturing line is operational and our initial U.S. FOAK units are licensed and demonstrating reliable performance, we plan to enter select international markets. Many allied countries in Europe and Asia have energy needs that the Hadron Halo can address. For example, we believe that the Hadron Halo can provide a solution for countries reliant on diesel energy for remote power or those that need distributed clean energy generation due to grid instability. We plan to pursue export licenses and potentially seek foreign regulatory approvals (or mutual recognition agreements) to sell in these markets by the late 2030s. International expansion would substantially enlarge our addressable market beyond the U.S. and diversify our customer base.</w:t>
      </w:r>
    </w:p>
    <w:p>
      <w:pPr>
        <w:spacing w:after="0" w:line="145"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By 2035, our vision is to have the first fleet of Hadron Halos operating in the field, a functional factory manufacturing and assembling at least 50 MMRs annually, and a robust backlog of orders domestically and abroad. We expect to finance our growth through a mix of equity capital (including the proceeds of the Business Combination Agreement), debt financing (potentially including DOE loan programs for innovative energy projects), and revenue from early deployments. For additional information about potential future financing sources, please see the section below entitled “</w:t>
      </w:r>
      <w:r>
        <w:rPr>
          <w:rFonts w:ascii="Times New Roman" w:cs="Times New Roman" w:eastAsia="Times New Roman" w:hAnsi="Times New Roman"/>
          <w:sz w:val="14"/>
          <w:szCs w:val="14"/>
          <w:i w:val="1"/>
          <w:iCs w:val="1"/>
          <w:color w:val="auto"/>
        </w:rPr>
        <w:t>Indebtedness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Growth Financing</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404"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chart below outlines our anticipated growth strategy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191770</wp:posOffset>
            </wp:positionV>
            <wp:extent cx="4011930" cy="255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1193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Hadron Energy Commercialization &amp; Growth Strategy</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Potential Customers</w:t>
      </w:r>
    </w:p>
    <w:p>
      <w:pPr>
        <w:spacing w:after="0" w:line="91" w:lineRule="exact"/>
        <w:rPr>
          <w:sz w:val="20"/>
          <w:szCs w:val="20"/>
          <w:color w:val="auto"/>
        </w:rPr>
      </w:pPr>
    </w:p>
    <w:p>
      <w:pPr>
        <w:jc w:val="both"/>
        <w:ind w:left="1400" w:right="499"/>
        <w:spacing w:after="0" w:line="293" w:lineRule="auto"/>
        <w:rPr>
          <w:sz w:val="20"/>
          <w:szCs w:val="20"/>
          <w:color w:val="auto"/>
        </w:rPr>
      </w:pPr>
      <w:r>
        <w:rPr>
          <w:rFonts w:ascii="Times New Roman" w:cs="Times New Roman" w:eastAsia="Times New Roman" w:hAnsi="Times New Roman"/>
          <w:sz w:val="13"/>
          <w:szCs w:val="13"/>
          <w:color w:val="auto"/>
        </w:rPr>
        <w:t>We are initially focusing on four primary target market segments for the Hadron Halo: Data Centers, Industrial Facilities and Heavy Manufacturing, Remote Communities and Critical Infrastructure, and Utilities and Distributed Energy. We selected these markets based on a combination of factors, including their addressable market size, willingness to adopt new technology, and the ability of the Hadron Halo to solve unique industry challenges:</w:t>
      </w:r>
    </w:p>
    <w:p>
      <w:pPr>
        <w:spacing w:after="0" w:line="45" w:lineRule="exact"/>
        <w:rPr>
          <w:sz w:val="20"/>
          <w:szCs w:val="20"/>
          <w:color w:val="auto"/>
        </w:rPr>
      </w:pPr>
    </w:p>
    <w:p>
      <w:pPr>
        <w:ind w:left="1720" w:right="299" w:hanging="246"/>
        <w:spacing w:after="0" w:line="252" w:lineRule="auto"/>
        <w:tabs>
          <w:tab w:leader="none" w:pos="17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Data Centers</w:t>
      </w:r>
      <w:r>
        <w:rPr>
          <w:rFonts w:ascii="Times New Roman" w:cs="Times New Roman" w:eastAsia="Times New Roman" w:hAnsi="Times New Roman"/>
          <w:sz w:val="14"/>
          <w:szCs w:val="14"/>
          <w:color w:val="auto"/>
        </w:rPr>
        <w:t>: The exponential growth of artificial intelligence and digital services are driving massive power demand from data centers. Industry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studies from the DOE indicate that data centers could account for 10-12% of electricity usage in the coming decade. These facilities require reliable, continuous power (even brief outages can be catastrophic for service uptime) and are increasingly seeking carbon-free energy to meet corporate sustainability goals. A fleet of Hadron Halo units can power hyperscale data centers up to 300 MWe, making the Hadron Halo a plug-and-play solution for new data center capacity or as a dedicated on-site power source. For context, Northern Virginia (which contains the largest U.S. data center cluster) has over 3,400 MWe of data center power consumption (load) and continues to grow rapidly. This demand is largely met by drawing power from an already stressed grid or from land-intensive, intermittent renewable energy sources. We believe that a cluster of Hadron Halos would provide an ideal solution to supply power to a data center campus, avoiding these issues. We have already received indications of interest from data center operators regarding potential deployments once the Hadron Halo is commercially available.</w:t>
      </w:r>
    </w:p>
    <w:p>
      <w:pPr>
        <w:spacing w:after="0" w:line="73" w:lineRule="exact"/>
        <w:rPr>
          <w:rFonts w:ascii="Times New Roman" w:cs="Times New Roman" w:eastAsia="Times New Roman" w:hAnsi="Times New Roman"/>
          <w:sz w:val="14"/>
          <w:szCs w:val="14"/>
          <w:color w:val="auto"/>
        </w:rPr>
      </w:pPr>
    </w:p>
    <w:p>
      <w:pPr>
        <w:ind w:left="1720" w:right="559" w:hanging="246"/>
        <w:spacing w:after="0" w:line="282" w:lineRule="auto"/>
        <w:tabs>
          <w:tab w:leader="none" w:pos="17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Industrial Facilities and Heavy Manufacturing</w:t>
      </w:r>
      <w:r>
        <w:rPr>
          <w:rFonts w:ascii="Times New Roman" w:cs="Times New Roman" w:eastAsia="Times New Roman" w:hAnsi="Times New Roman"/>
          <w:sz w:val="14"/>
          <w:szCs w:val="14"/>
          <w:color w:val="auto"/>
        </w:rPr>
        <w:t>: Industrial sectors such as steel manufacturing, cement production, chemical plants, and oil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refining utilize energy-intensive processes and have increasing needs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40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319"/>
        <w:spacing w:after="0" w:line="253" w:lineRule="auto"/>
        <w:rPr>
          <w:sz w:val="20"/>
          <w:szCs w:val="20"/>
          <w:color w:val="auto"/>
        </w:rPr>
      </w:pPr>
      <w:r>
        <w:rPr>
          <w:rFonts w:ascii="Times New Roman" w:cs="Times New Roman" w:eastAsia="Times New Roman" w:hAnsi="Times New Roman"/>
          <w:sz w:val="14"/>
          <w:szCs w:val="14"/>
          <w:color w:val="auto"/>
        </w:rPr>
        <w:t>for both electricity and process heat. These facilities often operate around the clock and will require baseload power from MMRs. Globally, the amount of thermal energy required (process heat demand) in these industries is equivalent to hundreds of gigawatts of continuous power. To meet their energy needs, many industrial sites burn fossil fuels on-site (coal, natural gas, fuel oil) for high-temperature processes, making it challenging for them to switch to carbon-free energy. We believe that Hadron Halos can provide a solution by supplying superheated steam to drive a steam turbine for electricity generation or process heat for industrial applications. One or multiple Hadron Halos could be installed at a plant to electrify processes or co-generate steam. The Hadron Halo’s modular size will enable customers to add capacity in increments as needed. We are in discussions with several industrial companies interested in pilot deployments of the Hadron Halo to replace aging boilers or provide clean power at remote mines and facilities.</w:t>
      </w:r>
    </w:p>
    <w:p>
      <w:pPr>
        <w:spacing w:after="0" w:line="69" w:lineRule="exact"/>
        <w:rPr>
          <w:sz w:val="20"/>
          <w:szCs w:val="20"/>
          <w:color w:val="auto"/>
        </w:rPr>
      </w:pPr>
    </w:p>
    <w:p>
      <w:pPr>
        <w:ind w:left="1720" w:right="299" w:hanging="246"/>
        <w:spacing w:after="0" w:line="251"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Remote Communities and Critical Infrastructure</w:t>
      </w:r>
      <w:r>
        <w:rPr>
          <w:rFonts w:ascii="Times New Roman" w:cs="Times New Roman" w:eastAsia="Times New Roman" w:hAnsi="Times New Roman"/>
          <w:sz w:val="14"/>
          <w:szCs w:val="14"/>
          <w:color w:val="auto"/>
        </w:rPr>
        <w:t>: Remote towns, island communities, mining operations, and military bases often rely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diesel generators or trucked-in fuel for power, resulting in extremely high electricity costs (diesel generation can cost $0.30–$1 per kWh or more) and vulnerability of supply due to complex transportation logistics to ensure constant refueling. The Hadron Halo is designed to be an ideal power solution for these remote or hard-to-access settings. The Hadron Halo can be transported to a site by truck, operate for 10 years without refueling, and eliminate the need for constant diesel fuel deliveries. For example, in parts of Alaska and Canada, Hadron Halos could replace diesel power plants and dramatically lower energy costs while improving reliability. Additionally, The DOW has approximately 500 forward-operating bases and dozens of larger installations that currently rely on diesel fuel or weak local grids for power. The Hadron Halo could power an isolated DOW facility and support a larger DOW installation or port because its design allows for placement nearly anywhere with a modest water supply, independent of an existing electrical grid. We see significant interest from defense agencies for energy resilience, meaning a secure power source that is not dependent on vulnerable fuel logistics, and we are participating in government programs exploring MMRs for military use, such as the DOE support for the Army’s JANUS program, an initiative to deploy small, commercially-owned and operated nuclear reactors at military installations by 2028.</w:t>
      </w:r>
    </w:p>
    <w:p>
      <w:pPr>
        <w:spacing w:after="0" w:line="75" w:lineRule="exact"/>
        <w:rPr>
          <w:rFonts w:ascii="Times New Roman" w:cs="Times New Roman" w:eastAsia="Times New Roman" w:hAnsi="Times New Roman"/>
          <w:sz w:val="14"/>
          <w:szCs w:val="14"/>
          <w:color w:val="auto"/>
        </w:rPr>
      </w:pPr>
    </w:p>
    <w:p>
      <w:pPr>
        <w:ind w:left="1720" w:right="279" w:hanging="246"/>
        <w:spacing w:after="0" w:line="252"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Utilities and Distributed Energy Providers</w:t>
      </w:r>
      <w:r>
        <w:rPr>
          <w:rFonts w:ascii="Times New Roman" w:cs="Times New Roman" w:eastAsia="Times New Roman" w:hAnsi="Times New Roman"/>
          <w:sz w:val="14"/>
          <w:szCs w:val="14"/>
          <w:color w:val="auto"/>
        </w:rPr>
        <w:t>: We anticipate that electric utilities and independent power producers will be potential customers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medium- to long-term (post-2030). These customers are seeking firm, clean capacity (reliable, 24/7 carbon-free power) to complement intermittent renewable energy sources (like wind and solar) and ensure grid stability. A utility could deploy a cluster of Hadron Halos (for example, 10 Halos for a 100 MWe plant) near a load center to replace a retiring fossil plant or to eliminate the need for transmission and distribution upgrades, which cause delays in power generation construction and increase costs. Because our design does not require the large water sources or 10-mile radius Emergency Planning Zones (“EPZs”) typical of large coal or nuclear plants, siting is more flexible. Due to our inherent safety profile, we anticipate an EPZ limited to the site boundary. This allows the Hadron Halos to be housed at retired coal plant sites or industrial parks, which is advantageous because these sites often have existing electrical switchyards, reducing connection costs. Utilities will likely require seeing our initial deployment of reactors in successful operation before committing to large orders, which is typical for new-generation technologies. We have had early-stage conversations with a few utilities interested in advanced reactors in the 2030s.</w:t>
      </w:r>
    </w:p>
    <w:p>
      <w:pPr>
        <w:spacing w:after="0" w:line="147"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Across these segments, our value proposition is consistent: we believe we will offer reliable 24/7 power through our compact, transportable Hadron Halo, without direct carbon emissions. We will be able to provide an accessible and affordable energy solution for customers in these markets that are seeking energy alternatives to diesel generators, coal plants, and unreliable or carbon-intensive grid connections. By focusing initially on selling power directly to a single customer on their own property (referred to as “behind-the-meter”) or for a remote location not connected to the power grid (referred to as “off-grid”), we can simplify deployment. This approach avoids the regulatory and market complexities of selling into wholesale power markets. This direct-to-customer model is well-suited for our revenue strategy, which is based on long-term PPAs. Because customers would directly benefit from dedicated, on-site power, we also see potential for alternative revenue structures, such as leasing models.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404"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1" w:lineRule="exact"/>
        <w:rPr>
          <w:sz w:val="20"/>
          <w:szCs w:val="20"/>
          <w:color w:val="auto"/>
        </w:rPr>
      </w:pPr>
    </w:p>
    <w:p>
      <w:pPr>
        <w:ind w:left="1400" w:right="479"/>
        <w:spacing w:after="0" w:line="279" w:lineRule="auto"/>
        <w:rPr>
          <w:sz w:val="20"/>
          <w:szCs w:val="20"/>
          <w:color w:val="auto"/>
        </w:rPr>
      </w:pPr>
      <w:r>
        <w:rPr>
          <w:rFonts w:ascii="Times New Roman" w:cs="Times New Roman" w:eastAsia="Times New Roman" w:hAnsi="Times New Roman"/>
          <w:sz w:val="14"/>
          <w:szCs w:val="14"/>
          <w:color w:val="auto"/>
        </w:rPr>
        <w:t>As a pioneer in the emerging MMR industry, we face competition from both established energy technologies such as natural gas and renewables, and from other nuclear developers. Our primary sources of competition include:</w:t>
      </w:r>
    </w:p>
    <w:p>
      <w:pPr>
        <w:spacing w:after="0" w:line="51" w:lineRule="exact"/>
        <w:rPr>
          <w:sz w:val="20"/>
          <w:szCs w:val="20"/>
          <w:color w:val="auto"/>
        </w:rPr>
      </w:pPr>
    </w:p>
    <w:p>
      <w:pPr>
        <w:ind w:left="1720" w:right="279" w:hanging="246"/>
        <w:spacing w:after="0" w:line="255" w:lineRule="auto"/>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Natural Gas-Fired Generation</w:t>
      </w:r>
      <w:r>
        <w:rPr>
          <w:rFonts w:ascii="Times New Roman" w:cs="Times New Roman" w:eastAsia="Times New Roman" w:hAnsi="Times New Roman"/>
          <w:sz w:val="14"/>
          <w:szCs w:val="14"/>
          <w:color w:val="auto"/>
        </w:rPr>
        <w:t>: Natural gas power plants, especially efficient combined-cycle power plants that use both a gas turbine and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steam turbine to generate electricity, produce electricity at a relatively low cost (historically around $50-$70 per MWh on fuel costs of inexpensive gas) and currently support many new capacity additions given availability. Natural gas generation is dispatchable, meaning it can be turned on or adjusted on demand to meet electricity needs, and has moderate capital cost, making it a strong incumbent. However, natural gas is a fossil fuel subject to price volatility and potential carbon pricing or emissions regulations in a decarbonizing world. Industry data indicates that peaking gas turbines (open-cycle) can have much higher effective costs (LCOE &gt; $130/MWh) due to lower utilization and expensive fuel.</w:t>
      </w:r>
    </w:p>
    <w:p>
      <w:pPr>
        <w:spacing w:after="0" w:line="68" w:lineRule="exact"/>
        <w:rPr>
          <w:rFonts w:ascii="Times New Roman" w:cs="Times New Roman" w:eastAsia="Times New Roman" w:hAnsi="Times New Roman"/>
          <w:sz w:val="14"/>
          <w:szCs w:val="14"/>
          <w:color w:val="auto"/>
        </w:rPr>
      </w:pPr>
    </w:p>
    <w:p>
      <w:pPr>
        <w:ind w:left="1720" w:right="259" w:hanging="246"/>
        <w:spacing w:after="0" w:line="252" w:lineRule="auto"/>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Capacity Factor</w:t>
      </w:r>
      <w:r>
        <w:rPr>
          <w:rFonts w:ascii="Times New Roman" w:cs="Times New Roman" w:eastAsia="Times New Roman" w:hAnsi="Times New Roman"/>
          <w:sz w:val="14"/>
          <w:szCs w:val="14"/>
          <w:color w:val="auto"/>
        </w:rPr>
        <w:t>: U.S. natural gas combined-cycle plants typically achieve a capacity factor of approximately 50–60%, according to the EIA,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while simple cycle (peaking) gas turbines operate far lower. Based on annual data (2015-2024) from the EIA, single cycle gas turbines have an average capacity factor of 13.9% and below but combined cycle turbines have a capacity factor of 60.5% and below. In contrast, nuclear plants consistently deliver a capacity factor of approximately 90–95% according to the EIA, the highest of any large-scale energy source. Due to their lower capacity factor, natural gas operators must overbuild generation capacity and rely on redundant peaking or standby plants, typically simple-cycle gas turbines or diesel generators, to ensure grid reliability during demand surges or maintenance outages. In contrast, a single Hadron Halo is designed to provide continuous, around-the-clock baseload power without requiring such backup capacity. We expect to compete where customers want resilient, baseload power and to eliminate carbon emissions where gas delivery is constrained, such as in remote areas. We believe that the Hadron Halos, once at scale, will be able to produce power at a similar or lower cost than combined-cycle gas, and without fuel price risk or emissions.</w:t>
      </w:r>
    </w:p>
    <w:p>
      <w:pPr>
        <w:spacing w:after="0" w:line="71" w:lineRule="exact"/>
        <w:rPr>
          <w:rFonts w:ascii="Times New Roman" w:cs="Times New Roman" w:eastAsia="Times New Roman" w:hAnsi="Times New Roman"/>
          <w:sz w:val="14"/>
          <w:szCs w:val="14"/>
          <w:color w:val="auto"/>
        </w:rPr>
      </w:pPr>
    </w:p>
    <w:p>
      <w:pPr>
        <w:ind w:left="1720" w:right="339" w:hanging="246"/>
        <w:spacing w:after="0" w:line="253" w:lineRule="auto"/>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Renewables Plus Storage</w:t>
      </w:r>
      <w:r>
        <w:rPr>
          <w:rFonts w:ascii="Times New Roman" w:cs="Times New Roman" w:eastAsia="Times New Roman" w:hAnsi="Times New Roman"/>
          <w:sz w:val="14"/>
          <w:szCs w:val="14"/>
          <w:color w:val="auto"/>
        </w:rPr>
        <w:t>: Large-scale solar and wind farms coupled with battery storage are the leading clean energy alternatives to nuclear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energy. Costs for solar and wind power have declined significantly; industry data estimates that costs of unsubsidized utility solar can range from $38-$78/MWh and costs of onshore wind power range from $37-$86/MWh in the U.S. However, such figures represent the intermittent power output inherent in renewable energy generation, as discussed above. When four-hour battery storage is added to provide more continuous power, the effective cost rises. Recent analyses show that utility solar power coupled with energy storage can range roughly between $50-$130 per MWh (unsubsidized), depending on storage duration and region. Even at those costs, renewables (plus storage) struggle to deliver true 24/7 reliability, especially for multi-day periods without sun or wind. The Hadron Halos will be able to provide steady baseload power and thus can complement or replace renewable energy (plus storage) solutions for customers who cannot tolerate intermittent power output.</w:t>
      </w:r>
    </w:p>
    <w:p>
      <w:pPr>
        <w:spacing w:after="0" w:line="70" w:lineRule="exact"/>
        <w:rPr>
          <w:rFonts w:ascii="Times New Roman" w:cs="Times New Roman" w:eastAsia="Times New Roman" w:hAnsi="Times New Roman"/>
          <w:sz w:val="14"/>
          <w:szCs w:val="14"/>
          <w:color w:val="auto"/>
        </w:rPr>
      </w:pPr>
    </w:p>
    <w:p>
      <w:pPr>
        <w:ind w:left="1720" w:right="259" w:hanging="246"/>
        <w:spacing w:after="0" w:line="252" w:lineRule="auto"/>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Advanced Nuclear Developers</w:t>
      </w:r>
      <w:r>
        <w:rPr>
          <w:rFonts w:ascii="Times New Roman" w:cs="Times New Roman" w:eastAsia="Times New Roman" w:hAnsi="Times New Roman"/>
          <w:sz w:val="14"/>
          <w:szCs w:val="14"/>
          <w:color w:val="auto"/>
        </w:rPr>
        <w:t>: We are one of several companies developing advanced nuclear reactors, though design approaches among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these companies differ greatly. Many of our competitors are focusing on larger modular reactors in the 50-300 MWe range, often targeting utility-scale electricity generation to replace conventional power plants. Examples include developers of small modular reactors (“SMRs”) using LWR designs and companies pursuing advanced concepts like sodium-cooled fast reactors, high-temperature gas reactors, or molten salt reactors. These projects typically require significant capital expenditures in the multi-billions of dollars to commercialize and build first plants and face lengthy licensing and construction timelines. By focusing on nuclear reactors at a micro scale (the DOE defines MMRs as single modules that produce less than 20 MWe per unit) and a simpler technology (light-water cooling, use of familiar fuels and design components), the Hadron Halo can reach the market faster and with less capital than our competitors. We also believe that Hadron Halos will be more easily deployable than those of our competitors and will be easier to transport and install than larger SMRs that, while modular in</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404"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439"/>
        <w:spacing w:after="0" w:line="264" w:lineRule="auto"/>
        <w:rPr>
          <w:sz w:val="20"/>
          <w:szCs w:val="20"/>
          <w:color w:val="auto"/>
        </w:rPr>
      </w:pPr>
      <w:r>
        <w:rPr>
          <w:rFonts w:ascii="Times New Roman" w:cs="Times New Roman" w:eastAsia="Times New Roman" w:hAnsi="Times New Roman"/>
          <w:sz w:val="14"/>
          <w:szCs w:val="14"/>
          <w:color w:val="auto"/>
        </w:rPr>
        <w:t>fabrication, still involve substantial on-site construction. Nonetheless, as the advanced nuclear field matures in the coming decade, we expect to face competition for projects, funding, and talent from these companies. However, we believe that the Hadron Halo may fill a different market need than larger SMRs, and we may explore partnerships where our product can supplement larger-scale clean energy solutions.</w:t>
      </w:r>
    </w:p>
    <w:p>
      <w:pPr>
        <w:spacing w:after="0" w:line="136"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Overall, Hadron Energy’s differentiator is our focus on small, factory-fabricated MMRs that can be rapidly deployed with low upfront cost per unit. We are not aware of any competitor that combines all these attributes at the 10 MWe scale. By targeting niche and currently underserved markets (like off-grid industrial power, data center campus power, or remote applications) rather than immediately competing head-to-head with large power plants, we aim to carve out a unique space in the energy landscape. Our goal is to make the Hadron Halos a go-to solution for reliable, carbon-free power where traditional power options fall short.</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1" w:lineRule="exact"/>
        <w:rPr>
          <w:sz w:val="20"/>
          <w:szCs w:val="20"/>
          <w:color w:val="auto"/>
        </w:rPr>
      </w:pPr>
    </w:p>
    <w:p>
      <w:pPr>
        <w:ind w:left="1400" w:right="259"/>
        <w:spacing w:after="0" w:line="279" w:lineRule="auto"/>
        <w:rPr>
          <w:sz w:val="20"/>
          <w:szCs w:val="20"/>
          <w:color w:val="auto"/>
        </w:rPr>
      </w:pPr>
      <w:r>
        <w:rPr>
          <w:rFonts w:ascii="Times New Roman" w:cs="Times New Roman" w:eastAsia="Times New Roman" w:hAnsi="Times New Roman"/>
          <w:sz w:val="14"/>
          <w:szCs w:val="14"/>
          <w:color w:val="auto"/>
        </w:rPr>
        <w:t>Continuous R&amp;D are core to our company as we advance our reactor design toward commercialization. We currently have several active R&amp;D programs and technical milestones, including:</w:t>
      </w:r>
    </w:p>
    <w:p>
      <w:pPr>
        <w:spacing w:after="0" w:line="51" w:lineRule="exact"/>
        <w:rPr>
          <w:sz w:val="20"/>
          <w:szCs w:val="20"/>
          <w:color w:val="auto"/>
        </w:rPr>
      </w:pPr>
    </w:p>
    <w:p>
      <w:pPr>
        <w:ind w:left="1720" w:right="299" w:hanging="246"/>
        <w:spacing w:after="0" w:line="281" w:lineRule="auto"/>
        <w:tabs>
          <w:tab w:leader="none" w:pos="17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Reactor Core Design and Simulation</w:t>
      </w:r>
      <w:r>
        <w:rPr>
          <w:rFonts w:ascii="Times New Roman" w:cs="Times New Roman" w:eastAsia="Times New Roman" w:hAnsi="Times New Roman"/>
          <w:sz w:val="13"/>
          <w:szCs w:val="13"/>
          <w:color w:val="auto"/>
        </w:rPr>
        <w:t>: We will extensively test our design by using robust modeling and simulation to refine the reactor core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fuel system. This will leverage state-of-the-art neutronics codes, which model the nuclear properties of the core, and thermal-hydraulic codes, which model fluid mechanical and heat transfer effects during normal and accident conditions. These simulations will support our economic case by verifying the core’s ability to operate at the design power for the full lifetime, support our safety analysis by demonstrating that core damage and radioactive material release will not occur in accident conditions and show that the nuclear chain reaction can be controlled at all times.</w:t>
      </w:r>
    </w:p>
    <w:p>
      <w:pPr>
        <w:spacing w:after="0" w:line="52" w:lineRule="exact"/>
        <w:rPr>
          <w:rFonts w:ascii="Times New Roman" w:cs="Times New Roman" w:eastAsia="Times New Roman" w:hAnsi="Times New Roman"/>
          <w:sz w:val="13"/>
          <w:szCs w:val="13"/>
          <w:color w:val="auto"/>
        </w:rPr>
      </w:pPr>
    </w:p>
    <w:p>
      <w:pPr>
        <w:ind w:left="1720" w:right="319" w:hanging="246"/>
        <w:spacing w:after="0" w:line="255" w:lineRule="auto"/>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Reactor Mechanical Simulation</w:t>
      </w:r>
      <w:r>
        <w:rPr>
          <w:rFonts w:ascii="Times New Roman" w:cs="Times New Roman" w:eastAsia="Times New Roman" w:hAnsi="Times New Roman"/>
          <w:sz w:val="14"/>
          <w:szCs w:val="14"/>
          <w:color w:val="auto"/>
        </w:rPr>
        <w:t>: Through a comprehensive suite of simulations, we will validate that the reactor module can withstand the most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extreme mechanical stresses. Specifically, we will conduct seismic and structural simulations to confirm the reactor can survive the Design Basis Earthquake (DBE)—the largest hypothetical earthquake realistically expected at a site—without losing its ability to shut down safely or maintain core integrity. We will also perform transportation simulations to validate that the reactor module can tolerate the shock and vibration encountered during shipping to a diverse range of deployment environments. These combined efforts are essential to ensure the design not only meets performance goals but is also practical, safe, and robust for real-world deployment.</w:t>
      </w:r>
    </w:p>
    <w:p>
      <w:pPr>
        <w:spacing w:after="0" w:line="68" w:lineRule="exact"/>
        <w:rPr>
          <w:rFonts w:ascii="Times New Roman" w:cs="Times New Roman" w:eastAsia="Times New Roman" w:hAnsi="Times New Roman"/>
          <w:sz w:val="14"/>
          <w:szCs w:val="14"/>
          <w:color w:val="auto"/>
        </w:rPr>
      </w:pPr>
    </w:p>
    <w:p>
      <w:pPr>
        <w:ind w:left="1720" w:right="259" w:hanging="246"/>
        <w:spacing w:after="0" w:line="260" w:lineRule="auto"/>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Modular Balance-of-Plant (BOP) Prototyping</w:t>
      </w:r>
      <w:r>
        <w:rPr>
          <w:rFonts w:ascii="Times New Roman" w:cs="Times New Roman" w:eastAsia="Times New Roman" w:hAnsi="Times New Roman"/>
          <w:sz w:val="14"/>
          <w:szCs w:val="14"/>
          <w:color w:val="auto"/>
        </w:rPr>
        <w:t>: We are partnered with an established engineering firm to develop prototype systems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balance-of-plant (non-nuclear components such as turbine generator, heat exchangers, cooling systems) in a modular skid format. A pilot assembly of the balance-of-plant will be constructed to validate that all components can fit in standard shipping container dimensions and to test the quick-connect features for on-site installation. This prototyping effort will inform the final design of our deployable balance-of-plant kit.</w:t>
      </w:r>
    </w:p>
    <w:p>
      <w:pPr>
        <w:spacing w:after="0" w:line="63" w:lineRule="exact"/>
        <w:rPr>
          <w:rFonts w:ascii="Times New Roman" w:cs="Times New Roman" w:eastAsia="Times New Roman" w:hAnsi="Times New Roman"/>
          <w:sz w:val="14"/>
          <w:szCs w:val="14"/>
          <w:color w:val="auto"/>
        </w:rPr>
      </w:pPr>
    </w:p>
    <w:p>
      <w:pPr>
        <w:ind w:left="1720" w:right="379" w:hanging="246"/>
        <w:spacing w:after="0" w:line="286" w:lineRule="auto"/>
        <w:tabs>
          <w:tab w:leader="none" w:pos="17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Licensing Readiness and Safety Analysis</w:t>
      </w:r>
      <w:r>
        <w:rPr>
          <w:rFonts w:ascii="Times New Roman" w:cs="Times New Roman" w:eastAsia="Times New Roman" w:hAnsi="Times New Roman"/>
          <w:sz w:val="13"/>
          <w:szCs w:val="13"/>
          <w:color w:val="auto"/>
        </w:rPr>
        <w:t>: We are preparing our NRC license application documents, including conducting a Probabilistic Risk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Assessment (PRA) of the Hadron Halo’s design to quantify potential risks. This helps demonstrate the Hadron Halo’s safety case (Core Damage Frequency or CDF and Large Early Release Fraction or LERF) and identify any design changes needed to reduce risk. We are also engaging in pre-application meetings with the NRC to clarify requirements and align on novel aspects of our design (such as transportable fuel cartridges).</w:t>
      </w:r>
    </w:p>
    <w:p>
      <w:pPr>
        <w:spacing w:after="0" w:line="124" w:lineRule="exact"/>
        <w:rPr>
          <w:sz w:val="20"/>
          <w:szCs w:val="20"/>
          <w:color w:val="auto"/>
        </w:rPr>
      </w:pPr>
    </w:p>
    <w:p>
      <w:pPr>
        <w:ind w:left="1400" w:right="459"/>
        <w:spacing w:after="0" w:line="259" w:lineRule="auto"/>
        <w:rPr>
          <w:sz w:val="20"/>
          <w:szCs w:val="20"/>
          <w:color w:val="auto"/>
        </w:rPr>
      </w:pPr>
      <w:r>
        <w:rPr>
          <w:rFonts w:ascii="Times New Roman" w:cs="Times New Roman" w:eastAsia="Times New Roman" w:hAnsi="Times New Roman"/>
          <w:sz w:val="14"/>
          <w:szCs w:val="14"/>
          <w:color w:val="auto"/>
        </w:rPr>
        <w:t>We expect that our R&amp;D spending will total approximately $100 million through 2030 to align efforts in completing our NRC 10 CFR Part 52 ML, COL, and building our FOAK unit. These costs include engineering design work, prototype fabrication, testing programs, and licensing support. We intend to capitalize certain development costs associated with building the first group of Hadron Halos because such units will be used for testing and demonstration.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404"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39"/>
        <w:spacing w:after="0" w:line="264" w:lineRule="auto"/>
        <w:rPr>
          <w:sz w:val="20"/>
          <w:szCs w:val="20"/>
          <w:color w:val="auto"/>
        </w:rPr>
      </w:pPr>
      <w:r>
        <w:rPr>
          <w:rFonts w:ascii="Times New Roman" w:cs="Times New Roman" w:eastAsia="Times New Roman" w:hAnsi="Times New Roman"/>
          <w:sz w:val="14"/>
          <w:szCs w:val="14"/>
          <w:color w:val="auto"/>
        </w:rPr>
        <w:t>Our focused R&amp;D approach, including utilizing partnerships with national labs, universities, and suppliers and emphasizing simulation to reduce expensive late-stage design changes, will allow us to innovate efficiently. Protecting our intellectual property arising from R&amp;D is also a priority, as further discussed below under the section entitled “</w:t>
      </w:r>
      <w:r>
        <w:rPr>
          <w:rFonts w:ascii="Times New Roman" w:cs="Times New Roman" w:eastAsia="Times New Roman" w:hAnsi="Times New Roman"/>
          <w:sz w:val="14"/>
          <w:szCs w:val="14"/>
          <w:i w:val="1"/>
          <w:iCs w:val="1"/>
          <w:color w:val="auto"/>
        </w:rPr>
        <w:t>Intellectual Property</w:t>
      </w:r>
      <w:r>
        <w:rPr>
          <w:rFonts w:ascii="Times New Roman" w:cs="Times New Roman" w:eastAsia="Times New Roman" w:hAnsi="Times New Roman"/>
          <w:sz w:val="14"/>
          <w:szCs w:val="14"/>
          <w:color w:val="auto"/>
        </w:rPr>
        <w: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91" w:lineRule="exact"/>
        <w:rPr>
          <w:sz w:val="20"/>
          <w:szCs w:val="20"/>
          <w:color w:val="auto"/>
        </w:rPr>
      </w:pPr>
    </w:p>
    <w:p>
      <w:pPr>
        <w:ind w:left="1400" w:right="279"/>
        <w:spacing w:after="0" w:line="279" w:lineRule="auto"/>
        <w:rPr>
          <w:sz w:val="20"/>
          <w:szCs w:val="20"/>
          <w:color w:val="auto"/>
        </w:rPr>
      </w:pPr>
      <w:r>
        <w:rPr>
          <w:rFonts w:ascii="Times New Roman" w:cs="Times New Roman" w:eastAsia="Times New Roman" w:hAnsi="Times New Roman"/>
          <w:sz w:val="14"/>
          <w:szCs w:val="14"/>
          <w:color w:val="auto"/>
        </w:rPr>
        <w:t>Nuclear energy is a heavily regulated industry, and our business is subject to extensive government oversight at multiple levels. Key regulatory and legal considerations include:</w:t>
      </w:r>
    </w:p>
    <w:p>
      <w:pPr>
        <w:spacing w:after="0" w:line="51" w:lineRule="exact"/>
        <w:rPr>
          <w:sz w:val="20"/>
          <w:szCs w:val="20"/>
          <w:color w:val="auto"/>
        </w:rPr>
      </w:pPr>
    </w:p>
    <w:p>
      <w:pPr>
        <w:ind w:left="1720" w:right="279" w:hanging="246"/>
        <w:spacing w:after="0" w:line="273" w:lineRule="auto"/>
        <w:tabs>
          <w:tab w:leader="none" w:pos="172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NRC Licensing</w:t>
      </w:r>
      <w:r>
        <w:rPr>
          <w:rFonts w:ascii="Times New Roman" w:cs="Times New Roman" w:eastAsia="Times New Roman" w:hAnsi="Times New Roman"/>
          <w:sz w:val="13"/>
          <w:szCs w:val="13"/>
          <w:color w:val="auto"/>
        </w:rPr>
        <w:t>: Commercial deployment of our reactors in the U.S. and U.S. Territories require licensing by the NRC under 10 CFR Part 52,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framework for new reactor design certifications and combined construction/operating licenses. These licensing regulations cover reactor design and construction, with a core goal of ensuring adequate protection for the public and the environment. Historically, NRC approvals for new reactor designs have taken 8-10 years. However, recent initiatives and legislative support such as Executive Orders, the Accelerating Deployment of Versatile, Advanced Nuclear for Clean Energy Act of 2024 (ADVANCE Act), and more aim to streamline licensing processes for MMRs. We are planning for approximately a 3-4 year review timeline for the Hadron Halo ML, leveraging new NRC guidance tailored to microreactors. Accelerated licensing initiatives apply specifically to MMRs with each licensing action taking no longer than 18 months. Licensing larger SMR designs and traditional large-scale reactors involves substantially longer overall review periods compared to the accelerated licensing track anticipated for MMRs. We maintain consistent and active dialogue with the NRC to ensure our licensing approach meets all regulatory requirements. Hadron Energy began early engagements with the NRC in July 2024, with formal engagement starting in April 2025 through the submission of our letter of intent. In addition, Hadron Energy’s Regulatory Engagement Plan (REP) was submitted to the NRC on May 9, 2025.</w:t>
      </w:r>
    </w:p>
    <w:p>
      <w:pPr>
        <w:spacing w:after="0" w:line="58" w:lineRule="exact"/>
        <w:rPr>
          <w:rFonts w:ascii="Times New Roman" w:cs="Times New Roman" w:eastAsia="Times New Roman" w:hAnsi="Times New Roman"/>
          <w:sz w:val="13"/>
          <w:szCs w:val="13"/>
          <w:color w:val="auto"/>
        </w:rPr>
      </w:pPr>
    </w:p>
    <w:p>
      <w:pPr>
        <w:ind w:left="1720" w:right="339" w:hanging="246"/>
        <w:spacing w:after="0" w:line="257" w:lineRule="auto"/>
        <w:tabs>
          <w:tab w:leader="none" w:pos="17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Operational Regulation</w:t>
      </w:r>
      <w:r>
        <w:rPr>
          <w:rFonts w:ascii="Times New Roman" w:cs="Times New Roman" w:eastAsia="Times New Roman" w:hAnsi="Times New Roman"/>
          <w:sz w:val="14"/>
          <w:szCs w:val="14"/>
          <w:color w:val="auto"/>
        </w:rPr>
        <w:t>: Once deployed, our reactors will be subject to ongoing NRC operational oversight and inspection, similar to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nuclear facilities. This includes adherence to regulations governing reactor operations, operator training and certification, physical security, and emergency preparedness. For MMRs, we anticipate that the NRC may allow a reduced EPZ designation, relative to an SMR or larger plant, given the smaller source term of radionucides (some MMR concepts propose that the EPZ be limited to the site boundary). We will work within the evolving regulatory framework to establish appropriate emergency plans and security measures for our units.</w:t>
      </w:r>
    </w:p>
    <w:p>
      <w:pPr>
        <w:spacing w:after="0" w:line="65" w:lineRule="exact"/>
        <w:rPr>
          <w:rFonts w:ascii="Times New Roman" w:cs="Times New Roman" w:eastAsia="Times New Roman" w:hAnsi="Times New Roman"/>
          <w:sz w:val="14"/>
          <w:szCs w:val="14"/>
          <w:color w:val="auto"/>
        </w:rPr>
      </w:pPr>
    </w:p>
    <w:p>
      <w:pPr>
        <w:ind w:left="1720" w:right="299" w:hanging="246"/>
        <w:spacing w:after="0" w:line="255" w:lineRule="auto"/>
        <w:tabs>
          <w:tab w:leader="none" w:pos="17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Export Controls</w:t>
      </w:r>
      <w:r>
        <w:rPr>
          <w:rFonts w:ascii="Times New Roman" w:cs="Times New Roman" w:eastAsia="Times New Roman" w:hAnsi="Times New Roman"/>
          <w:sz w:val="14"/>
          <w:szCs w:val="14"/>
          <w:color w:val="auto"/>
        </w:rPr>
        <w:t>: Because we intend to market our reactors internationally, we must comply with U.S. export control laws governing nuclear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Specifically, 10 CFR Part 810 regulations (administered by the DOE) control the export of nuclear technical information and assistance, and the U.S. Department of Commerce’s Export Administration Regulations (EAR) cover hardware exports. We will ensure that any transfer of our technology or equipment abroad has the required government authorizations. Similarly, fuel or sensitive components may require specific export licenses and we will ensure that we meet all applicable regulatory requirements. Compliance with export control laws are built into our operating procedures in regulatory and compliance.</w:t>
      </w:r>
    </w:p>
    <w:p>
      <w:pPr>
        <w:spacing w:after="0" w:line="68" w:lineRule="exact"/>
        <w:rPr>
          <w:rFonts w:ascii="Times New Roman" w:cs="Times New Roman" w:eastAsia="Times New Roman" w:hAnsi="Times New Roman"/>
          <w:sz w:val="14"/>
          <w:szCs w:val="14"/>
          <w:color w:val="auto"/>
        </w:rPr>
      </w:pPr>
    </w:p>
    <w:p>
      <w:pPr>
        <w:ind w:left="1720" w:right="399" w:hanging="330"/>
        <w:spacing w:after="0" w:line="257" w:lineRule="auto"/>
        <w:tabs>
          <w:tab w:leader="none" w:pos="17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Environmental and Other Regulations</w:t>
      </w:r>
      <w:r>
        <w:rPr>
          <w:rFonts w:ascii="Times New Roman" w:cs="Times New Roman" w:eastAsia="Times New Roman" w:hAnsi="Times New Roman"/>
          <w:sz w:val="14"/>
          <w:szCs w:val="14"/>
          <w:color w:val="auto"/>
        </w:rPr>
        <w:t>: We are subject to environmental laws such as the National Environmental Policy Act (NEPA),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requires environmental reviews for major federal actions relating to our projects, such as NRC licensing or significant project involvement or funding from the DOE. We participate in the industry’s nuclear liability management under the Price-Anderson Act, which establishes a no-fault insurance framework for nuclear incidents. Additionally, the construction of our manufacturing facility, once underway, will require our compliance with state and federal environmental regulations on construction and waste.</w:t>
      </w:r>
    </w:p>
    <w:p>
      <w:pPr>
        <w:spacing w:after="0" w:line="141" w:lineRule="exact"/>
        <w:rPr>
          <w:sz w:val="20"/>
          <w:szCs w:val="20"/>
          <w:color w:val="auto"/>
        </w:rPr>
      </w:pPr>
    </w:p>
    <w:p>
      <w:pPr>
        <w:ind w:left="1400" w:right="339"/>
        <w:spacing w:after="0" w:line="264" w:lineRule="auto"/>
        <w:rPr>
          <w:sz w:val="20"/>
          <w:szCs w:val="20"/>
          <w:color w:val="auto"/>
        </w:rPr>
      </w:pPr>
      <w:r>
        <w:rPr>
          <w:rFonts w:ascii="Times New Roman" w:cs="Times New Roman" w:eastAsia="Times New Roman" w:hAnsi="Times New Roman"/>
          <w:sz w:val="14"/>
          <w:szCs w:val="14"/>
          <w:color w:val="auto"/>
        </w:rPr>
        <w:t>Government regulation permeates every aspect of our business and Hadron Energy is actively engaged with regulatory bodies to ensure efficient licensing and oversight of our Hadron Halo design, deployment, and operations. We have developed an internal compliance program to ensure we meet all applicable laws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40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79"/>
        <w:spacing w:after="0" w:line="259" w:lineRule="auto"/>
        <w:rPr>
          <w:sz w:val="20"/>
          <w:szCs w:val="20"/>
          <w:color w:val="auto"/>
        </w:rPr>
      </w:pPr>
      <w:r>
        <w:rPr>
          <w:rFonts w:ascii="Times New Roman" w:cs="Times New Roman" w:eastAsia="Times New Roman" w:hAnsi="Times New Roman"/>
          <w:sz w:val="14"/>
          <w:szCs w:val="14"/>
          <w:color w:val="auto"/>
        </w:rPr>
        <w:t>guidelines. Our compliance program includes periodic audits, staff training on nuclear regulatory compliance, and engagement with experienced regulatory counsel. With an evolving regulatory and policy framework, Hadron Energy monitors the legislative and regulatory landscape closely in order to adapt our business plans accordingly. For further discussion about regulatory requirements and oversight, please refer to the section of this prospectus titled “</w:t>
      </w:r>
      <w:r>
        <w:rPr>
          <w:rFonts w:ascii="Times New Roman" w:cs="Times New Roman" w:eastAsia="Times New Roman" w:hAnsi="Times New Roman"/>
          <w:sz w:val="14"/>
          <w:szCs w:val="14"/>
          <w:i w:val="1"/>
          <w:iCs w:val="1"/>
          <w:color w:val="auto"/>
        </w:rPr>
        <w:t>Risk Factors—Risks Related to Our Business and Industry.</w:t>
      </w:r>
      <w:r>
        <w:rPr>
          <w:rFonts w:ascii="Times New Roman" w:cs="Times New Roman" w:eastAsia="Times New Roman" w:hAnsi="Times New Roman"/>
          <w:sz w:val="14"/>
          <w:szCs w:val="14"/>
          <w:color w:val="auto"/>
        </w:rPr>
        <w: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Fuel Supply</w:t>
      </w:r>
    </w:p>
    <w:p>
      <w:pPr>
        <w:spacing w:after="0" w:line="91"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A reliable and economical fuel supply chain is essential for our reactor operations. Our reactor cores utilize LEU+ fuel, enriched to between 5-10% U-235, which allows for longer core life and compact core size compared with conventional LWR fuel enriched to a maximum of 5 wt%. LEU+ fuel is much more widely available than alternative fuels such as HALEU or TRISO, allowing us to take advantage of an established supply chain and achieve commercialization more efficiently with already qualified fuel. Key aspects of our fuel strategy and related considerations include:</w:t>
      </w:r>
    </w:p>
    <w:p>
      <w:pPr>
        <w:spacing w:after="0" w:line="64" w:lineRule="exact"/>
        <w:rPr>
          <w:sz w:val="20"/>
          <w:szCs w:val="20"/>
          <w:color w:val="auto"/>
        </w:rPr>
      </w:pPr>
    </w:p>
    <w:p>
      <w:pPr>
        <w:ind w:left="2140" w:right="299" w:hanging="333"/>
        <w:spacing w:after="0" w:line="252" w:lineRule="auto"/>
        <w:tabs>
          <w:tab w:leader="none" w:pos="2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Fuel Enrichment and Fabrication</w:t>
      </w:r>
      <w:r>
        <w:rPr>
          <w:rFonts w:ascii="Times New Roman" w:cs="Times New Roman" w:eastAsia="Times New Roman" w:hAnsi="Times New Roman"/>
          <w:sz w:val="14"/>
          <w:szCs w:val="14"/>
          <w:color w:val="auto"/>
        </w:rPr>
        <w:t>: In September 2025, the NRC issued its approval for the first commercial plant in the U.S. to begin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producing LEU+ fuel. This domestic production is expected to begin in 2026. The facility in question is substantial and already supplies one-third of the U.S. demand for standard LEU fuel. In contrast, procurement of other types of fuel like TRISO or HALEU require a much longer lead time due to extensive NRC review processes and DOE-contracted facilities being under construction. We already have relationships with LEU+ fuel suppliers and are supporting government initiatives to encourage additional domestic LEU+ production. Our membership in the HALEU Consortium provides us with comprehensive insight into the entire nuclear fuel supply chain, from natural uranium through enrichment up to 20%, while fostering collaboration opportunities with key fuel suppliers and strengthening our direct engagement with the DOE on fuel-related matters. We plan to source LEU+ level enriched uranium, likely in the form of UF6 gas or uranium metal and have this material fabricated into fuel forms (fuel pellets) suitable for our reactor. We will require our fuel fabrication partners to meet high standards for quality and safety.</w:t>
      </w:r>
    </w:p>
    <w:p>
      <w:pPr>
        <w:spacing w:after="0" w:line="71" w:lineRule="exact"/>
        <w:rPr>
          <w:rFonts w:ascii="Times New Roman" w:cs="Times New Roman" w:eastAsia="Times New Roman" w:hAnsi="Times New Roman"/>
          <w:sz w:val="14"/>
          <w:szCs w:val="14"/>
          <w:color w:val="auto"/>
        </w:rPr>
      </w:pPr>
    </w:p>
    <w:p>
      <w:pPr>
        <w:ind w:left="2140" w:right="279" w:hanging="333"/>
        <w:spacing w:after="0" w:line="254" w:lineRule="auto"/>
        <w:tabs>
          <w:tab w:leader="none" w:pos="2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Fuel Core Design</w:t>
      </w:r>
      <w:r>
        <w:rPr>
          <w:rFonts w:ascii="Times New Roman" w:cs="Times New Roman" w:eastAsia="Times New Roman" w:hAnsi="Times New Roman"/>
          <w:sz w:val="14"/>
          <w:szCs w:val="14"/>
          <w:color w:val="auto"/>
        </w:rPr>
        <w:t>: Each reactor core will be delivered separately from the fuel as this process is done conventionally. The nuclear fuel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then be installed into the reactor pressure vessel on site. After a 10-year operating period, the nuclear fuel will be removed and replaced with new fuel, and the used nuclear fuel will be stored on site for approximately five years before being shipped to a secure off-site storage or recycling facility or stored above ground in a dry cask storage facility on site. We will manufacture and store nuclear fuel in a central location to be transported to the customer when needed, simplifying fuel storage logistics for our customers. By providing fuel in sealed units, we will minimize on-site fuel handling and personnel radiation exposure. Hadron Energy is also working on securing storage solutions for used fuel and aims to have eventual capability to recycle spent fuel.</w:t>
      </w:r>
    </w:p>
    <w:p>
      <w:pPr>
        <w:spacing w:after="0" w:line="68"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Fuel Cost and Economics</w:t>
      </w:r>
      <w:r>
        <w:rPr>
          <w:rFonts w:ascii="Times New Roman" w:cs="Times New Roman" w:eastAsia="Times New Roman" w:hAnsi="Times New Roman"/>
          <w:sz w:val="14"/>
          <w:szCs w:val="14"/>
          <w:color w:val="auto"/>
        </w:rPr>
        <w:t>: Fuel is expected to be a relatively large portion of our power cost. Our 10-year fuel cycle provides an</w:t>
      </w:r>
    </w:p>
    <w:p>
      <w:pPr>
        <w:spacing w:after="0" w:line="22" w:lineRule="exact"/>
        <w:rPr>
          <w:rFonts w:ascii="Times New Roman" w:cs="Times New Roman" w:eastAsia="Times New Roman" w:hAnsi="Times New Roman"/>
          <w:sz w:val="14"/>
          <w:szCs w:val="14"/>
          <w:color w:val="auto"/>
        </w:rPr>
      </w:pPr>
    </w:p>
    <w:p>
      <w:pPr>
        <w:ind w:left="2140" w:right="31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benefit: by avoiding refueling outages every 1.5–2 years (as in conventional reactors), each Hadron Halo unit eliminates the need for approximately five refueling outages over a decade. This is a key part of our value proposition to customers. The LEU+ fuel used in the Hadron Halo is slightly more expensive than conventional LEU fuel, the infrequent refuel schedule and improved capacity factor make overall fuel expenses competitive.</w:t>
      </w:r>
    </w:p>
    <w:p>
      <w:pPr>
        <w:spacing w:after="0" w:line="70" w:lineRule="exact"/>
        <w:rPr>
          <w:rFonts w:ascii="Times New Roman" w:cs="Times New Roman" w:eastAsia="Times New Roman" w:hAnsi="Times New Roman"/>
          <w:sz w:val="14"/>
          <w:szCs w:val="14"/>
          <w:color w:val="auto"/>
        </w:rPr>
      </w:pPr>
    </w:p>
    <w:p>
      <w:pPr>
        <w:ind w:left="2140" w:right="319" w:hanging="333"/>
        <w:spacing w:after="0" w:line="255" w:lineRule="auto"/>
        <w:tabs>
          <w:tab w:leader="none" w:pos="2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Nuclear Waste Considerations</w:t>
      </w:r>
      <w:r>
        <w:rPr>
          <w:rFonts w:ascii="Times New Roman" w:cs="Times New Roman" w:eastAsia="Times New Roman" w:hAnsi="Times New Roman"/>
          <w:sz w:val="14"/>
          <w:szCs w:val="14"/>
          <w:color w:val="auto"/>
        </w:rPr>
        <w:t>: Like all fission reactors, the Hadron Halos will generate used nuclear fuel (spent fuel) which must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managed safely. Each Hadron Halo will discharge a relatively small volume of spent fuel every 10 years when the nuclear fuel package is removed. We intend to store spent assemblies in spent fuel pools and subsequent dry storage canisters. The dry cask storage units that we plan to use are already approved by the NRC. In the longer term, we are very interested in advanced fuel recycling technologies that could reprocess used fuel to extract remaining energy value. Industry studies indicate that the energy content in existing used nuclear fuel stockpiles is enormous. Existing LWR reactors in the U.S have produced 90,000 metric tons of spent nuclear fuel thus far, and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40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this increases each year. However, if fully recycled, this spent fuel could potentially power the country for over a century.</w:t>
      </w:r>
    </w:p>
    <w:p>
      <w:pPr>
        <w:spacing w:after="0" w:line="173"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color w:val="auto"/>
        </w:rPr>
        <w:t>Our fuel supply plan is to secure a supply of LEU+ fuel, likely via long-term contracts with uranium enrichment facilities. Fuel will not be a major bottleneck given the concerted efforts by the U.S. and other countries to increase LEU+ fuel production. In addition, our membership in industry groups and consortia helps ensure we stay at the forefront of nuclear fuel supply developments.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Manufacturing and Supply Chain</w:t>
      </w:r>
    </w:p>
    <w:p>
      <w:pPr>
        <w:spacing w:after="0" w:line="91" w:lineRule="exact"/>
        <w:rPr>
          <w:sz w:val="20"/>
          <w:szCs w:val="20"/>
          <w:color w:val="auto"/>
        </w:rPr>
      </w:pPr>
    </w:p>
    <w:p>
      <w:pPr>
        <w:ind w:left="1400" w:right="499"/>
        <w:spacing w:after="0" w:line="319" w:lineRule="auto"/>
        <w:rPr>
          <w:sz w:val="20"/>
          <w:szCs w:val="20"/>
          <w:color w:val="auto"/>
        </w:rPr>
      </w:pPr>
      <w:r>
        <w:rPr>
          <w:rFonts w:ascii="Times New Roman" w:cs="Times New Roman" w:eastAsia="Times New Roman" w:hAnsi="Times New Roman"/>
          <w:sz w:val="13"/>
          <w:szCs w:val="13"/>
          <w:color w:val="auto"/>
        </w:rPr>
        <w:t>To deliver the Hadron Halos at scale, we will work with established manufacturing partners. In the medium term, we plan to develop a dedicated manufacturing supply chain with Hadron-owned production facilities. Our manufacturing and supply chain strategy includes the following elements:</w:t>
      </w:r>
    </w:p>
    <w:p>
      <w:pPr>
        <w:spacing w:after="0" w:line="28" w:lineRule="exact"/>
        <w:rPr>
          <w:sz w:val="20"/>
          <w:szCs w:val="20"/>
          <w:color w:val="auto"/>
        </w:rPr>
      </w:pPr>
    </w:p>
    <w:p>
      <w:pPr>
        <w:ind w:left="1720" w:right="279" w:hanging="246"/>
        <w:spacing w:after="0" w:line="252"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Qualified Supplier Network</w:t>
      </w:r>
      <w:r>
        <w:rPr>
          <w:rFonts w:ascii="Times New Roman" w:cs="Times New Roman" w:eastAsia="Times New Roman" w:hAnsi="Times New Roman"/>
          <w:sz w:val="14"/>
          <w:szCs w:val="14"/>
          <w:color w:val="auto"/>
        </w:rPr>
        <w:t>: For the Hadron Halo supply chain, we are prioritizing companies that are already nuclear-qualified, meaning they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 stringent quality and safety standards set out by the government (NRC) and industry associations, such as the American Society of Mechanical Engineers (“ASME”). For instance, we plan to source major components like reactor pressure vessels from experienced manufacturers, such as those who have supplied the Navy or DOE research reactors. These large suppliers hold the ASME N-stamp, a key certification from ASME that authorizes them to fabricate safety-critical nuclear components. To ensure the reliability of all safety-related items, our suppliers must implement a rigorous Quality Assurance (QA) program. This program is legally mandated by 10 CFR 50 Appendix B, which sets out 18 basic criteria governing every step from initial design and procurement to final testing and records. The industry’s practical guide for meeting these criteria is the ASME NQA-1 standard. We will conduct rigorous audits to verify compliance by our suppliers. Additionally, by engaging suppliers early, we will ensure that the Hadron Halo’s design incorporates manufacturability, allowing it to be fabricated efficiently using existing tooling and transportation methods.</w:t>
      </w:r>
    </w:p>
    <w:p>
      <w:pPr>
        <w:spacing w:after="0" w:line="71" w:lineRule="exact"/>
        <w:rPr>
          <w:rFonts w:ascii="Times New Roman" w:cs="Times New Roman" w:eastAsia="Times New Roman" w:hAnsi="Times New Roman"/>
          <w:sz w:val="14"/>
          <w:szCs w:val="14"/>
          <w:color w:val="auto"/>
        </w:rPr>
      </w:pPr>
    </w:p>
    <w:p>
      <w:pPr>
        <w:ind w:left="1720" w:right="399" w:hanging="246"/>
        <w:spacing w:after="0" w:line="254"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Assembly Facility</w:t>
      </w:r>
      <w:r>
        <w:rPr>
          <w:rFonts w:ascii="Times New Roman" w:cs="Times New Roman" w:eastAsia="Times New Roman" w:hAnsi="Times New Roman"/>
          <w:sz w:val="14"/>
          <w:szCs w:val="14"/>
          <w:color w:val="auto"/>
        </w:rPr>
        <w:t>: We intend to establish a dedicated U.S.-based assembly facility to receive major subassemblies from our qualified suppliers,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final reactor module integration, conduct factory acceptance testing, and prepare units for shipment. The site for this assembly is under active evaluation; multiple states have invited Hadron Energy to locate the facility within their jurisdictions and have indicated interest in providing incentives, as discussed further below. We are conducting a structured site-selection process that considers (i) incentives and tax treatment, (ii) access to skilled labor and training pipelines, (iii) multimodal logistics (including, for example, Class I rail, interstate highway, barge/port access), (iv) proximity to heavy fabrication vendors, (v) availability of power, water, and industrial utilities, (vi) favorable permitting timelines, and (vii) overall total costs.</w:t>
      </w:r>
    </w:p>
    <w:p>
      <w:pPr>
        <w:spacing w:after="0" w:line="68" w:lineRule="exact"/>
        <w:rPr>
          <w:rFonts w:ascii="Times New Roman" w:cs="Times New Roman" w:eastAsia="Times New Roman" w:hAnsi="Times New Roman"/>
          <w:sz w:val="14"/>
          <w:szCs w:val="14"/>
          <w:color w:val="auto"/>
        </w:rPr>
      </w:pPr>
    </w:p>
    <w:p>
      <w:pPr>
        <w:ind w:left="1720" w:right="419" w:hanging="246"/>
        <w:spacing w:after="0" w:line="257"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Incentives and Public-Private Partnership Structure</w:t>
      </w:r>
      <w:r>
        <w:rPr>
          <w:rFonts w:ascii="Times New Roman" w:cs="Times New Roman" w:eastAsia="Times New Roman" w:hAnsi="Times New Roman"/>
          <w:sz w:val="14"/>
          <w:szCs w:val="14"/>
          <w:color w:val="auto"/>
        </w:rPr>
        <w:t>. We have received preliminary indications of support from multiple states that include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combination of incentives, such as job creation tax credits, property tax abatements, sales/use tax exemptions on qualified equipment, infrastructure grants, and training subsidies. Certain proposals also contemplate site preparation support (e.g., rail spurs, road improvements, utility extensions) and workforce development programming with local community colleges and trade schools. Specific terms are under negotiation and will be disclosed once definitive agreements are executed.</w:t>
      </w:r>
    </w:p>
    <w:p>
      <w:pPr>
        <w:spacing w:after="0" w:line="65" w:lineRule="exact"/>
        <w:rPr>
          <w:rFonts w:ascii="Times New Roman" w:cs="Times New Roman" w:eastAsia="Times New Roman" w:hAnsi="Times New Roman"/>
          <w:sz w:val="14"/>
          <w:szCs w:val="14"/>
          <w:color w:val="auto"/>
        </w:rPr>
      </w:pPr>
    </w:p>
    <w:p>
      <w:pPr>
        <w:ind w:left="1720" w:right="339" w:hanging="246"/>
        <w:spacing w:after="0" w:line="257"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Centralized Gigafactory</w:t>
      </w:r>
      <w:r>
        <w:rPr>
          <w:rFonts w:ascii="Times New Roman" w:cs="Times New Roman" w:eastAsia="Times New Roman" w:hAnsi="Times New Roman"/>
          <w:sz w:val="14"/>
          <w:szCs w:val="14"/>
          <w:color w:val="auto"/>
        </w:rPr>
        <w:t>: In the medium term, we intend to develop a U.S.-based gigafactory capable of manufacturing approximately 100 units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annually at full capacity. The factory will handle core reactor module fabrication, assembly of major components, and integration/testing of each unit before shipment. By centralizing manufacturing and production, we can implement uniform quality control and drive down costs through economies of scale and automation. We are currently evaluating potential sites for this facility, considering factors such as proximity to heavy forging suppliers, skilled labor availability, and logistic links (port, rail, etc.).</w:t>
      </w:r>
    </w:p>
    <w:p>
      <w:pPr>
        <w:spacing w:after="0" w:line="65" w:lineRule="exact"/>
        <w:rPr>
          <w:rFonts w:ascii="Times New Roman" w:cs="Times New Roman" w:eastAsia="Times New Roman" w:hAnsi="Times New Roman"/>
          <w:sz w:val="14"/>
          <w:szCs w:val="14"/>
          <w:color w:val="auto"/>
        </w:rPr>
      </w:pPr>
    </w:p>
    <w:p>
      <w:pPr>
        <w:ind w:left="1720" w:right="359" w:hanging="246"/>
        <w:spacing w:after="0" w:line="282"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Modular Construction and Site Installation</w:t>
      </w:r>
      <w:r>
        <w:rPr>
          <w:rFonts w:ascii="Times New Roman" w:cs="Times New Roman" w:eastAsia="Times New Roman" w:hAnsi="Times New Roman"/>
          <w:sz w:val="14"/>
          <w:szCs w:val="14"/>
          <w:color w:val="auto"/>
        </w:rPr>
        <w:t>: A cornerstone of our design approach is maximizing off-site construction of the Hadron Halo.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designing the Hadron Halo’s balance-of-plant as prefabricated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404"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319"/>
        <w:spacing w:after="0" w:line="254" w:lineRule="auto"/>
        <w:rPr>
          <w:sz w:val="20"/>
          <w:szCs w:val="20"/>
          <w:color w:val="auto"/>
        </w:rPr>
      </w:pPr>
      <w:r>
        <w:rPr>
          <w:rFonts w:ascii="Times New Roman" w:cs="Times New Roman" w:eastAsia="Times New Roman" w:hAnsi="Times New Roman"/>
          <w:sz w:val="14"/>
          <w:szCs w:val="14"/>
          <w:color w:val="auto"/>
        </w:rPr>
        <w:t>modules (e.g., skid-mounted turbine-generator sets, pump skids, control room in a container) that are built in factories and delivered to the site ready to connect to the customer’s electrical system or the electrical grid. The civil works on site will be limited to foundational pads, electric switchyard connection, and minimal site-built structures, such as security buildings or small administrative offices. We expect this approach to reduce on-site labor and construction time by 70–80% compared to conventional, custom-designed nuclear projects, which involve extensive site-specific engineering and construction. The shorter timeframe for on-site work will also lower customer financing costs (due to the shorter construction financing period) and reduce project risk from potential construction delays.</w:t>
      </w:r>
    </w:p>
    <w:p>
      <w:pPr>
        <w:spacing w:after="0" w:line="70" w:lineRule="exact"/>
        <w:rPr>
          <w:sz w:val="20"/>
          <w:szCs w:val="20"/>
          <w:color w:val="auto"/>
        </w:rPr>
      </w:pPr>
    </w:p>
    <w:p>
      <w:pPr>
        <w:ind w:left="1720" w:right="319" w:hanging="246"/>
        <w:spacing w:after="0" w:line="257"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Transportation Logistics</w:t>
      </w:r>
      <w:r>
        <w:rPr>
          <w:rFonts w:ascii="Times New Roman" w:cs="Times New Roman" w:eastAsia="Times New Roman" w:hAnsi="Times New Roman"/>
          <w:sz w:val="14"/>
          <w:szCs w:val="14"/>
          <w:color w:val="auto"/>
        </w:rPr>
        <w:t>: Each Hadron Halo unit and its accompanying systems are being designed to meet standard shipping constraints (size,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weight) applicable to all industries. We are designing the dimensions of the largest components of the Hadron Halo to be transported via rail or on roads with minimal modification (in practice, likely no more than approximately 4.5 meters wide and 20 tons in weight per unit). We will work with heavy haul specialists for land transport and consider barge or ship transport for overseas deployment. Early demonstration of moving a full-scale reactor module will be an important step to reduce potential risks.</w:t>
      </w:r>
    </w:p>
    <w:p>
      <w:pPr>
        <w:spacing w:after="0" w:line="141"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By investing in manufacturing capabilities and treating the Hadron Halo more like a product than a project, we anticipate a fundamentally different cost structure and speed compared to traditional nuclear reactor deployment strategies. However, scaling up manufacturing is capital-intensive and not without challenges: we will need to hire and train a specialized workforce, coordinate complex supply deliveries, and maintain nuclear-grade quality at all times. We have phased our manufacturing scale-up to coincide with licensing progress and market demand. Our approach will avoid a large overhead before it’s necessary, but will enable our readiness to ramp up quickly once we have clearance to build for customers.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Below is a table of all patent applications that Hadron Energy has filed with the United States Patent and Trademark Office.</w:t>
      </w:r>
    </w:p>
    <w:p>
      <w:pPr>
        <w:spacing w:after="0" w:line="189" w:lineRule="exact"/>
        <w:rPr>
          <w:sz w:val="20"/>
          <w:szCs w:val="20"/>
          <w:color w:val="auto"/>
        </w:rPr>
      </w:pPr>
    </w:p>
    <w:tbl>
      <w:tblPr>
        <w:tblLayout w:type="fixed"/>
        <w:tblInd w:w="1400" w:type="dxa"/>
        <w:tblCellMar>
          <w:top w:w="0" w:type="dxa"/>
          <w:left w:w="0" w:type="dxa"/>
          <w:bottom w:w="0" w:type="dxa"/>
          <w:right w:w="0" w:type="dxa"/>
        </w:tblCellMar>
      </w:tblPr>
      <w:tr>
        <w:trPr>
          <w:trHeight w:val="154"/>
        </w:trPr>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Intellectual Property Filing</w:t>
            </w:r>
          </w:p>
        </w:tc>
        <w:tc>
          <w:tcPr>
            <w:tcW w:w="2820" w:type="dxa"/>
            <w:vAlign w:val="bottom"/>
          </w:tcPr>
          <w:p>
            <w:pPr>
              <w:ind w:left="11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Filing Number</w:t>
            </w:r>
          </w:p>
        </w:tc>
        <w:tc>
          <w:tcPr>
            <w:tcW w:w="8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Status</w:t>
            </w:r>
          </w:p>
        </w:tc>
      </w:tr>
      <w:tr>
        <w:trPr>
          <w:trHeight w:val="133"/>
        </w:trPr>
        <w:tc>
          <w:tcPr>
            <w:tcW w:w="13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w w:val="86"/>
              </w:rPr>
              <w:t>Design Patent Application</w:t>
            </w:r>
          </w:p>
        </w:tc>
        <w:tc>
          <w:tcPr>
            <w:tcW w:w="1820" w:type="dxa"/>
            <w:vAlign w:val="bottom"/>
          </w:tcPr>
          <w:p>
            <w:pPr>
              <w:spacing w:after="0"/>
              <w:rPr>
                <w:sz w:val="11"/>
                <w:szCs w:val="11"/>
                <w:color w:val="auto"/>
              </w:rPr>
            </w:pPr>
          </w:p>
        </w:tc>
        <w:tc>
          <w:tcPr>
            <w:tcW w:w="28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Reactor</w:t>
            </w:r>
          </w:p>
        </w:tc>
        <w:tc>
          <w:tcPr>
            <w:tcW w:w="80" w:type="dxa"/>
            <w:vAlign w:val="bottom"/>
          </w:tcPr>
          <w:p>
            <w:pPr>
              <w:spacing w:after="0"/>
              <w:rPr>
                <w:sz w:val="11"/>
                <w:szCs w:val="11"/>
                <w:color w:val="auto"/>
              </w:rPr>
            </w:pPr>
          </w:p>
        </w:tc>
        <w:tc>
          <w:tcPr>
            <w:tcW w:w="900" w:type="dxa"/>
            <w:vAlign w:val="bottom"/>
            <w:tcBorders>
              <w:top w:val="single" w:sz="8" w:color="auto"/>
            </w:tcBorders>
          </w:tcPr>
          <w:p>
            <w:pPr>
              <w:jc w:val="right"/>
              <w:ind w:right="217"/>
              <w:spacing w:after="0" w:line="133" w:lineRule="exact"/>
              <w:rPr>
                <w:sz w:val="20"/>
                <w:szCs w:val="20"/>
                <w:color w:val="auto"/>
              </w:rPr>
            </w:pPr>
            <w:r>
              <w:rPr>
                <w:rFonts w:ascii="Times New Roman" w:cs="Times New Roman" w:eastAsia="Times New Roman" w:hAnsi="Times New Roman"/>
                <w:sz w:val="14"/>
                <w:szCs w:val="14"/>
                <w:color w:val="auto"/>
                <w:w w:val="94"/>
              </w:rPr>
              <w:t>29/971,313</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11/01/2024</w:t>
            </w: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Pending</w:t>
            </w:r>
          </w:p>
        </w:tc>
      </w:tr>
      <w:tr>
        <w:trPr>
          <w:trHeight w:val="167"/>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Design Patent Application</w:t>
            </w: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Containment Vessel for a Nuclear Reactor</w:t>
            </w:r>
          </w:p>
        </w:tc>
        <w:tc>
          <w:tcPr>
            <w:tcW w:w="980" w:type="dxa"/>
            <w:vAlign w:val="bottom"/>
            <w:gridSpan w:val="2"/>
          </w:tcPr>
          <w:p>
            <w:pPr>
              <w:jc w:val="right"/>
              <w:ind w:right="217"/>
              <w:spacing w:after="0"/>
              <w:rPr>
                <w:sz w:val="20"/>
                <w:szCs w:val="20"/>
                <w:color w:val="auto"/>
              </w:rPr>
            </w:pPr>
            <w:r>
              <w:rPr>
                <w:rFonts w:ascii="Times New Roman" w:cs="Times New Roman" w:eastAsia="Times New Roman" w:hAnsi="Times New Roman"/>
                <w:sz w:val="14"/>
                <w:szCs w:val="14"/>
                <w:color w:val="auto"/>
              </w:rPr>
              <w:t>30/025,389</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9/25/2025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Pending</w:t>
            </w:r>
          </w:p>
        </w:tc>
      </w:tr>
      <w:tr>
        <w:trPr>
          <w:trHeight w:val="167"/>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Utility Patent Application</w:t>
            </w: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Methods and Systems for Microreactor Design</w:t>
            </w:r>
          </w:p>
        </w:tc>
        <w:tc>
          <w:tcPr>
            <w:tcW w:w="980" w:type="dxa"/>
            <w:vAlign w:val="bottom"/>
            <w:gridSpan w:val="2"/>
          </w:tcPr>
          <w:p>
            <w:pPr>
              <w:jc w:val="right"/>
              <w:ind w:right="217"/>
              <w:spacing w:after="0"/>
              <w:rPr>
                <w:sz w:val="20"/>
                <w:szCs w:val="20"/>
                <w:color w:val="auto"/>
              </w:rPr>
            </w:pPr>
            <w:r>
              <w:rPr>
                <w:rFonts w:ascii="Times New Roman" w:cs="Times New Roman" w:eastAsia="Times New Roman" w:hAnsi="Times New Roman"/>
                <w:sz w:val="14"/>
                <w:szCs w:val="14"/>
                <w:color w:val="auto"/>
              </w:rPr>
              <w:t>63/800,247</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5/5/2025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Pending</w:t>
            </w:r>
          </w:p>
        </w:tc>
      </w:tr>
      <w:tr>
        <w:trPr>
          <w:trHeight w:val="177"/>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(Provisional)</w:t>
            </w: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and Control</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7"/>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Utility Patent Application</w:t>
            </w: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w w:val="99"/>
              </w:rPr>
              <w:t>Nuclear Reactor Core for Small Modular Reactors</w:t>
            </w:r>
          </w:p>
        </w:tc>
        <w:tc>
          <w:tcPr>
            <w:tcW w:w="980" w:type="dxa"/>
            <w:vAlign w:val="bottom"/>
            <w:gridSpan w:val="2"/>
          </w:tcPr>
          <w:p>
            <w:pPr>
              <w:jc w:val="right"/>
              <w:ind w:right="217"/>
              <w:spacing w:after="0"/>
              <w:rPr>
                <w:sz w:val="20"/>
                <w:szCs w:val="20"/>
                <w:color w:val="auto"/>
              </w:rPr>
            </w:pPr>
            <w:r>
              <w:rPr>
                <w:rFonts w:ascii="Times New Roman" w:cs="Times New Roman" w:eastAsia="Times New Roman" w:hAnsi="Times New Roman"/>
                <w:sz w:val="14"/>
                <w:szCs w:val="14"/>
                <w:color w:val="auto"/>
              </w:rPr>
              <w:t>63/900,863</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10/17/2025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Pending</w:t>
            </w:r>
          </w:p>
        </w:tc>
      </w:tr>
      <w:tr>
        <w:trPr>
          <w:trHeight w:val="177"/>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(Provisional)</w:t>
            </w: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Utility Patent Application</w:t>
            </w: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Micro Integral Modular Reactors</w:t>
            </w:r>
          </w:p>
        </w:tc>
        <w:tc>
          <w:tcPr>
            <w:tcW w:w="980" w:type="dxa"/>
            <w:vAlign w:val="bottom"/>
            <w:gridSpan w:val="2"/>
          </w:tcPr>
          <w:p>
            <w:pPr>
              <w:jc w:val="right"/>
              <w:ind w:right="217"/>
              <w:spacing w:after="0"/>
              <w:rPr>
                <w:sz w:val="20"/>
                <w:szCs w:val="20"/>
                <w:color w:val="auto"/>
              </w:rPr>
            </w:pPr>
            <w:r>
              <w:rPr>
                <w:rFonts w:ascii="Times New Roman" w:cs="Times New Roman" w:eastAsia="Times New Roman" w:hAnsi="Times New Roman"/>
                <w:sz w:val="14"/>
                <w:szCs w:val="14"/>
                <w:color w:val="auto"/>
              </w:rPr>
              <w:t>19/376,455</w:t>
            </w: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10/31/2025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Pending</w:t>
            </w:r>
          </w:p>
        </w:tc>
      </w:tr>
    </w:tbl>
    <w:p>
      <w:pPr>
        <w:spacing w:after="0" w:line="152" w:lineRule="exact"/>
        <w:rPr>
          <w:sz w:val="20"/>
          <w:szCs w:val="20"/>
          <w:color w:val="auto"/>
        </w:rPr>
      </w:pPr>
    </w:p>
    <w:p>
      <w:pPr>
        <w:jc w:val="both"/>
        <w:ind w:left="1400" w:right="279"/>
        <w:spacing w:after="0" w:line="264" w:lineRule="auto"/>
        <w:rPr>
          <w:sz w:val="20"/>
          <w:szCs w:val="20"/>
          <w:color w:val="auto"/>
        </w:rPr>
      </w:pPr>
      <w:r>
        <w:rPr>
          <w:rFonts w:ascii="Times New Roman" w:cs="Times New Roman" w:eastAsia="Times New Roman" w:hAnsi="Times New Roman"/>
          <w:sz w:val="14"/>
          <w:szCs w:val="14"/>
          <w:color w:val="auto"/>
        </w:rPr>
        <w:t>Innovation in our reactor design and systems is a critical asset, and we actively protect our intellectual property (“IP”). We pursue a strategy of patenting key inventions, securing trademarks, and maintaining trade secrets. As of the date of this filing, Hadron Energy has filed for or secured patent protection on several aspects of our technology, including:</w:t>
      </w:r>
    </w:p>
    <w:p>
      <w:pPr>
        <w:spacing w:after="0" w:line="61" w:lineRule="exact"/>
        <w:rPr>
          <w:sz w:val="20"/>
          <w:szCs w:val="20"/>
          <w:color w:val="auto"/>
        </w:rPr>
      </w:pPr>
    </w:p>
    <w:p>
      <w:pPr>
        <w:ind w:left="1720" w:right="299" w:hanging="246"/>
        <w:spacing w:after="0" w:line="254"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Patents on Technological Inventions</w:t>
      </w:r>
      <w:r>
        <w:rPr>
          <w:rFonts w:ascii="Times New Roman" w:cs="Times New Roman" w:eastAsia="Times New Roman" w:hAnsi="Times New Roman"/>
          <w:sz w:val="14"/>
          <w:szCs w:val="14"/>
          <w:color w:val="auto"/>
        </w:rPr>
        <w:t>: We have five pending utility patent applications covering the Hadron Halo. The first relates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invention of our Hadron Halo design, describing a compact design that integrates the steam generator within the reactor pressure vessel and is coupled with a passive suppression pool for heat removal and shielding. The second relates to the use of a digital twin architecture for nuclear reactor control. The third relates to the nuclear reactor core design itself, which is engineered to improve neutron economy and fuel efficiency in a small reactor, enabling a long operational life and high fuel burnup from a compact-sized core. The fourth relates to a neutron poison water tank that can be used with the Hadron Halo reactor core to achieve its passive safety objectives. The fifth relates to the multi-modular facility pool layout supporting the Hadron Halo.</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404"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both"/>
        <w:ind w:left="1720" w:right="499" w:hanging="246"/>
        <w:spacing w:after="0" w:line="265" w:lineRule="auto"/>
        <w:tabs>
          <w:tab w:leader="none" w:pos="17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Patents on Aesthetic Designs</w:t>
      </w:r>
      <w:r>
        <w:rPr>
          <w:rFonts w:ascii="Times New Roman" w:cs="Times New Roman" w:eastAsia="Times New Roman" w:hAnsi="Times New Roman"/>
          <w:sz w:val="14"/>
          <w:szCs w:val="14"/>
          <w:color w:val="auto"/>
        </w:rPr>
        <w:t>: We have filed three U.S. design patent applications which cover the ornamental appearance of claimed nuclear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microreactors, including the Hadron Halo module and enclosure. If granted, these patents would prevent others from making, using, selling, or importing products that create a substantially similar overall visual impression as the claimed designs.</w:t>
      </w:r>
    </w:p>
    <w:p>
      <w:pPr>
        <w:spacing w:after="0" w:line="136"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Our patent strategy is global. We will initially file patents in the U.S. and then we may file patents internationally in key markets where we expect to do business. We anticipate that the patents we have filed or will file could provide protection extending into the late 2040s (given the typical 20-year expiration term from filing date). This should cover the critical commercialization period of our first-generation reactors. IP protection has limits, and competitors may attempt to design around our patents or develop similar technology independently. We continuously monitor the competitive landscape and will enforce our IP rights if necessary to prevent unauthorized use of our proprietary technology.</w:t>
      </w:r>
    </w:p>
    <w:p>
      <w:pPr>
        <w:spacing w:after="0" w:line="142" w:lineRule="exact"/>
        <w:rPr>
          <w:sz w:val="20"/>
          <w:szCs w:val="20"/>
          <w:color w:val="auto"/>
        </w:rPr>
      </w:pPr>
    </w:p>
    <w:p>
      <w:pPr>
        <w:ind w:left="1400" w:right="1099"/>
        <w:spacing w:after="0" w:line="279" w:lineRule="auto"/>
        <w:rPr>
          <w:sz w:val="20"/>
          <w:szCs w:val="20"/>
          <w:color w:val="auto"/>
        </w:rPr>
      </w:pPr>
      <w:r>
        <w:rPr>
          <w:rFonts w:ascii="Times New Roman" w:cs="Times New Roman" w:eastAsia="Times New Roman" w:hAnsi="Times New Roman"/>
          <w:sz w:val="14"/>
          <w:szCs w:val="14"/>
          <w:color w:val="auto"/>
        </w:rPr>
        <w:t>In addition to patents, we protect trade secrets, confidential designs and data through internal controls. All employees and contractors sign confidentiality and invention assignment agreements.</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In addition to protecting our technology, we are taking active steps to protect our brand and goodwill. We have filed for trademark protection in the U.S.</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 our company name, mark, and the “Halo” name for our reactor. These trademark registrations are tabulated below:</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Intellectual</w:t>
            </w:r>
          </w:p>
        </w:tc>
        <w:tc>
          <w:tcPr>
            <w:tcW w:w="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54"/>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6"/>
              </w:rPr>
              <w:t>Property Filing</w:t>
            </w:r>
          </w:p>
        </w:tc>
        <w:tc>
          <w:tcPr>
            <w:tcW w:w="700" w:type="dxa"/>
            <w:vAlign w:val="bottom"/>
          </w:tcPr>
          <w:p>
            <w:pPr>
              <w:spacing w:after="0"/>
              <w:rPr>
                <w:sz w:val="13"/>
                <w:szCs w:val="13"/>
                <w:color w:val="auto"/>
              </w:rPr>
            </w:pPr>
          </w:p>
        </w:tc>
        <w:tc>
          <w:tcPr>
            <w:tcW w:w="2560" w:type="dxa"/>
            <w:vAlign w:val="bottom"/>
            <w:gridSpan w:val="2"/>
          </w:tcPr>
          <w:p>
            <w:pPr>
              <w:ind w:left="9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Filing Number</w:t>
            </w:r>
          </w:p>
        </w:tc>
        <w:tc>
          <w:tcPr>
            <w:tcW w:w="8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254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Status</w:t>
            </w:r>
          </w:p>
        </w:tc>
      </w:tr>
      <w:tr>
        <w:trPr>
          <w:trHeight w:val="123"/>
        </w:trPr>
        <w:tc>
          <w:tcPr>
            <w:tcW w:w="7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10"/>
                <w:szCs w:val="10"/>
                <w:color w:val="auto"/>
              </w:rPr>
            </w:pPr>
          </w:p>
        </w:tc>
        <w:tc>
          <w:tcPr>
            <w:tcW w:w="246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4"/>
                <w:szCs w:val="14"/>
                <w:color w:val="auto"/>
              </w:rPr>
              <w:t>Hadron Microreactor</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right"/>
              <w:ind w:right="392"/>
              <w:spacing w:after="0" w:line="123" w:lineRule="exact"/>
              <w:rPr>
                <w:sz w:val="20"/>
                <w:szCs w:val="20"/>
                <w:color w:val="auto"/>
              </w:rPr>
            </w:pPr>
            <w:r>
              <w:rPr>
                <w:rFonts w:ascii="Times New Roman" w:cs="Times New Roman" w:eastAsia="Times New Roman" w:hAnsi="Times New Roman"/>
                <w:sz w:val="14"/>
                <w:szCs w:val="14"/>
                <w:color w:val="auto"/>
                <w:w w:val="92"/>
              </w:rPr>
              <w:t>99032753</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117"/>
              <w:spacing w:after="0" w:line="123" w:lineRule="exact"/>
              <w:rPr>
                <w:sz w:val="20"/>
                <w:szCs w:val="20"/>
                <w:color w:val="auto"/>
              </w:rPr>
            </w:pPr>
            <w:r>
              <w:rPr>
                <w:rFonts w:ascii="Times New Roman" w:cs="Times New Roman" w:eastAsia="Times New Roman" w:hAnsi="Times New Roman"/>
                <w:sz w:val="14"/>
                <w:szCs w:val="14"/>
                <w:color w:val="auto"/>
                <w:w w:val="97"/>
              </w:rPr>
              <w:t>02/07/2025</w:t>
            </w:r>
          </w:p>
        </w:tc>
        <w:tc>
          <w:tcPr>
            <w:tcW w:w="80" w:type="dxa"/>
            <w:vAlign w:val="bottom"/>
          </w:tcPr>
          <w:p>
            <w:pPr>
              <w:spacing w:after="0"/>
              <w:rPr>
                <w:sz w:val="10"/>
                <w:szCs w:val="10"/>
                <w:color w:val="auto"/>
              </w:rPr>
            </w:pPr>
          </w:p>
        </w:tc>
        <w:tc>
          <w:tcPr>
            <w:tcW w:w="254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4"/>
                <w:szCs w:val="14"/>
                <w:color w:val="auto"/>
              </w:rPr>
              <w:t>Pending – Notice of</w:t>
            </w:r>
          </w:p>
        </w:tc>
      </w:tr>
      <w:tr>
        <w:trPr>
          <w:trHeight w:val="19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Allowance Issued</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Hadron Energy</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98667645</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07/25/2024</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Notice of</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Allowance Issued</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Hadron Halo</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99353382</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08/22/2025</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Awaiting</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Examination</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98861169</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11/19/2024</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Notice of</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Allowance Issued</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Hadron Halo Microreactor</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99353395</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08/22/2025</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Awaiting</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Examination</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Hadron Halo Reactor</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99353391</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08/22/2025</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Awaiting</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Examination</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Halo Reactor</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99353366</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08/22/2025</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Awaiting</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Examination</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Halo Microreactor</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99353373</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08/22/2025</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Awaiting</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Examination</w:t>
            </w:r>
          </w:p>
        </w:tc>
      </w:tr>
      <w:tr>
        <w:trPr>
          <w:trHeight w:val="24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Trademark</w:t>
            </w:r>
          </w:p>
        </w:tc>
        <w:tc>
          <w:tcPr>
            <w:tcW w:w="7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98861146</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color w:val="auto"/>
              </w:rPr>
              <w:t>11/19/2024</w:t>
            </w:r>
          </w:p>
        </w:tc>
        <w:tc>
          <w:tcPr>
            <w:tcW w:w="8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Pending – Notice of</w:t>
            </w:r>
          </w:p>
        </w:tc>
      </w:tr>
      <w:tr>
        <w:trPr>
          <w:trHeight w:val="18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Application</w:t>
            </w: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Allowance Issued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-1568450</wp:posOffset>
            </wp:positionV>
            <wp:extent cx="933450" cy="212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3450" cy="2120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-211455</wp:posOffset>
            </wp:positionV>
            <wp:extent cx="231775" cy="231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5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91" w:lineRule="exact"/>
        <w:rPr>
          <w:sz w:val="20"/>
          <w:szCs w:val="20"/>
          <w:color w:val="auto"/>
        </w:rPr>
      </w:pPr>
    </w:p>
    <w:p>
      <w:pPr>
        <w:ind w:left="1400" w:right="699"/>
        <w:spacing w:after="0" w:line="264" w:lineRule="auto"/>
        <w:rPr>
          <w:sz w:val="20"/>
          <w:szCs w:val="20"/>
          <w:color w:val="auto"/>
        </w:rPr>
      </w:pPr>
      <w:r>
        <w:rPr>
          <w:rFonts w:ascii="Times New Roman" w:cs="Times New Roman" w:eastAsia="Times New Roman" w:hAnsi="Times New Roman"/>
          <w:sz w:val="14"/>
          <w:szCs w:val="14"/>
          <w:color w:val="auto"/>
        </w:rPr>
        <w:t>Hadron Energy’s team is the driving force behind our progress. We are committed to attracting and retaining top talent in nuclear engineering, manufacturing, project management, and related fields, as well as fostering a culture of nuclear safety, innovation, and integrity. Key information regarding our human capital resources is below:</w:t>
      </w:r>
    </w:p>
    <w:p>
      <w:pPr>
        <w:spacing w:after="0" w:line="61" w:lineRule="exact"/>
        <w:rPr>
          <w:sz w:val="20"/>
          <w:szCs w:val="20"/>
          <w:color w:val="auto"/>
        </w:rPr>
      </w:pPr>
    </w:p>
    <w:p>
      <w:pPr>
        <w:ind w:left="1720" w:right="859" w:hanging="330"/>
        <w:spacing w:after="0" w:line="282" w:lineRule="auto"/>
        <w:tabs>
          <w:tab w:leader="none" w:pos="17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Employees and Growth Plans</w:t>
      </w:r>
      <w:r>
        <w:rPr>
          <w:rFonts w:ascii="Times New Roman" w:cs="Times New Roman" w:eastAsia="Times New Roman" w:hAnsi="Times New Roman"/>
          <w:sz w:val="14"/>
          <w:szCs w:val="14"/>
          <w:color w:val="auto"/>
        </w:rPr>
        <w:t>: As of June 2026, we have approximately 20 full-time employees, primarily engineers, reactor licensing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specialists, and core business staff. We anticipate significant growth as we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404"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right="379"/>
        <w:spacing w:after="0" w:line="264" w:lineRule="auto"/>
        <w:rPr>
          <w:sz w:val="20"/>
          <w:szCs w:val="20"/>
          <w:color w:val="auto"/>
        </w:rPr>
      </w:pPr>
      <w:r>
        <w:rPr>
          <w:rFonts w:ascii="Times New Roman" w:cs="Times New Roman" w:eastAsia="Times New Roman" w:hAnsi="Times New Roman"/>
          <w:sz w:val="14"/>
          <w:szCs w:val="14"/>
          <w:color w:val="auto"/>
        </w:rPr>
        <w:t>advance into the manufacturing and commercialization phase, projecting to have over 60 employees by 2028 to support licensing, manufacturing startup, and initial operations. This growth will include scaling our engineering teams (mechanical, nuclear, electrical engineers), building a project construction team, and adding roles in quality assurance, operations, operations training, and corporate functions.</w:t>
      </w:r>
    </w:p>
    <w:p>
      <w:pPr>
        <w:spacing w:after="0" w:line="61" w:lineRule="exact"/>
        <w:rPr>
          <w:sz w:val="20"/>
          <w:szCs w:val="20"/>
          <w:color w:val="auto"/>
        </w:rPr>
      </w:pPr>
    </w:p>
    <w:p>
      <w:pPr>
        <w:ind w:left="1720" w:right="359" w:hanging="330"/>
        <w:spacing w:after="0" w:line="282" w:lineRule="auto"/>
        <w:tabs>
          <w:tab w:leader="none" w:pos="17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Leadership and Key Personnel</w:t>
      </w:r>
      <w:r>
        <w:rPr>
          <w:rFonts w:ascii="Times New Roman" w:cs="Times New Roman" w:eastAsia="Times New Roman" w:hAnsi="Times New Roman"/>
          <w:sz w:val="14"/>
          <w:szCs w:val="14"/>
          <w:color w:val="auto"/>
        </w:rPr>
        <w:t>: Our leadership team combines deep nuclear sector experience with business and finance acumen, including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key positions below:</w:t>
      </w:r>
    </w:p>
    <w:p>
      <w:pPr>
        <w:spacing w:after="0" w:line="51" w:lineRule="exact"/>
        <w:rPr>
          <w:rFonts w:ascii="Times New Roman" w:cs="Times New Roman" w:eastAsia="Times New Roman" w:hAnsi="Times New Roman"/>
          <w:sz w:val="14"/>
          <w:szCs w:val="14"/>
          <w:color w:val="auto"/>
        </w:rPr>
      </w:pPr>
    </w:p>
    <w:p>
      <w:pPr>
        <w:ind w:left="3000" w:right="359" w:hanging="421"/>
        <w:spacing w:after="0" w:line="264" w:lineRule="auto"/>
        <w:tabs>
          <w:tab w:leader="none" w:pos="30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Chief Executive Officer is a serial entrepreneur in the mechanical engineering industry, with prior experience researching nuclear engineering for 5+ years. In addition, he is a two-time recipient of a Global Engineering Leader award from ASME.</w:t>
      </w:r>
    </w:p>
    <w:p>
      <w:pPr>
        <w:spacing w:after="0" w:line="63" w:lineRule="exact"/>
        <w:rPr>
          <w:rFonts w:ascii="Times New Roman" w:cs="Times New Roman" w:eastAsia="Times New Roman" w:hAnsi="Times New Roman"/>
          <w:sz w:val="14"/>
          <w:szCs w:val="14"/>
          <w:color w:val="auto"/>
        </w:rPr>
      </w:pPr>
    </w:p>
    <w:p>
      <w:pPr>
        <w:ind w:left="3000" w:right="279" w:hanging="421"/>
        <w:spacing w:after="0" w:line="254" w:lineRule="auto"/>
        <w:tabs>
          <w:tab w:leader="none" w:pos="30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Chief Operating Officer brings nearly four decades of leadership experience across nuclear operations, advanced reactor development, manufacturing readiness, and global research and development. Prior to joining Private Hadron, he served as Chief Technology Officer and Vice President of Nuclear Technology at Westinghouse Electric Company, where he led the company’s Global Technology Office and oversaw major innovation programs, including the eVinci microreactor and Accident Tolerant Fuel initiatives, helping advance next-generation nuclear technologies from concept through commercialization.</w:t>
      </w:r>
    </w:p>
    <w:p>
      <w:pPr>
        <w:spacing w:after="0" w:line="72" w:lineRule="exact"/>
        <w:rPr>
          <w:rFonts w:ascii="Times New Roman" w:cs="Times New Roman" w:eastAsia="Times New Roman" w:hAnsi="Times New Roman"/>
          <w:sz w:val="14"/>
          <w:szCs w:val="14"/>
          <w:color w:val="auto"/>
        </w:rPr>
      </w:pPr>
    </w:p>
    <w:p>
      <w:pPr>
        <w:ind w:left="3000" w:right="419" w:hanging="421"/>
        <w:spacing w:after="0" w:line="256" w:lineRule="auto"/>
        <w:tabs>
          <w:tab w:leader="none" w:pos="30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Chief Nuclear Officer brings more than 35 years of nuclear industry experience spanning reactor operations, engineering, regulatory compliance, and executive leadership. A three-time Chief Nuclear Officer and former Senior Reactor Operator, he has led nuclear organizations across both operating fleets and advanced reactor programs, providing deep expertise in nuclear safety, operations readiness, licensing, and the commercialization of next-generation nuclear technologies.</w:t>
      </w:r>
    </w:p>
    <w:p>
      <w:pPr>
        <w:spacing w:after="0" w:line="69" w:lineRule="exact"/>
        <w:rPr>
          <w:rFonts w:ascii="Times New Roman" w:cs="Times New Roman" w:eastAsia="Times New Roman" w:hAnsi="Times New Roman"/>
          <w:sz w:val="14"/>
          <w:szCs w:val="14"/>
          <w:color w:val="auto"/>
        </w:rPr>
      </w:pPr>
    </w:p>
    <w:p>
      <w:pPr>
        <w:ind w:left="3000" w:right="359" w:hanging="421"/>
        <w:spacing w:after="0" w:line="285" w:lineRule="auto"/>
        <w:tabs>
          <w:tab w:leader="none" w:pos="3000" w:val="left"/>
        </w:tabs>
        <w:numPr>
          <w:ilvl w:val="2"/>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Chief Technology Officer brings more than 17 years of experience in reactor physics, core design, multiphysics simulation, nuclear safety analysis, and advanced reactor development. Prior to joining Private Hadron, he helped develop advanced reactor analysis methodologies and contributed to PARCS, the U.S. Nuclear Regulatory Commission’s primary core-level confirmatory analysis tool, establishing himself as a recognized expert in reactor design and licensing.</w:t>
      </w:r>
    </w:p>
    <w:p>
      <w:pPr>
        <w:spacing w:after="0" w:line="51" w:lineRule="exact"/>
        <w:rPr>
          <w:rFonts w:ascii="Times New Roman" w:cs="Times New Roman" w:eastAsia="Times New Roman" w:hAnsi="Times New Roman"/>
          <w:sz w:val="13"/>
          <w:szCs w:val="13"/>
          <w:color w:val="auto"/>
        </w:rPr>
      </w:pPr>
    </w:p>
    <w:p>
      <w:pPr>
        <w:ind w:left="3000" w:right="339" w:hanging="421"/>
        <w:spacing w:after="0" w:line="279" w:lineRule="auto"/>
        <w:tabs>
          <w:tab w:leader="none" w:pos="30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a former NRC Director of the Office of Nuclear Reactor Regulation as a consultant and Head of Reactor Licensing, guiding our regulatory strategy with the NRC.</w:t>
      </w:r>
    </w:p>
    <w:p>
      <w:pPr>
        <w:spacing w:after="0" w:line="53" w:lineRule="exact"/>
        <w:rPr>
          <w:rFonts w:ascii="Times New Roman" w:cs="Times New Roman" w:eastAsia="Times New Roman" w:hAnsi="Times New Roman"/>
          <w:sz w:val="14"/>
          <w:szCs w:val="14"/>
          <w:color w:val="auto"/>
        </w:rPr>
      </w:pPr>
    </w:p>
    <w:p>
      <w:pPr>
        <w:ind w:left="3000" w:right="439" w:hanging="421"/>
        <w:spacing w:after="0" w:line="279" w:lineRule="auto"/>
        <w:tabs>
          <w:tab w:leader="none" w:pos="30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Chief Financial Officer of brings extensive experience in public-company finance, capital markets, accounting, SEC reporting, and strategic financial leadership.</w:t>
      </w:r>
    </w:p>
    <w:p>
      <w:pPr>
        <w:spacing w:after="0" w:line="51" w:lineRule="exact"/>
        <w:rPr>
          <w:rFonts w:ascii="Times New Roman" w:cs="Times New Roman" w:eastAsia="Times New Roman" w:hAnsi="Times New Roman"/>
          <w:sz w:val="14"/>
          <w:szCs w:val="14"/>
          <w:color w:val="auto"/>
        </w:rPr>
      </w:pPr>
    </w:p>
    <w:p>
      <w:pPr>
        <w:ind w:left="2480" w:right="379" w:hanging="245"/>
        <w:spacing w:after="0" w:line="257" w:lineRule="auto"/>
        <w:tabs>
          <w:tab w:leader="none" w:pos="248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Talent Development</w:t>
      </w:r>
      <w:r>
        <w:rPr>
          <w:rFonts w:ascii="Times New Roman" w:cs="Times New Roman" w:eastAsia="Times New Roman" w:hAnsi="Times New Roman"/>
          <w:sz w:val="14"/>
          <w:szCs w:val="14"/>
          <w:color w:val="auto"/>
        </w:rPr>
        <w:t>: We emphasize employee training and professional development in consideration of the specialized skills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industry knowledge needed for work in the nuclear industry. All technical staff are encouraged to pursue additional certifications, including engineering licensure (FE, EIT, and PE), ASME code training, nuclear quality, welding &amp; materials inspection, safety &amp; radiation protection, project delivery (PMP), and industrial cybersecurity. We also partner with universities to offer internships and research collaborations to build our talent pipeline.</w:t>
      </w:r>
    </w:p>
    <w:p>
      <w:pPr>
        <w:spacing w:after="0" w:line="65" w:lineRule="exact"/>
        <w:rPr>
          <w:rFonts w:ascii="Times New Roman" w:cs="Times New Roman" w:eastAsia="Times New Roman" w:hAnsi="Times New Roman"/>
          <w:sz w:val="14"/>
          <w:szCs w:val="14"/>
          <w:color w:val="auto"/>
        </w:rPr>
      </w:pPr>
    </w:p>
    <w:p>
      <w:pPr>
        <w:ind w:left="2480" w:right="319" w:hanging="245"/>
        <w:spacing w:after="0" w:line="255" w:lineRule="auto"/>
        <w:tabs>
          <w:tab w:leader="none" w:pos="248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Nuclear Safety Culture</w:t>
      </w:r>
      <w:r>
        <w:rPr>
          <w:rFonts w:ascii="Times New Roman" w:cs="Times New Roman" w:eastAsia="Times New Roman" w:hAnsi="Times New Roman"/>
          <w:sz w:val="14"/>
          <w:szCs w:val="14"/>
          <w:color w:val="auto"/>
        </w:rPr>
        <w:t>: Hadron Energy has implemented a robust nuclear safety culture from its inception. This approach aligns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NRC position that organizations must establish and maintain a positive safety culture commensurate with the safety and security significance of their activities. Our culture is built on a foundation of encouraging questioning attitudes, rigorous peer review of decisions, and a safety-first mindset in all operations. This commitment is integrated into daily practices, such as initiating meetings with a dedicated safety focus. Adhering to the principles of human performance improvement, every employee is vested with the authority and responsibility to halt any process if a safety concern arises.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40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720" w:right="659" w:hanging="330"/>
        <w:spacing w:after="0" w:line="260" w:lineRule="auto"/>
        <w:tabs>
          <w:tab w:leader="none" w:pos="1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Benefits and Talent Retention</w:t>
      </w:r>
      <w:r>
        <w:rPr>
          <w:rFonts w:ascii="Times New Roman" w:cs="Times New Roman" w:eastAsia="Times New Roman" w:hAnsi="Times New Roman"/>
          <w:sz w:val="14"/>
          <w:szCs w:val="14"/>
          <w:color w:val="auto"/>
        </w:rPr>
        <w:t>: Retaining talent in a competitive market is crucial. We offer competitive compensation including equity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incentives, which aligns our employees’ interests with long-term company success. As we grow from a startup to a larger enterprise, we are implementing, and will continue to supplement, benefit programs, compliance training, and more into our human resources infrastructure to support our workforce and remain an employer of choice in the clean energy field.</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operations currently span multiple sites to meet our engineering, corporate, and future production needs:</w:t>
      </w:r>
    </w:p>
    <w:p>
      <w:pPr>
        <w:spacing w:after="0" w:line="98" w:lineRule="exact"/>
        <w:rPr>
          <w:sz w:val="20"/>
          <w:szCs w:val="20"/>
          <w:color w:val="auto"/>
        </w:rPr>
      </w:pPr>
    </w:p>
    <w:p>
      <w:pPr>
        <w:ind w:left="1720" w:right="379" w:hanging="330"/>
        <w:spacing w:after="0" w:line="265"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Engineering Headquarters (San Francisco Bay Area, CA)</w:t>
      </w:r>
      <w:r>
        <w:rPr>
          <w:rFonts w:ascii="Times New Roman" w:cs="Times New Roman" w:eastAsia="Times New Roman" w:hAnsi="Times New Roman"/>
          <w:sz w:val="14"/>
          <w:szCs w:val="14"/>
          <w:color w:val="auto"/>
        </w:rPr>
        <w:t>: Our principal office in the San Francisco Bay Area houses our reactor engineering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 team, project managers, and corporate staff. This location fosters proximity to a vibrant technology talent pool and research institutions, enabling collaboration on software, modeling, and advanced manufacturing techniques.</w:t>
      </w:r>
    </w:p>
    <w:p>
      <w:pPr>
        <w:spacing w:after="0" w:line="61" w:lineRule="exact"/>
        <w:rPr>
          <w:rFonts w:ascii="Times New Roman" w:cs="Times New Roman" w:eastAsia="Times New Roman" w:hAnsi="Times New Roman"/>
          <w:sz w:val="14"/>
          <w:szCs w:val="14"/>
          <w:color w:val="auto"/>
        </w:rPr>
      </w:pPr>
    </w:p>
    <w:p>
      <w:pPr>
        <w:ind w:left="1720" w:right="279" w:hanging="330"/>
        <w:spacing w:after="0" w:line="265"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Policy &amp; Investor Relations Office (New York, NY)</w:t>
      </w:r>
      <w:r>
        <w:rPr>
          <w:rFonts w:ascii="Times New Roman" w:cs="Times New Roman" w:eastAsia="Times New Roman" w:hAnsi="Times New Roman"/>
          <w:sz w:val="14"/>
          <w:szCs w:val="14"/>
          <w:color w:val="auto"/>
        </w:rPr>
        <w:t>: We maintain a New York City office focused on policy engagement, regulatory affairs,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investor relations. Our New York presence provides direct access to capital markets and proximity to many of our current and prospective investors. It allows our policy team to more easily interface with stakeholders and policymakers on the East Coast.</w:t>
      </w:r>
    </w:p>
    <w:p>
      <w:pPr>
        <w:spacing w:after="0" w:line="61" w:lineRule="exact"/>
        <w:rPr>
          <w:rFonts w:ascii="Times New Roman" w:cs="Times New Roman" w:eastAsia="Times New Roman" w:hAnsi="Times New Roman"/>
          <w:sz w:val="14"/>
          <w:szCs w:val="14"/>
          <w:color w:val="auto"/>
        </w:rPr>
      </w:pPr>
    </w:p>
    <w:p>
      <w:pPr>
        <w:ind w:left="1720" w:right="279" w:hanging="330"/>
        <w:spacing w:after="0" w:line="254"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Planned Manufacturing &amp; Testing Facility</w:t>
      </w:r>
      <w:r>
        <w:rPr>
          <w:rFonts w:ascii="Times New Roman" w:cs="Times New Roman" w:eastAsia="Times New Roman" w:hAnsi="Times New Roman"/>
          <w:sz w:val="14"/>
          <w:szCs w:val="14"/>
          <w:color w:val="auto"/>
        </w:rPr>
        <w:t>: We are in the process of selecting a single U.S. site that will serve as our first reactor assembly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factory and, eventually, our manufacturing gigafactory. While no final decision has been made, we have narrowed candidates to a few states that offer strategic advantages including proximity to major component suppliers and strong state economic development incentives. In parallel, we are arranging interim workshop space to build large-scale prototypes and mock-ups of the Hadron Halo. Ultimately, the chosen manufacturing site would include heavy assembly bays, machining and welding shops, quality inspection labs, and possibly a dedicated test reactor or “hot cell” facility for fuel handling R&amp;D. We expect the full-scale factory to have the capacity to produce approximately 100 reactor units annually once fully ramped, though we plan to scale up production gradually, as further discussed in the section above titled “</w:t>
      </w:r>
      <w:r>
        <w:rPr>
          <w:rFonts w:ascii="Times New Roman" w:cs="Times New Roman" w:eastAsia="Times New Roman" w:hAnsi="Times New Roman"/>
          <w:sz w:val="14"/>
          <w:szCs w:val="14"/>
          <w:i w:val="1"/>
          <w:iCs w:val="1"/>
          <w:color w:val="auto"/>
        </w:rPr>
        <w:t>Growth Strategy</w:t>
      </w:r>
      <w:r>
        <w:rPr>
          <w:rFonts w:ascii="Times New Roman" w:cs="Times New Roman" w:eastAsia="Times New Roman" w:hAnsi="Times New Roman"/>
          <w:sz w:val="14"/>
          <w:szCs w:val="14"/>
          <w:color w:val="auto"/>
        </w:rPr>
        <w:t>.”</w:t>
      </w:r>
    </w:p>
    <w:p>
      <w:pPr>
        <w:spacing w:after="0" w:line="68" w:lineRule="exact"/>
        <w:rPr>
          <w:rFonts w:ascii="Times New Roman" w:cs="Times New Roman" w:eastAsia="Times New Roman" w:hAnsi="Times New Roman"/>
          <w:sz w:val="14"/>
          <w:szCs w:val="14"/>
          <w:color w:val="auto"/>
        </w:rPr>
      </w:pPr>
    </w:p>
    <w:p>
      <w:pPr>
        <w:ind w:left="1720" w:right="299" w:hanging="330"/>
        <w:spacing w:after="0" w:line="260"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Testing and Demonstration Sites</w:t>
      </w:r>
      <w:r>
        <w:rPr>
          <w:rFonts w:ascii="Times New Roman" w:cs="Times New Roman" w:eastAsia="Times New Roman" w:hAnsi="Times New Roman"/>
          <w:sz w:val="14"/>
          <w:szCs w:val="14"/>
          <w:color w:val="auto"/>
        </w:rPr>
        <w:t>: In addition to offices and factories, we anticipate needing secure sites for prototype and FOAK reactor testing.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have been in discussions to utilize a U.S. national laboratory site or federal reservation site for an initial demonstration reactor (such as Idaho National Laboratory’s site, which has hosted other MMR demonstrations). Having a dedicated testing site will allow us to operate the first prototype of the Hadron Halo under controlled conditions, to conduct training, and to showcase the system to customers.</w:t>
      </w:r>
    </w:p>
    <w:p>
      <w:pPr>
        <w:spacing w:after="0" w:line="138" w:lineRule="exact"/>
        <w:rPr>
          <w:sz w:val="20"/>
          <w:szCs w:val="20"/>
          <w:color w:val="auto"/>
        </w:rPr>
      </w:pPr>
    </w:p>
    <w:p>
      <w:pPr>
        <w:jc w:val="both"/>
        <w:ind w:left="1400" w:right="379"/>
        <w:spacing w:after="0" w:line="259" w:lineRule="auto"/>
        <w:rPr>
          <w:sz w:val="20"/>
          <w:szCs w:val="20"/>
          <w:color w:val="auto"/>
        </w:rPr>
      </w:pPr>
      <w:r>
        <w:rPr>
          <w:rFonts w:ascii="Times New Roman" w:cs="Times New Roman" w:eastAsia="Times New Roman" w:hAnsi="Times New Roman"/>
          <w:sz w:val="14"/>
          <w:szCs w:val="14"/>
          <w:color w:val="auto"/>
        </w:rPr>
        <w:t>We lease our current office spaces in the San Francisco Bay Area and New York. The prospective combined manufacturing and assembly facility may involve purchasing or long-term leasing of industrial land, and we may seek state or local partnerships for site infrastructure. We consider our facilities strategy to be a key enabler of our business plan and it is critical to ensuring we have the right physical infrastructure as we transition from the design phase to building and commercializing our Hadron Halos.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Indebtedness</w:t>
      </w:r>
    </w:p>
    <w:p>
      <w:pPr>
        <w:spacing w:after="0" w:line="91" w:lineRule="exact"/>
        <w:rPr>
          <w:sz w:val="20"/>
          <w:szCs w:val="20"/>
          <w:color w:val="auto"/>
        </w:rPr>
      </w:pPr>
    </w:p>
    <w:p>
      <w:pPr>
        <w:ind w:left="1400" w:right="559"/>
        <w:spacing w:after="0" w:line="259" w:lineRule="auto"/>
        <w:rPr>
          <w:sz w:val="20"/>
          <w:szCs w:val="20"/>
          <w:color w:val="auto"/>
        </w:rPr>
      </w:pPr>
      <w:r>
        <w:rPr>
          <w:rFonts w:ascii="Times New Roman" w:cs="Times New Roman" w:eastAsia="Times New Roman" w:hAnsi="Times New Roman"/>
          <w:sz w:val="14"/>
          <w:szCs w:val="14"/>
          <w:color w:val="auto"/>
        </w:rPr>
        <w:t>As of the date of this filing, Hadron Energy has not incurred any material indebtedness. To date, we have been funded by equity investments from founders, private capital, and family office investors, which have provided the capital for our R&amp;D and operations. Our secured capital will support R&amp;D and operations for 12 months. In the future, we anticipate that scaling our manufacturing and deploying FOAK units will require significant capital. We intend to explore a mix of financing sources to meet this capital need, potentially including:</w:t>
      </w:r>
    </w:p>
    <w:p>
      <w:pPr>
        <w:spacing w:after="0" w:line="64" w:lineRule="exact"/>
        <w:rPr>
          <w:sz w:val="20"/>
          <w:szCs w:val="20"/>
          <w:color w:val="auto"/>
        </w:rPr>
      </w:pPr>
    </w:p>
    <w:p>
      <w:pPr>
        <w:ind w:left="1720" w:right="339" w:hanging="330"/>
        <w:spacing w:after="0" w:line="265" w:lineRule="auto"/>
        <w:tabs>
          <w:tab w:leader="none" w:pos="1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DOE Loan Programs</w:t>
      </w:r>
      <w:r>
        <w:rPr>
          <w:rFonts w:ascii="Times New Roman" w:cs="Times New Roman" w:eastAsia="Times New Roman" w:hAnsi="Times New Roman"/>
          <w:sz w:val="14"/>
          <w:szCs w:val="14"/>
          <w:color w:val="auto"/>
        </w:rPr>
        <w:t>: The DOE’s Loan Programs Office has over $40 billion available to support innovative energy projects. Advanced nuclear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reactors are an eligible category for loan guarantees. We plan to apply for DOE loan support, which could provide low-interest debt for factory construction or initial deployments, backed by the U.S. government.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40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720" w:right="339" w:hanging="330"/>
        <w:spacing w:after="0" w:line="265"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Project Financing</w:t>
      </w:r>
      <w:r>
        <w:rPr>
          <w:rFonts w:ascii="Times New Roman" w:cs="Times New Roman" w:eastAsia="Times New Roman" w:hAnsi="Times New Roman"/>
          <w:sz w:val="14"/>
          <w:szCs w:val="14"/>
          <w:color w:val="auto"/>
        </w:rPr>
        <w:t>: For commercial deployment of reactors (especially for customer projects), we may utilize project finance debt secured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revenues from PPAs. Initially, we expect to provide more turnkey or leased solutions, but as the technology gains operating history, banks may finance units based on contracted cash flows.</w:t>
      </w:r>
    </w:p>
    <w:p>
      <w:pPr>
        <w:spacing w:after="0" w:line="61" w:lineRule="exact"/>
        <w:rPr>
          <w:rFonts w:ascii="Times New Roman" w:cs="Times New Roman" w:eastAsia="Times New Roman" w:hAnsi="Times New Roman"/>
          <w:sz w:val="14"/>
          <w:szCs w:val="14"/>
          <w:color w:val="auto"/>
        </w:rPr>
      </w:pPr>
    </w:p>
    <w:p>
      <w:pPr>
        <w:ind w:left="1720" w:right="379" w:hanging="330"/>
        <w:spacing w:after="0" w:line="265"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Corporate Debt or Credit Facilities</w:t>
      </w:r>
      <w:r>
        <w:rPr>
          <w:rFonts w:ascii="Times New Roman" w:cs="Times New Roman" w:eastAsia="Times New Roman" w:hAnsi="Times New Roman"/>
          <w:sz w:val="14"/>
          <w:szCs w:val="14"/>
          <w:color w:val="auto"/>
        </w:rPr>
        <w:t>: As our balance sheet grows following the Business Combination, we may enter into revolving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facilities or issue corporate bonds to finance working capital or capital expenditures. We will maintain a prudent approach to leverage, especially given the long-term nature of our projects.</w:t>
      </w:r>
    </w:p>
    <w:p>
      <w:pPr>
        <w:spacing w:after="0" w:line="136" w:lineRule="exact"/>
        <w:rPr>
          <w:sz w:val="20"/>
          <w:szCs w:val="20"/>
          <w:color w:val="auto"/>
        </w:rPr>
      </w:pPr>
    </w:p>
    <w:p>
      <w:pPr>
        <w:ind w:left="1400" w:right="279"/>
        <w:spacing w:after="0" w:line="279" w:lineRule="auto"/>
        <w:rPr>
          <w:sz w:val="20"/>
          <w:szCs w:val="20"/>
          <w:color w:val="auto"/>
        </w:rPr>
      </w:pPr>
      <w:r>
        <w:rPr>
          <w:rFonts w:ascii="Times New Roman" w:cs="Times New Roman" w:eastAsia="Times New Roman" w:hAnsi="Times New Roman"/>
          <w:sz w:val="14"/>
          <w:szCs w:val="14"/>
          <w:color w:val="auto"/>
        </w:rPr>
        <w:t>We currently have no significant loans or outstanding debt instruments. Any future debt incurred will be disclosed and structured in compliance with our growth needs and risk management.</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We are not currently a party to any material legal proceedings. We previously had an employment-related dispute with a former employee that was fully and finally settled prior to the Closing of the Business Combination; the settlement is reflected in our financial statements and in the pro forma adjustments (see “Unaudited Pro Forma Condensed Combined Financial Information”—Note (H)). Other than the matter described above, Hadron Energy has not been subject to any significant litigation,, and we are not aware of any threatened lawsuits or regulatory actions that would have a material adverse effect on us. From time to time, we may be subject to claims, disputes, or legal matters in the normal course of business. We maintain policies and practices to minimize legal risks, including robust IP management and compliance programs.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40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is a list of the persons who currently serve, as of the date of this prospectus, as directors and executive officers of Hadron Energy.</w:t>
      </w:r>
    </w:p>
    <w:p>
      <w:pPr>
        <w:spacing w:after="0" w:line="191" w:lineRule="exact"/>
        <w:rPr>
          <w:sz w:val="20"/>
          <w:szCs w:val="20"/>
          <w:color w:val="auto"/>
        </w:rPr>
      </w:pPr>
    </w:p>
    <w:tbl>
      <w:tblPr>
        <w:tblLayout w:type="fixed"/>
        <w:tblInd w:w="2080" w:type="dxa"/>
        <w:tblCellMar>
          <w:top w:w="0" w:type="dxa"/>
          <w:left w:w="0" w:type="dxa"/>
          <w:bottom w:w="0" w:type="dxa"/>
          <w:right w:w="0" w:type="dxa"/>
        </w:tblCellMar>
      </w:tblPr>
      <w:tr>
        <w:trPr>
          <w:trHeight w:val="142"/>
        </w:trPr>
        <w:tc>
          <w:tcPr>
            <w:tcW w:w="3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Name</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Age</w:t>
            </w:r>
            <w:r>
              <w:rPr>
                <w:rFonts w:ascii="Times New Roman" w:cs="Times New Roman" w:eastAsia="Times New Roman" w:hAnsi="Times New Roman"/>
                <w:sz w:val="8"/>
                <w:szCs w:val="8"/>
                <w:color w:val="auto"/>
              </w:rPr>
              <w:t>(4)</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Position</w:t>
            </w:r>
          </w:p>
        </w:tc>
      </w:tr>
      <w:tr>
        <w:trPr>
          <w:trHeight w:val="143"/>
        </w:trPr>
        <w:tc>
          <w:tcPr>
            <w:tcW w:w="20" w:type="dxa"/>
            <w:vAlign w:val="bottom"/>
          </w:tcPr>
          <w:p>
            <w:pPr>
              <w:spacing w:after="0"/>
              <w:rPr>
                <w:sz w:val="12"/>
                <w:szCs w:val="12"/>
                <w:color w:val="auto"/>
              </w:rPr>
            </w:pPr>
          </w:p>
        </w:tc>
        <w:tc>
          <w:tcPr>
            <w:tcW w:w="30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i w:val="1"/>
                <w:iCs w:val="1"/>
                <w:color w:val="auto"/>
              </w:rPr>
              <w:t>Executive Officers</w:t>
            </w: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700" w:type="dxa"/>
            <w:vAlign w:val="bottom"/>
            <w:tcBorders>
              <w:top w:val="single" w:sz="8" w:color="auto"/>
            </w:tcBorders>
          </w:tcPr>
          <w:p>
            <w:pPr>
              <w:spacing w:after="0"/>
              <w:rPr>
                <w:sz w:val="12"/>
                <w:szCs w:val="12"/>
                <w:color w:val="auto"/>
              </w:rPr>
            </w:pPr>
          </w:p>
        </w:tc>
      </w:tr>
      <w:tr>
        <w:trPr>
          <w:trHeight w:val="16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Gibson</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25</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6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Rahul Shukla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43</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Ken Canavan</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6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Ross T. Ridenoure</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71</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Nuclear Officer</w:t>
            </w:r>
          </w:p>
        </w:tc>
      </w:tr>
      <w:tr>
        <w:trPr>
          <w:trHeight w:val="165"/>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Andrew M. Ward</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44</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169"/>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67"/>
        </w:trPr>
        <w:tc>
          <w:tcPr>
            <w:tcW w:w="30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Dr. Avi S. Katz</w:t>
            </w:r>
            <w:r>
              <w:rPr>
                <w:rFonts w:ascii="Times New Roman" w:cs="Times New Roman" w:eastAsia="Times New Roman" w:hAnsi="Times New Roman"/>
                <w:sz w:val="19"/>
                <w:szCs w:val="19"/>
                <w:color w:val="auto"/>
                <w:vertAlign w:val="superscript"/>
              </w:rPr>
              <w:t>(2)(3)</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68</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Executive Chairman of the Board of Directors (Class II)</w:t>
            </w:r>
          </w:p>
        </w:tc>
      </w:tr>
      <w:tr>
        <w:trPr>
          <w:trHeight w:val="16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Gibson</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25</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 (Class II)</w:t>
            </w:r>
          </w:p>
        </w:tc>
      </w:tr>
      <w:tr>
        <w:trPr>
          <w:trHeight w:val="167"/>
        </w:trPr>
        <w:tc>
          <w:tcPr>
            <w:tcW w:w="30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Dr. Raluca Dinu</w:t>
            </w:r>
            <w:r>
              <w:rPr>
                <w:rFonts w:ascii="Times New Roman" w:cs="Times New Roman" w:eastAsia="Times New Roman" w:hAnsi="Times New Roman"/>
                <w:sz w:val="19"/>
                <w:szCs w:val="19"/>
                <w:color w:val="auto"/>
                <w:vertAlign w:val="superscript"/>
              </w:rPr>
              <w:t>(1)(2)</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52</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 (Class III)</w:t>
            </w:r>
          </w:p>
        </w:tc>
      </w:tr>
      <w:tr>
        <w:trPr>
          <w:trHeight w:val="167"/>
        </w:trPr>
        <w:tc>
          <w:tcPr>
            <w:tcW w:w="30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Raanan I. Horowitz</w:t>
            </w:r>
            <w:r>
              <w:rPr>
                <w:rFonts w:ascii="Times New Roman" w:cs="Times New Roman" w:eastAsia="Times New Roman" w:hAnsi="Times New Roman"/>
                <w:sz w:val="19"/>
                <w:szCs w:val="19"/>
                <w:color w:val="auto"/>
                <w:vertAlign w:val="superscript"/>
              </w:rPr>
              <w:t>(1)(3)</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65</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 (Class II)</w:t>
            </w:r>
          </w:p>
        </w:tc>
      </w:tr>
      <w:tr>
        <w:trPr>
          <w:trHeight w:val="167"/>
        </w:trPr>
        <w:tc>
          <w:tcPr>
            <w:tcW w:w="30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Ambassador Adrian Zuckerman</w:t>
            </w:r>
            <w:r>
              <w:rPr>
                <w:rFonts w:ascii="Times New Roman" w:cs="Times New Roman" w:eastAsia="Times New Roman" w:hAnsi="Times New Roman"/>
                <w:sz w:val="19"/>
                <w:szCs w:val="19"/>
                <w:color w:val="auto"/>
                <w:vertAlign w:val="superscript"/>
              </w:rPr>
              <w:t>(3)</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69</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 (Class I)</w:t>
            </w:r>
          </w:p>
        </w:tc>
      </w:tr>
      <w:tr>
        <w:trPr>
          <w:trHeight w:val="167"/>
        </w:trPr>
        <w:tc>
          <w:tcPr>
            <w:tcW w:w="30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Ralph L. Hunter</w:t>
            </w:r>
            <w:r>
              <w:rPr>
                <w:rFonts w:ascii="Times New Roman" w:cs="Times New Roman" w:eastAsia="Times New Roman" w:hAnsi="Times New Roman"/>
                <w:sz w:val="19"/>
                <w:szCs w:val="19"/>
                <w:color w:val="auto"/>
                <w:vertAlign w:val="superscript"/>
              </w:rPr>
              <w:t>(2)(3)</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 (Class I)</w:t>
            </w:r>
          </w:p>
        </w:tc>
      </w:tr>
      <w:tr>
        <w:trPr>
          <w:trHeight w:val="167"/>
        </w:trPr>
        <w:tc>
          <w:tcPr>
            <w:tcW w:w="30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Robert J. Lewis</w:t>
            </w:r>
            <w:r>
              <w:rPr>
                <w:rFonts w:ascii="Times New Roman" w:cs="Times New Roman" w:eastAsia="Times New Roman" w:hAnsi="Times New Roman"/>
                <w:sz w:val="19"/>
                <w:szCs w:val="19"/>
                <w:color w:val="auto"/>
                <w:vertAlign w:val="superscript"/>
              </w:rPr>
              <w:t>(1)(3)</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58</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 (Class I)</w:t>
            </w:r>
          </w:p>
        </w:tc>
      </w:tr>
      <w:tr>
        <w:trPr>
          <w:trHeight w:val="278"/>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L. Timm</w:t>
            </w:r>
            <w:r>
              <w:rPr>
                <w:rFonts w:ascii="Times New Roman" w:cs="Times New Roman" w:eastAsia="Times New Roman" w:hAnsi="Times New Roman"/>
                <w:sz w:val="20"/>
                <w:szCs w:val="20"/>
                <w:color w:val="auto"/>
                <w:vertAlign w:val="superscript"/>
              </w:rPr>
              <w:t>(1)(2)</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w:t>
            </w:r>
          </w:p>
        </w:tc>
        <w:tc>
          <w:tcPr>
            <w:tcW w:w="3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 (Class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5080</wp:posOffset>
            </wp:positionV>
            <wp:extent cx="59563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5630" cy="6350"/>
                    </a:xfrm>
                    <a:prstGeom prst="rect">
                      <a:avLst/>
                    </a:prstGeom>
                    <a:noFill/>
                  </pic:spPr>
                </pic:pic>
              </a:graphicData>
            </a:graphic>
          </wp:anchor>
        </w:drawing>
      </w:r>
    </w:p>
    <w:p>
      <w:pPr>
        <w:spacing w:after="0" w:line="15" w:lineRule="exact"/>
        <w:rPr>
          <w:sz w:val="20"/>
          <w:szCs w:val="20"/>
          <w:color w:val="auto"/>
        </w:rPr>
      </w:pPr>
    </w:p>
    <w:p>
      <w:pPr>
        <w:ind w:left="1720" w:hanging="330"/>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0" w:lineRule="exact"/>
        <w:rPr>
          <w:rFonts w:ascii="Times New Roman" w:cs="Times New Roman" w:eastAsia="Times New Roman" w:hAnsi="Times New Roman"/>
          <w:sz w:val="14"/>
          <w:szCs w:val="14"/>
          <w:color w:val="auto"/>
        </w:rPr>
      </w:pPr>
    </w:p>
    <w:p>
      <w:pPr>
        <w:ind w:left="1720" w:hanging="330"/>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5" w:lineRule="exact"/>
        <w:rPr>
          <w:rFonts w:ascii="Times New Roman" w:cs="Times New Roman" w:eastAsia="Times New Roman" w:hAnsi="Times New Roman"/>
          <w:sz w:val="14"/>
          <w:szCs w:val="14"/>
          <w:color w:val="auto"/>
        </w:rPr>
      </w:pPr>
    </w:p>
    <w:p>
      <w:pPr>
        <w:ind w:left="1720" w:hanging="330"/>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5" w:lineRule="exact"/>
        <w:rPr>
          <w:rFonts w:ascii="Times New Roman" w:cs="Times New Roman" w:eastAsia="Times New Roman" w:hAnsi="Times New Roman"/>
          <w:sz w:val="14"/>
          <w:szCs w:val="14"/>
          <w:color w:val="auto"/>
        </w:rPr>
      </w:pPr>
    </w:p>
    <w:p>
      <w:pPr>
        <w:ind w:left="1720" w:hanging="330"/>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1, 2026.</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Mr. Samuel Gibson</w:t>
      </w:r>
      <w:r>
        <w:rPr>
          <w:rFonts w:ascii="Times New Roman" w:cs="Times New Roman" w:eastAsia="Times New Roman" w:hAnsi="Times New Roman"/>
          <w:sz w:val="14"/>
          <w:szCs w:val="14"/>
          <w:i w:val="1"/>
          <w:iCs w:val="1"/>
          <w:color w:val="auto"/>
        </w:rPr>
        <w:t>, Chief Executive Officer and Director.</w:t>
      </w:r>
    </w:p>
    <w:p>
      <w:pPr>
        <w:spacing w:after="0" w:line="173"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Gibson </w:t>
      </w:r>
      <w:r>
        <w:rPr>
          <w:rFonts w:ascii="Times New Roman" w:cs="Times New Roman" w:eastAsia="Times New Roman" w:hAnsi="Times New Roman"/>
          <w:sz w:val="14"/>
          <w:szCs w:val="14"/>
          <w:color w:val="auto"/>
        </w:rPr>
        <w:t>founded Private Hadron and has served as its Chief Executive Officer and a member of the Private Hadron Board since its inception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2024 and he continues to serve as our Chief Executive Officer and a member of our board following the Closing of the Business Combination. Prior to founding Private Hadron, Mr. Gibson was a Facilities Services Engineer at Blue Collars Plumbing &amp; HVAC, a company focused on providing commercial and residential plumbing &amp; HVAC services from December 2023 until May 2024. Previously, Mr. Gibson served as an Assistant Mechanical Engineer at Burns &amp; McDonnell, an engineering consulting firm, from August 2023 until December 2023. Mr. Gibson holds a Bachelor of Science in Mechanical Engineering and a minor in Engineering Leadership from the University of Nebraska. He is a two-time global engineering leader awarded by the American Society of Mechanical Engineers (ASME).</w:t>
      </w:r>
    </w:p>
    <w:p>
      <w:pPr>
        <w:spacing w:after="0" w:line="144" w:lineRule="exact"/>
        <w:rPr>
          <w:sz w:val="20"/>
          <w:szCs w:val="20"/>
          <w:color w:val="auto"/>
        </w:rPr>
      </w:pPr>
    </w:p>
    <w:p>
      <w:pPr>
        <w:ind w:left="1400" w:right="859" w:firstLine="340"/>
        <w:spacing w:after="0" w:line="279" w:lineRule="auto"/>
        <w:rPr>
          <w:sz w:val="20"/>
          <w:szCs w:val="20"/>
          <w:color w:val="auto"/>
        </w:rPr>
      </w:pPr>
      <w:r>
        <w:rPr>
          <w:rFonts w:ascii="Times New Roman" w:cs="Times New Roman" w:eastAsia="Times New Roman" w:hAnsi="Times New Roman"/>
          <w:sz w:val="14"/>
          <w:szCs w:val="14"/>
          <w:color w:val="auto"/>
        </w:rPr>
        <w:t>We believe Mr. Gibson is highly qualified to serve on the Company’s Board due to the unique perspective and expertise he brings as the Company’s Chief Executive Officer, combined with his industry experience and educational background in engineering.</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Mr. Rahul Shukla</w:t>
      </w:r>
      <w:r>
        <w:rPr>
          <w:rFonts w:ascii="Times New Roman" w:cs="Times New Roman" w:eastAsia="Times New Roman" w:hAnsi="Times New Roman"/>
          <w:sz w:val="14"/>
          <w:szCs w:val="14"/>
          <w:i w:val="1"/>
          <w:iCs w:val="1"/>
          <w:color w:val="auto"/>
        </w:rPr>
        <w:t>, Chief Financial Officer.</w:t>
      </w:r>
    </w:p>
    <w:p>
      <w:pPr>
        <w:spacing w:after="0" w:line="173" w:lineRule="exact"/>
        <w:rPr>
          <w:sz w:val="20"/>
          <w:szCs w:val="20"/>
          <w:color w:val="auto"/>
        </w:rPr>
      </w:pPr>
    </w:p>
    <w:p>
      <w:pPr>
        <w:ind w:left="1400" w:right="339" w:firstLine="34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Shukla </w:t>
      </w:r>
      <w:r>
        <w:rPr>
          <w:rFonts w:ascii="Times New Roman" w:cs="Times New Roman" w:eastAsia="Times New Roman" w:hAnsi="Times New Roman"/>
          <w:sz w:val="14"/>
          <w:szCs w:val="14"/>
          <w:color w:val="auto"/>
        </w:rPr>
        <w:t>has served as Private Hadron’s Chief Financial Officer since December 2025 and he continues to serve as our Chief Financial Officer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following the Closing of the Business Combination. Before his appointment, Mr. Shukla served as Chief Accounting Officer from January 2022 to December 2025 at Stem, Inc., a publicly traded clean-energy software company, where he oversaw global accounting teams, led audit and SOX remediation efforts, managed complex technical accounting matters, and supported a $700 million acquisition</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404"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80" w:lineRule="auto"/>
        <w:rPr>
          <w:sz w:val="20"/>
          <w:szCs w:val="20"/>
          <w:color w:val="auto"/>
        </w:rPr>
      </w:pPr>
      <w:r>
        <w:rPr>
          <w:rFonts w:ascii="Times New Roman" w:cs="Times New Roman" w:eastAsia="Times New Roman" w:hAnsi="Times New Roman"/>
          <w:sz w:val="13"/>
          <w:szCs w:val="13"/>
          <w:color w:val="auto"/>
        </w:rPr>
        <w:t>integration. Previously, Mr. Shukla held senior finance leadership roles at Natera, Inc. (as Controller from July 2020 to December 2021) and eHealth, Inc., where he supported multiple public offerings totaling more than $1.6 billion in capital raised and materially accelerated close and reporting timelines. deep expertise in public-company finance, SEC reporting, capital structure, M&amp;A integration, and Sarbanes-Oxley Act (“SOX”)-compliant financial operations, having led finance and accounting organizations across energy, healthcare, SaaS, and technology platforms. Mr. Shukla began his career at KPMG, focusing on M&amp;A and transaction advisory, and holds a degree from the University of California, Berkeley Haas School of Business.</w:t>
      </w:r>
    </w:p>
    <w:p>
      <w:pPr>
        <w:spacing w:after="0" w:line="1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Mr. Ken Canavan</w:t>
      </w:r>
      <w:r>
        <w:rPr>
          <w:rFonts w:ascii="Times New Roman" w:cs="Times New Roman" w:eastAsia="Times New Roman" w:hAnsi="Times New Roman"/>
          <w:sz w:val="14"/>
          <w:szCs w:val="14"/>
          <w:i w:val="1"/>
          <w:iCs w:val="1"/>
          <w:color w:val="auto"/>
        </w:rPr>
        <w:t>, Chief Operating Officer.</w:t>
      </w:r>
    </w:p>
    <w:p>
      <w:pPr>
        <w:spacing w:after="0" w:line="173"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Canavan </w:t>
      </w:r>
      <w:r>
        <w:rPr>
          <w:rFonts w:ascii="Times New Roman" w:cs="Times New Roman" w:eastAsia="Times New Roman" w:hAnsi="Times New Roman"/>
          <w:sz w:val="14"/>
          <w:szCs w:val="14"/>
          <w:color w:val="auto"/>
        </w:rPr>
        <w:t>has served as Private Hadron’s Chief Operating Officer since January 2026 and he continues to serve as our Chief Operating Officer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following the Closing of the Business Combination. Before his appointment, Mr. Canavan served as President and Chief Executive Officer from January 2024 to January 2026 of E4 Carolinas, where he restructured and repositioned the organization for growth. From March 2022 to July 2023, Mr. Canavan served as VP and Chief Revenue Officer at Structural Integrity Associates, Inc. From January 2018 to July 2021, he was Chief Technology Officer and Vice President of Nuclear Technology at Westinghouse Electric Company, leading the Global Technology Office and overseeing major innovation programs, including Accident Tolerant Fuel initiatives and the eVinci Microreactor program, a more than $200 million advanced reactor development effort. Earlier in his career, Mr. Canavan spent over 15 years at the Electric Power Research Institute (EPRI) as Director of Nuclear Plant Technology, managing a global R&amp;D portfolio exceeding $50 million annually. He began his career in nuclear safety and probabilistic risk assessment at utility owner-operators, including Three Mile Island and Oyster Creek. Mr. Canavan brings nearly four decades of experience across nuclear operations, advanced reactor development, global research and development (“R&amp;D”), and enterprise transformation. His career spans leadership roles at owner-operators, national laboratories, global technology providers, and industry research institutions, positioning him uniquely to oversee our FOAK-to-NOAK operational execution.</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Mr. Ross T. Ridenoure</w:t>
      </w:r>
      <w:r>
        <w:rPr>
          <w:rFonts w:ascii="Times New Roman" w:cs="Times New Roman" w:eastAsia="Times New Roman" w:hAnsi="Times New Roman"/>
          <w:sz w:val="14"/>
          <w:szCs w:val="14"/>
          <w:i w:val="1"/>
          <w:iCs w:val="1"/>
          <w:color w:val="auto"/>
        </w:rPr>
        <w:t>, Chief Nuclear Officer.</w:t>
      </w:r>
    </w:p>
    <w:p>
      <w:pPr>
        <w:spacing w:after="0" w:line="173"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Ridenoure </w:t>
      </w:r>
      <w:r>
        <w:rPr>
          <w:rFonts w:ascii="Times New Roman" w:cs="Times New Roman" w:eastAsia="Times New Roman" w:hAnsi="Times New Roman"/>
          <w:sz w:val="14"/>
          <w:szCs w:val="14"/>
          <w:color w:val="auto"/>
        </w:rPr>
        <w:t>has served as Hadron’s Chief Nuclear Officer since May 2025 and he continues to serve as our Chief Nuclear Officer following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Closing of the Business Combination. A three-time Chief Nuclear Officer and three-time Senior Reactor Operator with more than 40 years of commercial nuclear-power experience, Mr. Ridenoure has led operations and regulatory programs for both U.S. and international nuclear facilities. Prior to joining Private Hadron, from January 2024 until April 2025, Mr. Ridenoure served as QA Director at Accelerant, and from January 2023 until November 2023, he served as a consultant for Excel Energy. From November 2020 until October 2023, he served as Expert Consultant at the International Atomic Energy Agency. From January 2013 until July 2018, Mr. Ridenoure served as Senior Vice President of Nuclear Licensing &amp; Regulatory Affairs for the Barakah Nuclear Power Plant in the United Arab Emirates, where he delivered the project’s first operating-license applications ahead of schedule and established the world’s first Nuclear English Standard for multi-cultural plant workforces. From December 2007 until December 2010, he was Chief Nuclear Officer at Southern California Edison’s San Onofre Nuclear Generating Station. Prior to that, from July 2002 until November 2007, he served as Chief Nuclear Officer at Omaha Public Power District’s Fort Calhoun Nuclear Station. He is a retired Navy Commander with 30 years of service. Mr. Ridenoure holds an M.B.A. from the University of Nebraska at Omaha and a B.S. in Nuclear Engineering Technology from Excelsior College.</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Dr. Andrew M. Ward</w:t>
      </w:r>
      <w:r>
        <w:rPr>
          <w:rFonts w:ascii="Times New Roman" w:cs="Times New Roman" w:eastAsia="Times New Roman" w:hAnsi="Times New Roman"/>
          <w:sz w:val="14"/>
          <w:szCs w:val="14"/>
          <w:i w:val="1"/>
          <w:iCs w:val="1"/>
          <w:color w:val="auto"/>
        </w:rPr>
        <w:t>, Chief Technology Officer.</w:t>
      </w:r>
    </w:p>
    <w:p>
      <w:pPr>
        <w:spacing w:after="0" w:line="173" w:lineRule="exact"/>
        <w:rPr>
          <w:sz w:val="20"/>
          <w:szCs w:val="20"/>
          <w:color w:val="auto"/>
        </w:rPr>
      </w:pPr>
    </w:p>
    <w:p>
      <w:pPr>
        <w:ind w:left="1400" w:right="599" w:firstLine="34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Ward </w:t>
      </w:r>
      <w:r>
        <w:rPr>
          <w:rFonts w:ascii="Times New Roman" w:cs="Times New Roman" w:eastAsia="Times New Roman" w:hAnsi="Times New Roman"/>
          <w:sz w:val="14"/>
          <w:szCs w:val="14"/>
          <w:color w:val="auto"/>
        </w:rPr>
        <w:t>has served as Hadron’s Chief Technology Officer since September 2025 and he continues to serve as our Chief Technology Officer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following the Closing of the Business Combination. Dr. Ward is a nuclear engineer and physicist with more than a decade of experience leading federally funded research in reactor and nuclear systems. Prior to joining Private Hadron, from July 2023 until August 2025, Dr. Ward served as Assistant</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404"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Research Scientist at the University of Michigan, where he managed federally sponsored research initiatives and taught nuclear engineering courses. Before that, from January 2012 until July 2023, Dr. Ward served as a Research Area Specialist at the University of Michigan. Dr. Ward holds a Ph.D. in Nuclear Engineering from the University of Michigan, an M.S. and B.S. in Nuclear Engineering from Purdue University, and a B.S. in Applied Physics from Purdue University.</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89" w:lineRule="exact"/>
        <w:rPr>
          <w:sz w:val="20"/>
          <w:szCs w:val="20"/>
          <w:color w:val="auto"/>
        </w:rPr>
      </w:pPr>
    </w:p>
    <w:p>
      <w:pPr>
        <w:ind w:left="1400" w:right="479" w:firstLine="340"/>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 xml:space="preserve">Dr. Avi S. Katz </w:t>
      </w:r>
      <w:r>
        <w:rPr>
          <w:rFonts w:ascii="Times New Roman" w:cs="Times New Roman" w:eastAsia="Times New Roman" w:hAnsi="Times New Roman"/>
          <w:sz w:val="13"/>
          <w:szCs w:val="13"/>
          <w:color w:val="auto"/>
        </w:rPr>
        <w:t>co-founded our GigCapital7 together with Dr. Raluca Dinu, who is also a director of the Company. Dr. Katz is our Executive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Chairman of the Board and has served as the Executive Chairman of the GigCapital7 Board since the inception of GigCapital7 in May 2024, and previously as the Chief Executive Officer of GigCapital7 from its inception until the closing of the Business Combination on May 22, 2026. Dr. Katz holds 50% indirect membership interest in the Sponsor. Dr. Katz also holds a 50% membership interest in GigManagement, LLC, the managing company of the Sponsor, and has served as a managing member of such managing company since its inception. Dr. Katz has spent approximately 35 years in international executive positions within the TMT industry founding and managing startups, and at privately held start-ups, and</w:t>
      </w:r>
    </w:p>
    <w:p>
      <w:pPr>
        <w:spacing w:after="0" w:line="1" w:lineRule="exact"/>
        <w:rPr>
          <w:sz w:val="20"/>
          <w:szCs w:val="20"/>
          <w:color w:val="auto"/>
        </w:rPr>
      </w:pPr>
    </w:p>
    <w:p>
      <w:pPr>
        <w:ind w:left="1400" w:right="259"/>
        <w:spacing w:after="0" w:line="267" w:lineRule="auto"/>
        <w:rPr>
          <w:sz w:val="20"/>
          <w:szCs w:val="20"/>
          <w:color w:val="auto"/>
        </w:rPr>
      </w:pPr>
      <w:r>
        <w:rPr>
          <w:rFonts w:ascii="Times New Roman" w:cs="Times New Roman" w:eastAsia="Times New Roman" w:hAnsi="Times New Roman"/>
          <w:sz w:val="13"/>
          <w:szCs w:val="13"/>
          <w:color w:val="auto"/>
        </w:rPr>
        <w:t>publicly traded middle-cap companies and large enterprises. After the sale of GigPeak (also known as GigOptix), which he founded and bootstrapped in April 2007 to IDT in April 2017, Dr. Katz founded GigCapital Global in October 2017 as a serial issuer of Private to 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w:t>
      </w:r>
    </w:p>
    <w:p>
      <w:pPr>
        <w:spacing w:after="0" w:line="4" w:lineRule="exact"/>
        <w:rPr>
          <w:sz w:val="20"/>
          <w:szCs w:val="20"/>
          <w:color w:val="auto"/>
        </w:rPr>
      </w:pPr>
    </w:p>
    <w:p>
      <w:pPr>
        <w:ind w:left="1400" w:right="259"/>
        <w:spacing w:after="0" w:line="248" w:lineRule="auto"/>
        <w:rPr>
          <w:sz w:val="20"/>
          <w:szCs w:val="20"/>
          <w:color w:val="auto"/>
        </w:rPr>
      </w:pPr>
      <w:r>
        <w:rPr>
          <w:rFonts w:ascii="Times New Roman" w:cs="Times New Roman" w:eastAsia="Times New Roman" w:hAnsi="Times New Roman"/>
          <w:sz w:val="14"/>
          <w:szCs w:val="14"/>
          <w:color w:val="auto"/>
        </w:rPr>
        <w:t>$144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 to 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w:t>
      </w:r>
    </w:p>
    <w:p>
      <w:pPr>
        <w:spacing w:after="0" w:line="5" w:lineRule="exact"/>
        <w:rPr>
          <w:sz w:val="20"/>
          <w:szCs w:val="20"/>
          <w:color w:val="auto"/>
        </w:rPr>
      </w:pPr>
    </w:p>
    <w:p>
      <w:pPr>
        <w:ind w:left="1400" w:right="259"/>
        <w:spacing w:after="0" w:line="248" w:lineRule="auto"/>
        <w:rPr>
          <w:sz w:val="20"/>
          <w:szCs w:val="20"/>
          <w:color w:val="auto"/>
        </w:rPr>
      </w:pPr>
      <w:r>
        <w:rPr>
          <w:rFonts w:ascii="Times New Roman" w:cs="Times New Roman" w:eastAsia="Times New Roman" w:hAnsi="Times New Roman"/>
          <w:sz w:val="14"/>
          <w:szCs w:val="14"/>
          <w:color w:val="auto"/>
        </w:rPr>
        <w:t>to receive one-twentieth (1/20) of one share of GIG2 common stock, generating aggregate proceeds of about $173 million. On June 8, 2021, GIG2 completed its business combination with each of UpHealth Holdings, Inc. and Cloudbreak Health, LLC, and the combined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w:t>
      </w:r>
    </w:p>
    <w:p>
      <w:pPr>
        <w:spacing w:after="0" w:line="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the Co-Chairman of the board of directors of UpHealth, becoming the sole Chairman of the Board of UpHealth in June 2022. In this capacity,</w:t>
      </w:r>
    </w:p>
    <w:p>
      <w:pPr>
        <w:spacing w:after="0" w:line="6" w:lineRule="exact"/>
        <w:rPr>
          <w:sz w:val="20"/>
          <w:szCs w:val="20"/>
          <w:color w:val="auto"/>
        </w:rPr>
      </w:pPr>
    </w:p>
    <w:p>
      <w:pPr>
        <w:ind w:left="1400" w:right="399"/>
        <w:spacing w:after="0" w:line="257" w:lineRule="auto"/>
        <w:rPr>
          <w:sz w:val="20"/>
          <w:szCs w:val="20"/>
          <w:color w:val="auto"/>
        </w:rPr>
      </w:pPr>
      <w:r>
        <w:rPr>
          <w:rFonts w:ascii="Times New Roman" w:cs="Times New Roman" w:eastAsia="Times New Roman" w:hAnsi="Times New Roman"/>
          <w:sz w:val="14"/>
          <w:szCs w:val="14"/>
          <w:color w:val="auto"/>
        </w:rPr>
        <w:t>Dr. Katz has steered many restructurings and refinancings of the company, including the sales of two divisions of the company — IGI, which was sold for $56 million in a cash deal to Belmar Pharma Solutions in June 2023, and</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404"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49" w:lineRule="auto"/>
        <w:rPr>
          <w:sz w:val="20"/>
          <w:szCs w:val="20"/>
          <w:color w:val="auto"/>
        </w:rPr>
      </w:pPr>
      <w:r>
        <w:rPr>
          <w:rFonts w:ascii="Times New Roman" w:cs="Times New Roman" w:eastAsia="Times New Roman" w:hAnsi="Times New Roman"/>
          <w:sz w:val="14"/>
          <w:szCs w:val="14"/>
          <w:color w:val="auto"/>
        </w:rPr>
        <w:t>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 to 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the combined company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 to 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on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until March 2024, he continued to serve as a member of the board of directors of BigBear.ai. In February 2021, Drs. Katz and Dinu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In January 2021, Drs. Katz and Dinu co-founded GigCapital5, Inc.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Katz was the Executive Chairman of GIG5 from its inception until the closing of the business combination with QT Imaging, Inc. on March 4, 2024, and since then he serves as the chairman of the Board of Directors of QT Imaging Holdings, Inc. The combined company is now listed on Nasdaq under the ticker symbol “QTI”. Dr. Katz is the Chief Executive Officer and Chairman of GIG8, a Private to Public Equity (PPE) company formed for the purpose of acquiring a company in the A&amp;D services, cybersecurity and secured communications and quantum-based command and control systems, and AI and ML industries that completed its initial public offering in October 2025, in which it sold 25,300,000 units generating proceeds of about $253 million. GIG8 listed on Nasdaq under the symbol “GIW” and is currently looking for a suitable acquisition target. Dr. Katz is also the Chief Executive Officer and Chairman of GIG9, a newly formed Private to Public Equity (PPE) company incorporated in the Cayman Islands that was formed for the purpose of acquiring a company in the A&amp;D services, cybersecurity and secured communications and quantum-based command and control systems, and artificial intelligence and machine-learning industries. GIG9 completed its initial public offering in January</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404"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51" w:lineRule="auto"/>
        <w:rPr>
          <w:sz w:val="20"/>
          <w:szCs w:val="20"/>
          <w:color w:val="auto"/>
        </w:rPr>
      </w:pPr>
      <w:r>
        <w:rPr>
          <w:rFonts w:ascii="Times New Roman" w:cs="Times New Roman" w:eastAsia="Times New Roman" w:hAnsi="Times New Roman"/>
          <w:sz w:val="14"/>
          <w:szCs w:val="14"/>
          <w:color w:val="auto"/>
        </w:rPr>
        <w:t>2026, in which is sold 25,300,000 units generating proceeds of about $253 million. GIG9 is listed on Nasdaq under the symbol “GIX” and is currently looking for a suitable acquisition target. Prior to launching his first Private to Public Equity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45" w:lineRule="exact"/>
        <w:rPr>
          <w:sz w:val="20"/>
          <w:szCs w:val="20"/>
          <w:color w:val="auto"/>
        </w:rPr>
      </w:pPr>
    </w:p>
    <w:p>
      <w:pPr>
        <w:ind w:left="1400" w:right="379" w:firstLine="34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Raluca Dinu </w:t>
      </w:r>
      <w:r>
        <w:rPr>
          <w:rFonts w:ascii="Times New Roman" w:cs="Times New Roman" w:eastAsia="Times New Roman" w:hAnsi="Times New Roman"/>
          <w:sz w:val="14"/>
          <w:szCs w:val="14"/>
          <w:color w:val="auto"/>
        </w:rPr>
        <w:t>co-founded our Gigcapital7 with Dr. Avi S. Katz, who is our Executive Chairman of the Board of Directors. Dr. Dinu has spent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 to 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In January 2021, Drs. Katz and Dinu co-founded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Dinu served as the Chief Executive Officer of GIG5 form its inception until the closing of the business combination with QT Imaging, Inc. on March 4, 2024, and since then she has served as the Chief Executive Officer and director of QT Imaging Holdings, Inc. The combined company is now listed on Nasdaq under the ticker symbol “QTI.” Dr. Dinu currently serves as a member of the board of directors for GIG8. Dr. Dinu is also a director of GIG9. Dr. Dinu also holds a 50% membership interest in GigManagement, LLC, and has served as a managing member of GigManagement, LLC since its inception. From April 2017 to May 2019, Dr. Dinu was the Vice President and General Manager of Optical Interconnects Division of Integrated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404"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71" w:lineRule="auto"/>
        <w:rPr>
          <w:sz w:val="20"/>
          <w:szCs w:val="20"/>
          <w:color w:val="auto"/>
        </w:rPr>
      </w:pPr>
      <w:r>
        <w:rPr>
          <w:rFonts w:ascii="Times New Roman" w:cs="Times New Roman" w:eastAsia="Times New Roman" w:hAnsi="Times New Roman"/>
          <w:sz w:val="13"/>
          <w:szCs w:val="13"/>
          <w:color w:val="auto"/>
        </w:rPr>
        <w:t>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w:t>
      </w:r>
    </w:p>
    <w:p>
      <w:pPr>
        <w:spacing w:after="0" w:line="1" w:lineRule="exact"/>
        <w:rPr>
          <w:sz w:val="20"/>
          <w:szCs w:val="20"/>
          <w:color w:val="auto"/>
        </w:rPr>
      </w:pPr>
    </w:p>
    <w:p>
      <w:pPr>
        <w:ind w:left="1400" w:right="259"/>
        <w:spacing w:after="0" w:line="253" w:lineRule="auto"/>
        <w:rPr>
          <w:sz w:val="20"/>
          <w:szCs w:val="20"/>
          <w:color w:val="auto"/>
        </w:rPr>
      </w:pPr>
      <w:r>
        <w:rPr>
          <w:rFonts w:ascii="Times New Roman" w:cs="Times New Roman" w:eastAsia="Times New Roman" w:hAnsi="Times New Roman"/>
          <w:sz w:val="14"/>
          <w:szCs w:val="14"/>
          <w:color w:val="auto"/>
        </w:rPr>
        <w:t>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Executive Chairman of the Board.</w:t>
      </w:r>
    </w:p>
    <w:p>
      <w:pPr>
        <w:spacing w:after="0" w:line="141"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Raanan I. Horowitz </w:t>
      </w:r>
      <w:r>
        <w:rPr>
          <w:rFonts w:ascii="Times New Roman" w:cs="Times New Roman" w:eastAsia="Times New Roman" w:hAnsi="Times New Roman"/>
          <w:sz w:val="14"/>
          <w:szCs w:val="14"/>
          <w:color w:val="auto"/>
        </w:rPr>
        <w:t>is a director of our Company and also currently serves on the Board of Trustees of the Institute for Defense Analysis,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American non-profit corporation that administers three federally funded research and development centers (FFRDCs) to assist the United States government in addressing national security issues. He also serves on the board of directors of the DFW International Airport, the third largest airport in the world, the board of directors of Parry Labs, a digital engineering company serving the defense market, the board of directors as a board chair of Beaufort, a global provider of survivability equipment for critical mission applications, and the board of directors of GIG7 since August 2024.</w:t>
      </w:r>
    </w:p>
    <w:p>
      <w:pPr>
        <w:spacing w:after="0" w:line="3" w:lineRule="exact"/>
        <w:rPr>
          <w:sz w:val="20"/>
          <w:szCs w:val="20"/>
          <w:color w:val="auto"/>
        </w:rPr>
      </w:pPr>
    </w:p>
    <w:p>
      <w:pPr>
        <w:ind w:left="1400" w:right="259"/>
        <w:spacing w:after="0" w:line="267" w:lineRule="auto"/>
        <w:rPr>
          <w:sz w:val="20"/>
          <w:szCs w:val="20"/>
          <w:color w:val="auto"/>
        </w:rPr>
      </w:pPr>
      <w:r>
        <w:rPr>
          <w:rFonts w:ascii="Times New Roman" w:cs="Times New Roman" w:eastAsia="Times New Roman" w:hAnsi="Times New Roman"/>
          <w:sz w:val="13"/>
          <w:szCs w:val="13"/>
          <w:color w:val="auto"/>
        </w:rPr>
        <w:t>Mr. Horowitz currently serves as a member of the board and member of the Audit Committee for GIG8. Mr. Horowitz is also a member of the board for GIG9.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(NYSE:BBAI) following its business combination with GIG4 in December 2021, serving as the chair of the Nominations and Governance Committee until May 2023. He also served on the board of directors of GIG5 until its business combination with Qt Imaging, Inc.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20,000 employees in 15 countries. Prior to being appointed to lead Elbit Systems of America, LLC, Mr. Horowitz served as the Executive Vice President and General Manager of EFW, Inc., a subsidiary of Elbit Systems of America, from 2003 to 2007. In 2014, 2015, 2018, 2022, 2023 and 2024. The Ethisphere Institute named Elbit Systems of America one of the “World’s Most Ethical Companies.” In addition,</w:t>
      </w:r>
    </w:p>
    <w:p>
      <w:pPr>
        <w:spacing w:after="0" w:line="6" w:lineRule="exact"/>
        <w:rPr>
          <w:sz w:val="20"/>
          <w:szCs w:val="20"/>
          <w:color w:val="auto"/>
        </w:rPr>
      </w:pPr>
    </w:p>
    <w:p>
      <w:pPr>
        <w:ind w:left="1400" w:right="279"/>
        <w:spacing w:after="0" w:line="267" w:lineRule="auto"/>
        <w:rPr>
          <w:sz w:val="20"/>
          <w:szCs w:val="20"/>
          <w:color w:val="auto"/>
        </w:rPr>
      </w:pPr>
      <w:r>
        <w:rPr>
          <w:rFonts w:ascii="Times New Roman" w:cs="Times New Roman" w:eastAsia="Times New Roman" w:hAnsi="Times New Roman"/>
          <w:sz w:val="13"/>
          <w:szCs w:val="13"/>
          <w:color w:val="auto"/>
        </w:rPr>
        <w:t>Mr. Horowitz is active in the A&amp;D industry, serving on the Board of Governors of the Aerospace Industries Association from 2008 until 2024, the board of directors for the National Defense Industrial Association from 2015 until 2024, and as a member of the Wall Street Journal CEO Council from 2018 until 2024. Previously, he served on the National Board of Directors for one of the nation’s largest volunteer health organizations, the Leukemia &amp; Lymphoma Society, from 2009 to 2018. Mr. Horowitz earned a Master of Business Administration degree from the Seidman School of Business</w:t>
      </w:r>
    </w:p>
    <w:p>
      <w:pPr>
        <w:spacing w:after="0" w:line="2"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(1993) at Grand Valley State University in Allendale, Michigan. He was also awarded a Master of Science degree in Electrical Engineering (1991) and a Bachelor of Science degree in Mechanical Engineering (1981) from Tel-Aviv University in Israel.</w:t>
      </w:r>
    </w:p>
    <w:p>
      <w:pPr>
        <w:spacing w:after="0" w:line="139" w:lineRule="exact"/>
        <w:rPr>
          <w:sz w:val="20"/>
          <w:szCs w:val="20"/>
          <w:color w:val="auto"/>
        </w:rPr>
      </w:pPr>
    </w:p>
    <w:p>
      <w:pPr>
        <w:ind w:left="1400" w:right="259" w:firstLine="34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Ambassador Adrian Zuckerman </w:t>
      </w:r>
      <w:r>
        <w:rPr>
          <w:rFonts w:ascii="Times New Roman" w:cs="Times New Roman" w:eastAsia="Times New Roman" w:hAnsi="Times New Roman"/>
          <w:sz w:val="14"/>
          <w:szCs w:val="14"/>
          <w:color w:val="auto"/>
        </w:rPr>
        <w:t>is a director of our Company. Ambassador Zuckerman was the United States Ambassador to Romania from 2019</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w:t>
      </w: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$8 billion refurbishment of the Cernavoda nuclear plant which included refurbishing one operating reactor and building two additional nuclear reactors. To help finance this project the Ambassador negotiated a $7 billion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404"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that, he was also a partner at Seyfarth Shaw LLP from 2013 to 2019. Ambassador Zuckerman currently serves as a member of the board and member of the Audit Committee for GIG8. Ambassador Zuckerman is also a member of the board for GIG9.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42"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Ralph L. Hunter </w:t>
      </w:r>
      <w:r>
        <w:rPr>
          <w:rFonts w:ascii="Times New Roman" w:cs="Times New Roman" w:eastAsia="Times New Roman" w:hAnsi="Times New Roman"/>
          <w:sz w:val="14"/>
          <w:szCs w:val="14"/>
          <w:color w:val="auto"/>
        </w:rPr>
        <w:t>is a director of our Company and the Chairman and Chief Executive Officer of RC Nuclear Consultants, LLC, a consulting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that assists investors, data center developers, technology companies and power off takers navigate the nuclear energy space. Mr. Hunter has been Chairman and Chief Executive Officer of RC Nuclear Consultants since June 2025. He will join the Domesticated GigCapital7 Board upon completion of the Business Combination. From February 2024 to June 2025, Mr. Hunter was President, Chief Executive Officer and board member of Orion Nuclear Energy Corporation, a global nuclear development company working on new nuclear projects in the small modular, advanced and micro-reactor space. From February 2022 to February 2024, Mr. Hunter was the President and Chairman of Constellation Generation Development, LLC, where he was responsible for all of Constellation Energy Generation’s development activities in the nuclear sector worldwide. Mr. Hunter served as Managing Director and Chief Operating Officer at Exelon Nuclear Partners, LLC from July 2013 to February 2022, where he was responsible for the oversight of that company’s financial legal and commercial activities. Mr. Hunter has over 35 years of experience in the nuclear power generation industry in the United States and internationally, and has also worked at Burns and Roe Group, leasing their Nuclear Services and Advanced Technology Division, and served as Vice President, Customer Relations at Westinghouse Electric Company LLC. Mr. Hunter has worked at most of the nuclear plants in the United States, including leading the Westinghouse startup testing organization for the Comanche Peak Unit 2 initial startup. Mr. Hunter served as Chair on the U.S. Civil Nuclear Trade Advisory Committee (CINTAC) which promotes civil nuclear energy exports, supports marketing U.S. civilian nuclear technologies, innovative U.S. nuclear technologies and the capabilities of U.S. nuclear operators and suppliers. Mr. Hunter was also Co-Chair of the US-Japan Business Council working to increase nuclear business opportunities between the two countries. Mr. Hunter has also served on multiple Nuclear Energy Institute committees in various leadership roles. Mr. Hunter holds both a Bachelor of Engineering degree in Nuclear Engineering and a Master of Engineering degree in Nuclear Engineering from the University of Florida. He also attended the Executive Management Program at the Darden School of Business at the University of Virginia and is a certified Project Management Professional.</w:t>
      </w:r>
    </w:p>
    <w:p>
      <w:pPr>
        <w:spacing w:after="0" w:line="151" w:lineRule="exact"/>
        <w:rPr>
          <w:sz w:val="20"/>
          <w:szCs w:val="20"/>
          <w:color w:val="auto"/>
        </w:rPr>
      </w:pPr>
    </w:p>
    <w:p>
      <w:pPr>
        <w:ind w:left="1400" w:right="419" w:firstLine="340"/>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Bryan L. Timm </w:t>
      </w:r>
      <w:r>
        <w:rPr>
          <w:rFonts w:ascii="Times New Roman" w:cs="Times New Roman" w:eastAsia="Times New Roman" w:hAnsi="Times New Roman"/>
          <w:sz w:val="14"/>
          <w:szCs w:val="14"/>
          <w:color w:val="auto"/>
        </w:rPr>
        <w:t>is a director of our Company and also currently serves as a member of the board and Chairman of the Audit Committee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GIG8. Mr. Timm is a director for GIG9. He also serves as a Board Advisor for the Pape’ 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Chief Operating Officer, and Chief Financial Officer from 1997 to 2017. Prior to 1997, he held financial positions for Oregon Steel Mills, Inc. (NYSE: OS) and at KPMG as part of the Audit practice. Mr. Timm holds a Bachelor of Science degree from the University of Idaho in Accounting and is a Certified Public Accountant (lapsed) in the state of Oregon.</w:t>
      </w:r>
    </w:p>
    <w:p>
      <w:pPr>
        <w:spacing w:after="0" w:line="147" w:lineRule="exact"/>
        <w:rPr>
          <w:sz w:val="20"/>
          <w:szCs w:val="20"/>
          <w:color w:val="auto"/>
        </w:rPr>
      </w:pPr>
    </w:p>
    <w:p>
      <w:pPr>
        <w:ind w:left="1400" w:right="599" w:firstLine="34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Mr. Robert J. Lewis </w:t>
      </w:r>
      <w:r>
        <w:rPr>
          <w:rFonts w:ascii="Times New Roman" w:cs="Times New Roman" w:eastAsia="Times New Roman" w:hAnsi="Times New Roman"/>
          <w:sz w:val="14"/>
          <w:szCs w:val="14"/>
          <w:color w:val="auto"/>
        </w:rPr>
        <w:t>is a director of our Company and a retired senior executive leader with over 32 years of public service at the NRC,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December 1992 until his retirement in June 2025, specializing in advancing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404"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49" w:lineRule="auto"/>
        <w:rPr>
          <w:sz w:val="20"/>
          <w:szCs w:val="20"/>
          <w:color w:val="auto"/>
        </w:rPr>
      </w:pPr>
      <w:r>
        <w:rPr>
          <w:rFonts w:ascii="Times New Roman" w:cs="Times New Roman" w:eastAsia="Times New Roman" w:hAnsi="Times New Roman"/>
          <w:sz w:val="14"/>
          <w:szCs w:val="14"/>
          <w:color w:val="auto"/>
        </w:rPr>
        <w:t>nuclear safety, security, and emergency preparedness. He will join the Domesticated GigCapital7 Board upon completion of the Business Combination. From October 2024 until June 2025, Mr. Lewis served as the NRC’s Deputy Executive Director for Operations for Nuclear Materials, Administrative, and Corporate Programs, with extensive executive responsibilities overseeing all aspects of NRC nuclear materials, fuel cycle, waste, transportation, regulatory research, rulemaking, environmental review, and corporate support programs. Previously, from June 2019 through October 2024, he served as the NRC’s Deputy Director for the Office of Nuclear Material Safety and Safeguards, where he led the NRC’s regulatory programs for nuclear materials and waste, rulemaking, environmental review and financial assurance. In prior NRC roles, he served as the agency Performance Improvement Officer and successfully deployed lasting Enterprise Risk Management practices within the NRC; he developed key features of fuel facility and radioactive material transportation regulations and risk assessment approaches; he led development of the U.S. regulatory framework for improved radioactive source security and tracking after the September 11, 2001 terrorist attacks; and he led extensive efforts to improve NRC and licensee emergency management programs considering the Fukushima accident. In his time with the NRC, Mr. Lewis has also worked significantly on regulatory reform, including work to implement ADVANCE Act and Executive Orders (2024-2025), and work to oversee implementation of over 150 efficiency actions saving the NRC over $48M (2016-2019). He has also represented the U.S. internationally as Chairman, Organisation for Economic Co-operation and Development/Nuclear Energy Agency (OECD/NEA), Committee on Decommissioning Nuclear Facilities and Legacy Management (2024-2025); U.S. member of the International Atomic Energy Agency (IAEA) Commission on Safety Standards (2018-2019); Team Leader for the IAEA International Regulatory Review Service Mission to Poland (2013 and 2017); and Chairman of the IAEA post-Fukushima International Experts Meeting on Assessment and Prognosis in Response to a Nuclear or Radiological Emergency (2015). After retiring from NRC in June 2025, Mr. Lewis founded LN3 Nuclear Consulting LLC, and through it provides specialized regulatory and licensing support to help multiple nuclear fuel cycle clients navigate complex nuclear regulations and guidance, achieve compliance efficiently, while maintaining focus on nuclear safety and security. Since August 2025, he has also served as a Global Nuclear Regulatory Affairs Consultant with Westinghouse Electric Company, where he provides senior level support to Westinghouse’s business objectives in the U.S. and internationally by coordinating and integrating Global Nuclear Regulatory Affairs activities across business units. Mr. Lewis holds a Master of Science in Nuclear Engineering, from the University of Arizona (1992) and a Bachelor of Science in Physics from the State University of New York at Fredonia (1990) and is a graduate of the Department of Homeland Security, Center for Homeland Defense and Security, Naval Postgraduate School, Executive Leaders Program (cohort 2014-01). Mr. Lewis’ regulatory and leadership experience from his career at the NRC makes him an invaluable addition to the board, and will be able to provide oversight and guidance on Hadron Energy’s NRC licensing strategy and alignment with evolving federal and international nuclear policy.</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Role of Board in Risk Oversight</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 Board expects to have an active role, as a whole and also at the committee level, in overseeing the management of the Company’s risks. The Board anticipates being responsible for general oversight of risks and regular review of information regarding the Company’s risks, including credit risks, liquidity risks, and operational risks. The compensation committee will be responsible for overseeing the management of risks relating to the Company’s executive compensation plans and arrangements. The audit committee will be responsible for overseeing the management of risks relating to accounting matters and financial reporting and potential conflicts of interest. The corporate governance and nominating committee will be responsible for overseeing the management of risks associated with the independence of the Board. Although each committee will be responsible for evaluating certain risks and overseeing the management of such risks, the entire Board will be regularly informed through discussions from committee members about such risks.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Board Composition and Classification</w:t>
      </w:r>
    </w:p>
    <w:p>
      <w:pPr>
        <w:spacing w:after="0" w:line="91"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Our Board consists of eight members serving classified, staggered terms divided into three classes, with each class serving three-year terms, and succeeding directors holding office until their successors are duly elected and qualified.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404"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Board believes it is in the best interests of the Company for the Board to be classified into three classes, each comprising as nearly</w:t>
      </w:r>
    </w:p>
    <w:p>
      <w:pPr>
        <w:spacing w:after="0" w:line="21" w:lineRule="exact"/>
        <w:rPr>
          <w:sz w:val="20"/>
          <w:szCs w:val="20"/>
          <w:color w:val="auto"/>
        </w:rPr>
      </w:pPr>
    </w:p>
    <w:p>
      <w:pPr>
        <w:ind w:left="1400" w:right="479"/>
        <w:spacing w:after="0" w:line="295" w:lineRule="auto"/>
        <w:rPr>
          <w:sz w:val="20"/>
          <w:szCs w:val="20"/>
          <w:color w:val="auto"/>
        </w:rPr>
      </w:pPr>
      <w:r>
        <w:rPr>
          <w:rFonts w:ascii="Times New Roman" w:cs="Times New Roman" w:eastAsia="Times New Roman" w:hAnsi="Times New Roman"/>
          <w:sz w:val="13"/>
          <w:szCs w:val="13"/>
          <w:color w:val="auto"/>
        </w:rPr>
        <w:t>as possible one-third of the directors to serve three-year terms, and only one class of directors will be elected at each annual meeting of stockholders, with the other classes continuing for the remainder of their respective three-year terms. The Board consists of the following members:</w:t>
      </w:r>
    </w:p>
    <w:p>
      <w:pPr>
        <w:spacing w:after="0" w:line="45" w:lineRule="exact"/>
        <w:rPr>
          <w:sz w:val="20"/>
          <w:szCs w:val="20"/>
          <w:color w:val="auto"/>
        </w:rPr>
      </w:pPr>
    </w:p>
    <w:p>
      <w:pPr>
        <w:ind w:left="2140" w:right="499" w:hanging="333"/>
        <w:spacing w:after="0" w:line="279" w:lineRule="auto"/>
        <w:tabs>
          <w:tab w:leader="none" w:pos="2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are Ralph L. Hunter, Robert J. Lewis and Ambassador Adrian Zuckerman, and their terms will expire at the annual meeting of stockholders in 2027;</w:t>
      </w:r>
    </w:p>
    <w:p>
      <w:pPr>
        <w:spacing w:after="0" w:line="53" w:lineRule="exact"/>
        <w:rPr>
          <w:rFonts w:ascii="Times New Roman" w:cs="Times New Roman" w:eastAsia="Times New Roman" w:hAnsi="Times New Roman"/>
          <w:sz w:val="14"/>
          <w:szCs w:val="14"/>
          <w:color w:val="auto"/>
        </w:rPr>
      </w:pPr>
    </w:p>
    <w:p>
      <w:pPr>
        <w:ind w:left="2140" w:right="559" w:hanging="333"/>
        <w:spacing w:after="0" w:line="279" w:lineRule="auto"/>
        <w:tabs>
          <w:tab w:leader="none" w:pos="2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are Samuel Gibson, Dr. Avi S. Katz, and Raanan I. Horowitz, and their terms will expire at the annual meeting of stockholders in 2028;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are Dr. Raluca Dinu and Bryan L. Timm, and their terms will expire at the annual meeting of stockholders in 2029.</w:t>
      </w:r>
    </w:p>
    <w:p>
      <w:pPr>
        <w:spacing w:after="0" w:line="173"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At each annual meeting of stockholders, upon the expiration of the term of a class of directors, the successor to each such director in the class will be elected to serve from the time of election and qualification until the third annual meeting following their election and until their successor is duly elected and qualified, in accordance with the Charter. Any additional directorships resulting from an increase in the number of directors will be distributed among the three classes so that, as nearly as possible, each class will consist of one-third of the Company’s directors.</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This classification of the Company’s directors may have the effect of delaying or preventing changes in control of the Company.</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1" w:lineRule="exact"/>
        <w:rPr>
          <w:sz w:val="20"/>
          <w:szCs w:val="20"/>
          <w:color w:val="auto"/>
        </w:rPr>
      </w:pPr>
    </w:p>
    <w:p>
      <w:pPr>
        <w:ind w:left="1400" w:right="559" w:firstLine="340"/>
        <w:spacing w:after="0" w:line="256" w:lineRule="auto"/>
        <w:rPr>
          <w:sz w:val="20"/>
          <w:szCs w:val="20"/>
          <w:color w:val="auto"/>
        </w:rPr>
      </w:pPr>
      <w:r>
        <w:rPr>
          <w:rFonts w:ascii="Times New Roman" w:cs="Times New Roman" w:eastAsia="Times New Roman" w:hAnsi="Times New Roman"/>
          <w:sz w:val="14"/>
          <w:szCs w:val="14"/>
          <w:color w:val="auto"/>
        </w:rPr>
        <w:t>The Board undertook a review of the independence of each director. Based upon information requested from and provided by each director concerning their background, employment, and affiliations, including family relationships, the following members of the Board do not have a relationship that would interfere with the exercise of independent judgment in carrying out the responsibilities of a director and that each of these directors is “independent” as that term is defined under Nasdaq rules: Ralph L. Hunter, Robert J. Lewis, Ambassador Adrian Zuckerman, Dr. Avi S. Katz, Raanan I. Horowitz, Dr. Raluca Dinu and Bryan L. Timm.</w:t>
      </w:r>
    </w:p>
    <w:p>
      <w:pPr>
        <w:spacing w:after="0" w:line="142"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In making these determinations, the Board has considered the current and prior relationships that each non-employee director has with the Company and all other facts and circumstances that the Board deems relevant in determining their independence, including the beneficial ownership of the Company’s capital stock by each non-employee director, and the transactions involving them described in the section titled “</w:t>
      </w:r>
      <w:r>
        <w:rPr>
          <w:rFonts w:ascii="Times New Roman" w:cs="Times New Roman" w:eastAsia="Times New Roman" w:hAnsi="Times New Roman"/>
          <w:sz w:val="14"/>
          <w:szCs w:val="14"/>
          <w:i w:val="1"/>
          <w:iCs w:val="1"/>
          <w:color w:val="auto"/>
        </w:rPr>
        <w:t>Certain Relationships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Related Party Transactions</w:t>
      </w:r>
      <w:r>
        <w:rPr>
          <w:rFonts w:ascii="Times New Roman" w:cs="Times New Roman" w:eastAsia="Times New Roman" w:hAnsi="Times New Roman"/>
          <w:sz w:val="14"/>
          <w:szCs w:val="14"/>
          <w:color w:val="auto"/>
        </w:rPr>
        <w:t>.” Other than that Drs. Katz and Dinu are married to each other, there are no family relationships among any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or executive officers of the Company.</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91"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The standing committees of the Board consist of the Audit Committee, the Compensation Committee and a Nominating and Corporate Governance Committee, each of which has the composition and the responsibilities described below. Additionally, from time to time, special committees may be established under the direction of the Board when the Board deems it necessary or advisable to address specific matters.</w:t>
      </w:r>
    </w:p>
    <w:p>
      <w:pPr>
        <w:spacing w:after="0" w:line="136" w:lineRule="exact"/>
        <w:rPr>
          <w:sz w:val="20"/>
          <w:szCs w:val="20"/>
          <w:color w:val="auto"/>
        </w:rPr>
      </w:pPr>
    </w:p>
    <w:p>
      <w:pPr>
        <w:ind w:left="1400" w:right="479" w:firstLine="340"/>
        <w:spacing w:after="0" w:line="319" w:lineRule="auto"/>
        <w:rPr>
          <w:sz w:val="20"/>
          <w:szCs w:val="20"/>
          <w:color w:val="auto"/>
        </w:rPr>
      </w:pPr>
      <w:r>
        <w:rPr>
          <w:rFonts w:ascii="Times New Roman" w:cs="Times New Roman" w:eastAsia="Times New Roman" w:hAnsi="Times New Roman"/>
          <w:sz w:val="13"/>
          <w:szCs w:val="13"/>
          <w:color w:val="auto"/>
        </w:rPr>
        <w:t>The Chief Executive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1" w:lineRule="exact"/>
        <w:rPr>
          <w:sz w:val="20"/>
          <w:szCs w:val="20"/>
          <w:color w:val="auto"/>
        </w:rPr>
      </w:pPr>
    </w:p>
    <w:p>
      <w:pPr>
        <w:ind w:left="1400" w:right="559" w:firstLine="340"/>
        <w:spacing w:after="0" w:line="279" w:lineRule="auto"/>
        <w:rPr>
          <w:sz w:val="20"/>
          <w:szCs w:val="20"/>
          <w:color w:val="auto"/>
        </w:rPr>
      </w:pPr>
      <w:r>
        <w:rPr>
          <w:rFonts w:ascii="Times New Roman" w:cs="Times New Roman" w:eastAsia="Times New Roman" w:hAnsi="Times New Roman"/>
          <w:sz w:val="14"/>
          <w:szCs w:val="14"/>
          <w:color w:val="auto"/>
        </w:rPr>
        <w:t>The members of the Company’s audit committee are Bryan L. Timm, Raanan I. Horowitz, Robert J. Lewis and Raluca Dinu. Mr. Timm is the Chair of the audit committee and the “audit committee financial expert,” as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404"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64" w:lineRule="auto"/>
        <w:rPr>
          <w:sz w:val="20"/>
          <w:szCs w:val="20"/>
          <w:color w:val="auto"/>
        </w:rPr>
      </w:pPr>
      <w:r>
        <w:rPr>
          <w:rFonts w:ascii="Times New Roman" w:cs="Times New Roman" w:eastAsia="Times New Roman" w:hAnsi="Times New Roman"/>
          <w:sz w:val="14"/>
          <w:szCs w:val="14"/>
          <w:color w:val="auto"/>
        </w:rPr>
        <w:t>that term is defined under the SEC rules implementing Section 407 of SOX, and possesses financial sophistication, as defined under the rules of Nasdaq. The Company’s audit committee oversees the Company’s corporate accounting and financial reporting process and assists the Board in monitoring the Company’s financial systems. The Company’s audit committee also:</w:t>
      </w:r>
    </w:p>
    <w:p>
      <w:pPr>
        <w:spacing w:after="0" w:line="63" w:lineRule="exact"/>
        <w:rPr>
          <w:sz w:val="20"/>
          <w:szCs w:val="20"/>
          <w:color w:val="auto"/>
        </w:rPr>
      </w:pPr>
    </w:p>
    <w:p>
      <w:pPr>
        <w:ind w:left="2140" w:right="499" w:hanging="333"/>
        <w:spacing w:after="0" w:line="256"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assists the Board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 and (5) the qualifications and independence of the Company’s independent registered public accounting firm;</w:t>
      </w:r>
    </w:p>
    <w:p>
      <w:pPr>
        <w:spacing w:after="0" w:line="69" w:lineRule="exact"/>
        <w:rPr>
          <w:rFonts w:ascii="Times New Roman" w:cs="Times New Roman" w:eastAsia="Times New Roman" w:hAnsi="Times New Roman"/>
          <w:sz w:val="14"/>
          <w:szCs w:val="14"/>
          <w:color w:val="auto"/>
        </w:rPr>
      </w:pPr>
    </w:p>
    <w:p>
      <w:pPr>
        <w:ind w:left="2140" w:right="739" w:hanging="333"/>
        <w:spacing w:after="0" w:line="279"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with each of the internal auditors and independent registered public accounting firm the overall scope and plans for audits, including authority and organizational reporting lines and adequacy of staffing and compensation;</w:t>
      </w:r>
    </w:p>
    <w:p>
      <w:pPr>
        <w:spacing w:after="0" w:line="53" w:lineRule="exact"/>
        <w:rPr>
          <w:rFonts w:ascii="Times New Roman" w:cs="Times New Roman" w:eastAsia="Times New Roman" w:hAnsi="Times New Roman"/>
          <w:sz w:val="14"/>
          <w:szCs w:val="14"/>
          <w:color w:val="auto"/>
        </w:rPr>
      </w:pPr>
    </w:p>
    <w:p>
      <w:pPr>
        <w:ind w:left="2140" w:right="279" w:hanging="333"/>
        <w:spacing w:after="0" w:line="264"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and discusses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spacing w:after="0" w:line="63"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and discusses with management, internal auditors and the independent registered public accounting firm the Company’s financial and critical accounting practices, and policies relating to risk assessment and management;</w:t>
      </w:r>
    </w:p>
    <w:p>
      <w:pPr>
        <w:spacing w:after="0" w:line="53" w:lineRule="exact"/>
        <w:rPr>
          <w:rFonts w:ascii="Times New Roman" w:cs="Times New Roman" w:eastAsia="Times New Roman" w:hAnsi="Times New Roman"/>
          <w:sz w:val="14"/>
          <w:szCs w:val="14"/>
          <w:color w:val="auto"/>
        </w:rPr>
      </w:pPr>
    </w:p>
    <w:p>
      <w:pPr>
        <w:ind w:left="2140" w:right="299" w:hanging="333"/>
        <w:spacing w:after="0" w:line="254"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receives and reviews reports of the independent registered public accounting firm discussing (1) all critical accounting policies and practices to be used in the independent registered public accounting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72" w:lineRule="exact"/>
        <w:rPr>
          <w:rFonts w:ascii="Times New Roman" w:cs="Times New Roman" w:eastAsia="Times New Roman" w:hAnsi="Times New Roman"/>
          <w:sz w:val="14"/>
          <w:szCs w:val="14"/>
          <w:color w:val="auto"/>
        </w:rPr>
      </w:pPr>
    </w:p>
    <w:p>
      <w:pPr>
        <w:ind w:left="2140" w:right="579" w:hanging="333"/>
        <w:spacing w:after="0" w:line="293" w:lineRule="auto"/>
        <w:tabs>
          <w:tab w:leader="none" w:pos="21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reviews and discusses with management and the independent registered public accounting firm the annual and quarterly financial statements and section entitled “</w:t>
      </w:r>
      <w:r>
        <w:rPr>
          <w:rFonts w:ascii="Times New Roman" w:cs="Times New Roman" w:eastAsia="Times New Roman" w:hAnsi="Times New Roman"/>
          <w:sz w:val="13"/>
          <w:szCs w:val="13"/>
          <w:i w:val="1"/>
          <w:iCs w:val="1"/>
          <w:color w:val="auto"/>
        </w:rPr>
        <w:t>Management’s Discussion and Analysis of Financial Conditions and Results of Operations of Private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Hadron</w:t>
      </w:r>
      <w:r>
        <w:rPr>
          <w:rFonts w:ascii="Times New Roman" w:cs="Times New Roman" w:eastAsia="Times New Roman" w:hAnsi="Times New Roman"/>
          <w:sz w:val="13"/>
          <w:szCs w:val="13"/>
          <w:color w:val="auto"/>
        </w:rPr>
        <w:t>” of the Company prior to the filing of the Company’s Annual Report on Form 10-K and Quarterly Reports on Form 10-Q;</w:t>
      </w:r>
    </w:p>
    <w:p>
      <w:pPr>
        <w:spacing w:after="0" w:line="46" w:lineRule="exact"/>
        <w:rPr>
          <w:rFonts w:ascii="Times New Roman" w:cs="Times New Roman" w:eastAsia="Times New Roman" w:hAnsi="Times New Roman"/>
          <w:sz w:val="13"/>
          <w:szCs w:val="13"/>
          <w:color w:val="auto"/>
        </w:rPr>
      </w:pPr>
    </w:p>
    <w:p>
      <w:pPr>
        <w:ind w:left="2140" w:right="439" w:hanging="333"/>
        <w:spacing w:after="0" w:line="279"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or establishes, standards for the type of information and the type of presentation of such information to be included in, earnings press releases and earnings guidance provided to analysts and rating agencies;</w:t>
      </w:r>
    </w:p>
    <w:p>
      <w:pPr>
        <w:spacing w:after="0" w:line="53" w:lineRule="exact"/>
        <w:rPr>
          <w:rFonts w:ascii="Times New Roman" w:cs="Times New Roman" w:eastAsia="Times New Roman" w:hAnsi="Times New Roman"/>
          <w:sz w:val="14"/>
          <w:szCs w:val="14"/>
          <w:color w:val="auto"/>
        </w:rPr>
      </w:pPr>
    </w:p>
    <w:p>
      <w:pPr>
        <w:ind w:left="2140" w:right="639" w:hanging="333"/>
        <w:spacing w:after="0" w:line="319" w:lineRule="auto"/>
        <w:tabs>
          <w:tab w:leader="none" w:pos="21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discusses with management and the independent registered public accounting firm any changes in the Company’s critical accounting principles and the effects of alternative GAAP methods, off-balance sheet structures and regulatory and accounting initiatives;</w:t>
      </w:r>
    </w:p>
    <w:p>
      <w:pPr>
        <w:spacing w:after="0" w:line="30" w:lineRule="exact"/>
        <w:rPr>
          <w:rFonts w:ascii="Times New Roman" w:cs="Times New Roman" w:eastAsia="Times New Roman" w:hAnsi="Times New Roman"/>
          <w:sz w:val="13"/>
          <w:szCs w:val="13"/>
          <w:color w:val="auto"/>
        </w:rPr>
      </w:pPr>
    </w:p>
    <w:p>
      <w:pPr>
        <w:ind w:left="2140" w:hanging="333"/>
        <w:spacing w:after="0"/>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material pending legal proceedings involving the Company and other contingent liabilities;</w:t>
      </w:r>
    </w:p>
    <w:p>
      <w:pPr>
        <w:spacing w:after="0" w:line="99" w:lineRule="exact"/>
        <w:rPr>
          <w:rFonts w:ascii="Times New Roman" w:cs="Times New Roman" w:eastAsia="Times New Roman" w:hAnsi="Times New Roman"/>
          <w:sz w:val="14"/>
          <w:szCs w:val="14"/>
          <w:color w:val="auto"/>
        </w:rPr>
      </w:pPr>
    </w:p>
    <w:p>
      <w:pPr>
        <w:ind w:left="2140" w:right="499" w:hanging="333"/>
        <w:spacing w:after="0" w:line="279"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meets periodically with the Chief Executive Officer, Chief Financial Officer, the senior internal auditing executive and the independent registered public accounting firm in separate executive sessions to discuss results of examinations;</w:t>
      </w:r>
    </w:p>
    <w:p>
      <w:pPr>
        <w:spacing w:after="0" w:line="53" w:lineRule="exact"/>
        <w:rPr>
          <w:rFonts w:ascii="Times New Roman" w:cs="Times New Roman" w:eastAsia="Times New Roman" w:hAnsi="Times New Roman"/>
          <w:sz w:val="14"/>
          <w:szCs w:val="14"/>
          <w:color w:val="auto"/>
        </w:rPr>
      </w:pPr>
    </w:p>
    <w:p>
      <w:pPr>
        <w:ind w:left="2140" w:right="659" w:hanging="333"/>
        <w:spacing w:after="0" w:line="279"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and approves all transactions between the Company and related parties or affiliates of the officers of the Company requiring disclosure under Item 404 of Regulation S-K prior to the Company entering into such transactions;</w:t>
      </w:r>
    </w:p>
    <w:p>
      <w:pPr>
        <w:spacing w:after="0" w:line="53" w:lineRule="exact"/>
        <w:rPr>
          <w:rFonts w:ascii="Times New Roman" w:cs="Times New Roman" w:eastAsia="Times New Roman" w:hAnsi="Times New Roman"/>
          <w:sz w:val="14"/>
          <w:szCs w:val="14"/>
          <w:color w:val="auto"/>
        </w:rPr>
      </w:pPr>
    </w:p>
    <w:p>
      <w:pPr>
        <w:ind w:left="2140" w:right="639" w:hanging="333"/>
        <w:spacing w:after="0" w:line="279" w:lineRule="auto"/>
        <w:tabs>
          <w:tab w:leader="none" w:pos="2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establishes procedures for the receipt, retention and treatment of complaints received by the Company regarding accounting, internal accounting controls or auditing matters, and the confidential, anonymous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404"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submissions by employees or contractors of concerns regarding questionable accounting or accounting matters;</w:t>
      </w:r>
    </w:p>
    <w:p>
      <w:pPr>
        <w:spacing w:after="0" w:line="100" w:lineRule="exact"/>
        <w:rPr>
          <w:sz w:val="20"/>
          <w:szCs w:val="20"/>
          <w:color w:val="auto"/>
        </w:rPr>
      </w:pPr>
    </w:p>
    <w:p>
      <w:pPr>
        <w:ind w:left="2140" w:right="459" w:hanging="333"/>
        <w:spacing w:after="0" w:line="256" w:lineRule="auto"/>
        <w:tabs>
          <w:tab w:leader="none" w:pos="21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spacing w:after="0" w:line="6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establishes policies for the hiring of employees and former employees of the independent registered public accounting firm.</w:t>
      </w:r>
    </w:p>
    <w:p>
      <w:pPr>
        <w:spacing w:after="0" w:line="173" w:lineRule="exact"/>
        <w:rPr>
          <w:sz w:val="20"/>
          <w:szCs w:val="20"/>
          <w:color w:val="auto"/>
        </w:rPr>
      </w:pPr>
    </w:p>
    <w:p>
      <w:pPr>
        <w:ind w:left="1400" w:right="639" w:firstLine="340"/>
        <w:spacing w:after="0" w:line="279" w:lineRule="auto"/>
        <w:rPr>
          <w:sz w:val="20"/>
          <w:szCs w:val="20"/>
          <w:color w:val="auto"/>
        </w:rPr>
      </w:pPr>
      <w:r>
        <w:rPr>
          <w:rFonts w:ascii="Times New Roman" w:cs="Times New Roman" w:eastAsia="Times New Roman" w:hAnsi="Times New Roman"/>
          <w:sz w:val="14"/>
          <w:szCs w:val="14"/>
          <w:color w:val="auto"/>
        </w:rPr>
        <w:t>The Company’s audit committee operates under a written charter, which satisfies the applicable rules of the SEC and the listing standards of Nasdaq.</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1" w:lineRule="exact"/>
        <w:rPr>
          <w:sz w:val="20"/>
          <w:szCs w:val="20"/>
          <w:color w:val="auto"/>
        </w:rPr>
      </w:pPr>
    </w:p>
    <w:p>
      <w:pPr>
        <w:jc w:val="both"/>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Company has established a compensation committee of the Board. The members of our compensation committee Avi S. Katz, Raluca Dinu, Ralph L. Hunter and Bryan L. Timm. Dr. Dinu serves as Chair of the compensation committee. The Company has adopted a compensation committee charter, which details the purpose and responsibility of the compensation committee, including:</w:t>
      </w:r>
    </w:p>
    <w:p>
      <w:pPr>
        <w:spacing w:after="0" w:line="63" w:lineRule="exact"/>
        <w:rPr>
          <w:sz w:val="20"/>
          <w:szCs w:val="20"/>
          <w:color w:val="auto"/>
        </w:rPr>
      </w:pPr>
    </w:p>
    <w:p>
      <w:pPr>
        <w:ind w:left="2140" w:hanging="333"/>
        <w:spacing w:after="0"/>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performance of the Chief Executive Officer and executive management;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in developing and evaluating potential candidates for executive positions (including the Chief Executive Officer);</w:t>
      </w:r>
    </w:p>
    <w:p>
      <w:pPr>
        <w:spacing w:after="0" w:line="99" w:lineRule="exact"/>
        <w:rPr>
          <w:rFonts w:ascii="Times New Roman" w:cs="Times New Roman" w:eastAsia="Times New Roman" w:hAnsi="Times New Roman"/>
          <w:sz w:val="14"/>
          <w:szCs w:val="14"/>
          <w:color w:val="auto"/>
        </w:rPr>
      </w:pPr>
    </w:p>
    <w:p>
      <w:pPr>
        <w:ind w:left="2140" w:right="399" w:hanging="333"/>
        <w:spacing w:after="0" w:line="293" w:lineRule="auto"/>
        <w:tabs>
          <w:tab w:leader="none" w:pos="21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p>
      <w:pPr>
        <w:spacing w:after="0" w:line="46" w:lineRule="exact"/>
        <w:rPr>
          <w:rFonts w:ascii="Times New Roman" w:cs="Times New Roman" w:eastAsia="Times New Roman" w:hAnsi="Times New Roman"/>
          <w:sz w:val="13"/>
          <w:szCs w:val="13"/>
          <w:color w:val="auto"/>
        </w:rPr>
      </w:pPr>
    </w:p>
    <w:p>
      <w:pPr>
        <w:ind w:left="2140" w:hanging="333"/>
        <w:spacing w:after="0"/>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the salaries, bonus and other compensation for all executive officers;</w:t>
      </w:r>
    </w:p>
    <w:p>
      <w:pPr>
        <w:spacing w:after="0" w:line="99"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compensation packages for new corporate officers and termination packages for corporate officers as requested by management;</w:t>
      </w:r>
    </w:p>
    <w:p>
      <w:pPr>
        <w:spacing w:after="0" w:line="53" w:lineRule="exact"/>
        <w:rPr>
          <w:rFonts w:ascii="Times New Roman" w:cs="Times New Roman" w:eastAsia="Times New Roman" w:hAnsi="Times New Roman"/>
          <w:sz w:val="14"/>
          <w:szCs w:val="14"/>
          <w:color w:val="auto"/>
        </w:rPr>
      </w:pPr>
    </w:p>
    <w:p>
      <w:pPr>
        <w:ind w:left="2140" w:right="519" w:hanging="333"/>
        <w:spacing w:after="0" w:line="279" w:lineRule="auto"/>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the Board and senior officers plans for officer development and corporate succession plans for the Chief Executive Officer and other senior officers;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concerning executive compensation policies and plans;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Board the adoption of or changes to the compensation of the Company’s directors;</w:t>
      </w:r>
    </w:p>
    <w:p>
      <w:pPr>
        <w:spacing w:after="0" w:line="173" w:lineRule="exact"/>
        <w:rPr>
          <w:sz w:val="20"/>
          <w:szCs w:val="20"/>
          <w:color w:val="auto"/>
        </w:rPr>
      </w:pPr>
    </w:p>
    <w:p>
      <w:pPr>
        <w:ind w:left="1400" w:right="459" w:firstLine="340"/>
        <w:spacing w:after="0" w:line="259" w:lineRule="auto"/>
        <w:rPr>
          <w:sz w:val="20"/>
          <w:szCs w:val="20"/>
          <w:color w:val="auto"/>
        </w:rPr>
      </w:pPr>
      <w:r>
        <w:rPr>
          <w:rFonts w:ascii="Times New Roman" w:cs="Times New Roman" w:eastAsia="Times New Roman" w:hAnsi="Times New Roman"/>
          <w:sz w:val="14"/>
          <w:szCs w:val="14"/>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1"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The members of the Company’s nominating and corporate governance committee are Avi S. Katz, Robert J. Lewis, Raanan I. Horowitz, Ralph L. Hunter and Ambassador Adrian Zuckerman. Mr. Horowitz is the Chair of</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404"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319" w:lineRule="auto"/>
        <w:rPr>
          <w:sz w:val="20"/>
          <w:szCs w:val="20"/>
          <w:color w:val="auto"/>
        </w:rPr>
      </w:pPr>
      <w:r>
        <w:rPr>
          <w:rFonts w:ascii="Times New Roman" w:cs="Times New Roman" w:eastAsia="Times New Roman" w:hAnsi="Times New Roman"/>
          <w:sz w:val="13"/>
          <w:szCs w:val="13"/>
          <w:color w:val="auto"/>
        </w:rPr>
        <w:t>the Company’s nominating and corporate governance committee. The Company’s nominating and corporate governance committee oversees and assists the Board in reviewing and recommending nominees for election as directors. Specifically, the nominating and corporate governance committee will:</w:t>
      </w:r>
    </w:p>
    <w:p>
      <w:pPr>
        <w:spacing w:after="0" w:line="30" w:lineRule="exact"/>
        <w:rPr>
          <w:sz w:val="20"/>
          <w:szCs w:val="20"/>
          <w:color w:val="auto"/>
        </w:rPr>
      </w:pPr>
    </w:p>
    <w:p>
      <w:pPr>
        <w:ind w:left="2140" w:hanging="333"/>
        <w:spacing w:after="0"/>
        <w:tabs>
          <w:tab w:leader="none" w:pos="2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recommend to the Board the criteria for appointment as a director;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consider, recruit and recommend candidates to fill new positions on the Board;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candidates recommended by stockholders;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the appropriate and necessary inquiries into the backgrounds and qualifications of possible candidates;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director nominees for approval by the Board and election by the stockholders at the next annual meeting.</w:t>
      </w:r>
    </w:p>
    <w:p>
      <w:pPr>
        <w:spacing w:after="0" w:line="173"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The Company’s nominating and corporate governance committee operates under a written charter, which satisfies the applicable rules of the SEC and the listing standards of Nasdaq.</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91"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We have adopted a Code of Business Conduct and Ethics that applies to the Company’s directors, officers, and employees, including our principal executive officer, principal financial officer, principal accounting officer or controller or, persons performing similar functions. The Company’s Code of Business Conduct is available on the investor relations section of our website at www.hadronenergy.com. We intend to disclose any amendments to or waivers of our Code of Business Conduct and Ethics in a Current Report on Form 8-K. Information contained on our website is not incorporated by reference into this prospectus and should not be considered to be part of this prospectus.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1" w:lineRule="exact"/>
        <w:rPr>
          <w:sz w:val="20"/>
          <w:szCs w:val="20"/>
          <w:color w:val="auto"/>
        </w:rPr>
      </w:pPr>
    </w:p>
    <w:p>
      <w:pPr>
        <w:jc w:val="both"/>
        <w:ind w:left="1400" w:right="619" w:firstLine="340"/>
        <w:spacing w:after="0" w:line="293" w:lineRule="auto"/>
        <w:rPr>
          <w:sz w:val="20"/>
          <w:szCs w:val="20"/>
          <w:color w:val="auto"/>
        </w:rPr>
      </w:pPr>
      <w:r>
        <w:rPr>
          <w:rFonts w:ascii="Times New Roman" w:cs="Times New Roman" w:eastAsia="Times New Roman" w:hAnsi="Times New Roman"/>
          <w:sz w:val="13"/>
          <w:szCs w:val="13"/>
          <w:color w:val="auto"/>
        </w:rPr>
        <w:t>None of the members of our compensation committee is or has been an officer or employee of the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Limitation on Liability and Indemnification of Directors and Officers</w:t>
      </w:r>
    </w:p>
    <w:p>
      <w:pPr>
        <w:spacing w:after="0" w:line="91"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The Charter provides that our officers and directors will be indemnified by us to the fullest extent authorized by Delaware law, as it now exists or may in the future be amended. In addition, the Charter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42"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We have entered into agreements with our officers and directors to provide contractual indemnification in addition to the indemnification provided for in our Charter. Our Bylaws also permit us to secure insurance on behalf of any officer, director or employee for any liability arising out of his or her actions, regardless of whether Delaware law would permit such indemnification. We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42"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404"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79" w:lineRule="auto"/>
        <w:rPr>
          <w:sz w:val="20"/>
          <w:szCs w:val="20"/>
          <w:color w:val="auto"/>
        </w:rPr>
      </w:pPr>
      <w:r>
        <w:rPr>
          <w:rFonts w:ascii="Times New Roman" w:cs="Times New Roman" w:eastAsia="Times New Roman" w:hAnsi="Times New Roman"/>
          <w:sz w:val="14"/>
          <w:szCs w:val="14"/>
          <w:color w:val="auto"/>
        </w:rPr>
        <w:t>stockholders. Furthermore, a stockholder’s investment may be adversely affected to the extent we pay the costs of settlement and damage awards against officers and directors pursuant to these indemnification provisions.</w:t>
      </w:r>
    </w:p>
    <w:p>
      <w:pPr>
        <w:spacing w:after="0" w:line="126"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We believe that these provisions, the directors’ and officers’ liability insurance and the indemnity agreements are necessary to attract and retain talented and experienced officers and directors.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Non-Employee Director Compensation</w:t>
      </w:r>
    </w:p>
    <w:p>
      <w:pPr>
        <w:spacing w:after="0" w:line="91" w:lineRule="exact"/>
        <w:rPr>
          <w:sz w:val="20"/>
          <w:szCs w:val="20"/>
          <w:color w:val="auto"/>
        </w:rPr>
      </w:pPr>
    </w:p>
    <w:p>
      <w:pPr>
        <w:jc w:val="both"/>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The Board reviews director compensation periodically to ensure that director compensation remains competitive such that the Company is able to recruit and retain qualified directors. The Company is in the process of developing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404"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Executive Officer Compensation</w:t>
      </w:r>
    </w:p>
    <w:p>
      <w:pPr>
        <w:spacing w:after="0" w:line="91" w:lineRule="exact"/>
        <w:rPr>
          <w:sz w:val="20"/>
          <w:szCs w:val="20"/>
          <w:color w:val="auto"/>
        </w:rPr>
      </w:pPr>
    </w:p>
    <w:p>
      <w:pPr>
        <w:jc w:val="both"/>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Private Hadron’s sole named executive officer for the period of July 8, 2024 (inception) through December 31, 2024 was Samuel Gibson, Private Hadron’s Founder, Chief Executive Officer, and Board Member. Private Hadron’s named executive officers for the period from July 8, 2024 (inception) through December 31, 2024 were:</w:t>
      </w:r>
    </w:p>
    <w:p>
      <w:pPr>
        <w:spacing w:after="0" w:line="63" w:lineRule="exact"/>
        <w:rPr>
          <w:sz w:val="20"/>
          <w:szCs w:val="20"/>
          <w:color w:val="auto"/>
        </w:rPr>
      </w:pPr>
    </w:p>
    <w:p>
      <w:pPr>
        <w:ind w:left="2140" w:hanging="333"/>
        <w:spacing w:after="0"/>
        <w:tabs>
          <w:tab w:leader="none" w:pos="21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Samuel Gibson, Private Hadron’s Founder, Chief Executive Officer, and Board Member</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2024 Summary Compensation Table</w:t>
      </w:r>
    </w:p>
    <w:p>
      <w:pPr>
        <w:spacing w:after="0" w:line="91"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sets forth information regarding the compensation of Private Hadron’s named executive officer for the period of July 8, 2024 (inception) through December 31, 2024.</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4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Bonus</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48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580" w:type="dxa"/>
            <w:vAlign w:val="bottom"/>
            <w:gridSpan w:val="2"/>
            <w:vMerge w:val="continue"/>
          </w:tcPr>
          <w:p>
            <w:pPr>
              <w:spacing w:after="0"/>
              <w:rPr>
                <w:sz w:val="9"/>
                <w:szCs w:val="9"/>
                <w:color w:val="auto"/>
              </w:rPr>
            </w:pPr>
          </w:p>
        </w:tc>
        <w:tc>
          <w:tcPr>
            <w:tcW w:w="66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580" w:type="dxa"/>
            <w:vAlign w:val="bottom"/>
            <w:gridSpan w:val="2"/>
            <w:vMerge w:val="continue"/>
          </w:tcPr>
          <w:p>
            <w:pPr>
              <w:spacing w:after="0"/>
              <w:rPr>
                <w:sz w:val="9"/>
                <w:szCs w:val="9"/>
                <w:color w:val="auto"/>
              </w:rPr>
            </w:pPr>
          </w:p>
        </w:tc>
        <w:tc>
          <w:tcPr>
            <w:tcW w:w="96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8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1"/>
                <w:szCs w:val="1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0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4"/>
                <w:szCs w:val="14"/>
                <w:color w:val="auto"/>
              </w:rPr>
              <w:t>Samuel Gibson</w:t>
            </w:r>
          </w:p>
        </w:tc>
        <w:tc>
          <w:tcPr>
            <w:tcW w:w="3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Founder and Chief Executive Officer</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2"/>
              </w:rPr>
              <w:t>2024</w:t>
            </w: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2025 Summary Compensation Table</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Private Hadron’s named executive officers for the year ended December 31, 2025 were:</w:t>
      </w:r>
    </w:p>
    <w:p>
      <w:pPr>
        <w:spacing w:after="0" w:line="100" w:lineRule="exact"/>
        <w:rPr>
          <w:sz w:val="20"/>
          <w:szCs w:val="20"/>
          <w:color w:val="auto"/>
        </w:rPr>
      </w:pPr>
    </w:p>
    <w:p>
      <w:pPr>
        <w:ind w:left="2140" w:hanging="333"/>
        <w:spacing w:after="0"/>
        <w:tabs>
          <w:tab w:leader="none" w:pos="2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Samuel Gibson, Private Hadron’s Founder, Chief Executive Officer, and Board Member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Ward, Chief Technology Officer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Shawn DeAngelo, Chief Development Officer</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2025 Summary Compensation Table</w:t>
      </w:r>
    </w:p>
    <w:p>
      <w:pPr>
        <w:spacing w:after="0" w:line="91" w:lineRule="exact"/>
        <w:rPr>
          <w:sz w:val="20"/>
          <w:szCs w:val="20"/>
          <w:color w:val="auto"/>
        </w:rPr>
      </w:pPr>
    </w:p>
    <w:p>
      <w:pPr>
        <w:ind w:left="1400" w:right="101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sets forth information regarding the compensation of Private Hadron named executive officers for the year ended December 31, 2025.</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4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Bonus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4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40" w:type="dxa"/>
            <w:vAlign w:val="bottom"/>
            <w:gridSpan w:val="2"/>
            <w:vMerge w:val="continue"/>
          </w:tcPr>
          <w:p>
            <w:pPr>
              <w:spacing w:after="0"/>
              <w:rPr>
                <w:sz w:val="9"/>
                <w:szCs w:val="9"/>
                <w:color w:val="auto"/>
              </w:rPr>
            </w:pPr>
          </w:p>
        </w:tc>
        <w:tc>
          <w:tcPr>
            <w:tcW w:w="8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520" w:type="dxa"/>
            <w:vAlign w:val="bottom"/>
            <w:gridSpan w:val="2"/>
            <w:vMerge w:val="continue"/>
          </w:tcPr>
          <w:p>
            <w:pPr>
              <w:spacing w:after="0"/>
              <w:rPr>
                <w:sz w:val="9"/>
                <w:szCs w:val="9"/>
                <w:color w:val="auto"/>
              </w:rPr>
            </w:pPr>
          </w:p>
        </w:tc>
        <w:tc>
          <w:tcPr>
            <w:tcW w:w="8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4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5"/>
                <w:szCs w:val="15"/>
                <w:b w:val="1"/>
                <w:bCs w:val="1"/>
                <w:color w:val="auto"/>
                <w:vertAlign w:val="superscript"/>
              </w:rPr>
              <w:t>(1)</w:t>
            </w:r>
          </w:p>
        </w:tc>
        <w:tc>
          <w:tcPr>
            <w:tcW w:w="220" w:type="dxa"/>
            <w:vAlign w:val="bottom"/>
          </w:tcPr>
          <w:p>
            <w:pPr>
              <w:spacing w:after="0"/>
              <w:rPr>
                <w:sz w:val="11"/>
                <w:szCs w:val="1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2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4"/>
                <w:szCs w:val="14"/>
                <w:color w:val="auto"/>
              </w:rPr>
              <w:t>Samuel Gibson</w:t>
            </w:r>
          </w:p>
        </w:tc>
        <w:tc>
          <w:tcPr>
            <w:tcW w:w="3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Founder and Chief Executive Officer</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42,646</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176,010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218,656</w:t>
            </w:r>
          </w:p>
        </w:tc>
        <w:tc>
          <w:tcPr>
            <w:tcW w:w="0" w:type="dxa"/>
            <w:vAlign w:val="bottom"/>
          </w:tcPr>
          <w:p>
            <w:pPr>
              <w:spacing w:after="0"/>
              <w:rPr>
                <w:sz w:val="1"/>
                <w:szCs w:val="1"/>
                <w:color w:val="auto"/>
              </w:rPr>
            </w:pPr>
          </w:p>
        </w:tc>
      </w:tr>
      <w:tr>
        <w:trPr>
          <w:trHeight w:val="150"/>
        </w:trPr>
        <w:tc>
          <w:tcPr>
            <w:tcW w:w="44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Andrew Ward</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49,376</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49,376</w:t>
            </w:r>
          </w:p>
        </w:tc>
        <w:tc>
          <w:tcPr>
            <w:tcW w:w="0" w:type="dxa"/>
            <w:vAlign w:val="bottom"/>
          </w:tcPr>
          <w:p>
            <w:pPr>
              <w:spacing w:after="0"/>
              <w:rPr>
                <w:sz w:val="1"/>
                <w:szCs w:val="1"/>
                <w:color w:val="auto"/>
              </w:rPr>
            </w:pPr>
          </w:p>
        </w:tc>
      </w:tr>
      <w:tr>
        <w:trPr>
          <w:trHeight w:val="150"/>
        </w:trPr>
        <w:tc>
          <w:tcPr>
            <w:tcW w:w="4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Shawn DeAngelo</w:t>
            </w:r>
            <w:r>
              <w:rPr>
                <w:rFonts w:ascii="Times New Roman" w:cs="Times New Roman" w:eastAsia="Times New Roman" w:hAnsi="Times New Roman"/>
                <w:sz w:val="17"/>
                <w:szCs w:val="17"/>
                <w:color w:val="auto"/>
                <w:vertAlign w:val="superscript"/>
              </w:rPr>
              <w:t>(2)</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Chief Development Officer</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44,105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9,706,598</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9,750,703</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720" w:hanging="330"/>
        <w:spacing w:after="0"/>
        <w:tabs>
          <w:tab w:leader="none" w:pos="17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the Restricted Stock Purchase Awards granted to the individual during the year ended December 31, 2025.</w:t>
      </w:r>
    </w:p>
    <w:p>
      <w:pPr>
        <w:spacing w:after="0" w:line="20" w:lineRule="exact"/>
        <w:rPr>
          <w:rFonts w:ascii="Times New Roman" w:cs="Times New Roman" w:eastAsia="Times New Roman" w:hAnsi="Times New Roman"/>
          <w:sz w:val="14"/>
          <w:szCs w:val="14"/>
          <w:color w:val="auto"/>
        </w:rPr>
      </w:pPr>
    </w:p>
    <w:p>
      <w:pPr>
        <w:ind w:left="1720" w:hanging="330"/>
        <w:spacing w:after="0"/>
        <w:tabs>
          <w:tab w:leader="none" w:pos="17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Shawn DeAngelo resigned from the Company as of March 13, 2026.</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of December 31, 2025, the Company did not have any outstanding equity awards granted to our named executive officers.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404"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Narrative Disclosure to Summary Compensation Table</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91" w:lineRule="exact"/>
        <w:rPr>
          <w:sz w:val="20"/>
          <w:szCs w:val="20"/>
          <w:color w:val="auto"/>
        </w:rPr>
      </w:pPr>
    </w:p>
    <w:p>
      <w:pPr>
        <w:ind w:left="1400" w:right="359"/>
        <w:spacing w:after="0" w:line="256" w:lineRule="auto"/>
        <w:rPr>
          <w:sz w:val="20"/>
          <w:szCs w:val="20"/>
          <w:color w:val="auto"/>
        </w:rPr>
      </w:pPr>
      <w:r>
        <w:rPr>
          <w:rFonts w:ascii="Times New Roman" w:cs="Times New Roman" w:eastAsia="Times New Roman" w:hAnsi="Times New Roman"/>
          <w:sz w:val="14"/>
          <w:szCs w:val="14"/>
          <w:color w:val="auto"/>
        </w:rPr>
        <w:t>Base salaries are intended to provide a level of compensation sufficient to attract and retain an effective management team, when considered in combination with other components of the executive compensation program. In general, Private Hadron sought to provide a base salary level designed to reflect each executive officer’s scope of responsibility and accountability. Please see the “Salary” column in the “-</w:t>
      </w:r>
      <w:r>
        <w:rPr>
          <w:rFonts w:ascii="Times New Roman" w:cs="Times New Roman" w:eastAsia="Times New Roman" w:hAnsi="Times New Roman"/>
          <w:sz w:val="14"/>
          <w:szCs w:val="14"/>
          <w:i w:val="1"/>
          <w:iCs w:val="1"/>
          <w:color w:val="auto"/>
        </w:rPr>
        <w:t>2024 Summary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Table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2025 Summary Compensation Table</w:t>
      </w:r>
      <w:r>
        <w:rPr>
          <w:rFonts w:ascii="Times New Roman" w:cs="Times New Roman" w:eastAsia="Times New Roman" w:hAnsi="Times New Roman"/>
          <w:sz w:val="14"/>
          <w:szCs w:val="14"/>
          <w:color w:val="auto"/>
        </w:rPr>
        <w:t>” for the base salary amounts received by the named executive officers of Private Hadron in 2024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Annual Bonuses</w:t>
      </w:r>
    </w:p>
    <w:p>
      <w:pPr>
        <w:spacing w:after="0" w:line="91" w:lineRule="exact"/>
        <w:rPr>
          <w:sz w:val="20"/>
          <w:szCs w:val="20"/>
          <w:color w:val="auto"/>
        </w:rPr>
      </w:pPr>
    </w:p>
    <w:p>
      <w:pPr>
        <w:jc w:val="both"/>
        <w:ind w:left="1400" w:right="419"/>
        <w:spacing w:after="0" w:line="264" w:lineRule="auto"/>
        <w:rPr>
          <w:sz w:val="20"/>
          <w:szCs w:val="20"/>
          <w:color w:val="auto"/>
        </w:rPr>
      </w:pPr>
      <w:r>
        <w:rPr>
          <w:rFonts w:ascii="Times New Roman" w:cs="Times New Roman" w:eastAsia="Times New Roman" w:hAnsi="Times New Roman"/>
          <w:sz w:val="14"/>
          <w:szCs w:val="14"/>
          <w:color w:val="auto"/>
        </w:rPr>
        <w:t>Our named executive officers were eligible also to earn annual bonus for calendar year 2024 and 2025, as determined in the discretion of the board of directors of Private Hadron based on its review of Private Hadron’s performance for the applicable year and each named executive officer’s individual performance and contributions to the success of Private Hadron.</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Long-Term Equity Incentive Awards</w:t>
      </w:r>
    </w:p>
    <w:p>
      <w:pPr>
        <w:spacing w:after="0" w:line="91" w:lineRule="exact"/>
        <w:rPr>
          <w:sz w:val="20"/>
          <w:szCs w:val="20"/>
          <w:color w:val="auto"/>
        </w:rPr>
      </w:pPr>
    </w:p>
    <w:p>
      <w:pPr>
        <w:ind w:left="1400" w:right="339"/>
        <w:spacing w:after="0" w:line="264" w:lineRule="auto"/>
        <w:rPr>
          <w:sz w:val="20"/>
          <w:szCs w:val="20"/>
          <w:color w:val="auto"/>
        </w:rPr>
      </w:pPr>
      <w:r>
        <w:rPr>
          <w:rFonts w:ascii="Times New Roman" w:cs="Times New Roman" w:eastAsia="Times New Roman" w:hAnsi="Times New Roman"/>
          <w:sz w:val="14"/>
          <w:szCs w:val="14"/>
          <w:color w:val="auto"/>
        </w:rPr>
        <w:t>To focus our named executive officers on the long-term performance of the Private Hadron, hawse have historically granted equity compensation in the form of stock options for Hadron Energy’s Common Stock that are subject to time-based vesting requirements. As of December 31, 2025, Private Hadron has not granted equity compensation in the form of equity incentive awards to any of its named executive officers.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principal features of our existing equity incentive plan are summarized below.</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2026 Equity Incentive Plan</w:t>
      </w:r>
    </w:p>
    <w:p>
      <w:pPr>
        <w:spacing w:after="0" w:line="91"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On May 22, 2026, the Hadron Energy, Inc. Equity Incentive Plan (the “Plan”) went into effect. The Plan has an initial share reserve for new awards equal to 10,021,784 shares and includes an “evergreen” provision pursuant to which, on the first day of each calendar year beginning with the first full calendar year following the Closing, the share reserve automatically increases by five percent (5%) of the total number of outstanding shares (on a fully diluted basis) on such date, unless otherwise determined by the Board.</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Health, Welfare and Retirement Plans</w:t>
      </w:r>
    </w:p>
    <w:p>
      <w:pPr>
        <w:spacing w:after="0" w:line="91" w:lineRule="exact"/>
        <w:rPr>
          <w:sz w:val="20"/>
          <w:szCs w:val="20"/>
          <w:color w:val="auto"/>
        </w:rPr>
      </w:pPr>
    </w:p>
    <w:p>
      <w:pPr>
        <w:ind w:left="1400" w:right="539"/>
        <w:spacing w:after="0" w:line="264" w:lineRule="auto"/>
        <w:rPr>
          <w:sz w:val="20"/>
          <w:szCs w:val="20"/>
          <w:color w:val="auto"/>
        </w:rPr>
      </w:pPr>
      <w:r>
        <w:rPr>
          <w:rFonts w:ascii="Times New Roman" w:cs="Times New Roman" w:eastAsia="Times New Roman" w:hAnsi="Times New Roman"/>
          <w:sz w:val="14"/>
          <w:szCs w:val="14"/>
          <w:color w:val="auto"/>
        </w:rPr>
        <w:t>All of our full-time employees are eligible to participate in its health and welfare plans, including medical, dental, vision, basic group life insurance, voluntary life insurance, voluntary short-term and long-term disability insurance, and employee assistance program benefits made available to its employees through Gusto.</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Executive Compensation of Hadron Energy Following the Business Combination</w:t>
      </w:r>
    </w:p>
    <w:p>
      <w:pPr>
        <w:spacing w:after="0" w:line="91"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On June 3, 2026, the Board approved the base salaries and target bonuses of certain of our executive officers, and on June 8, 2026, the Board approved the base salary and target bonus of Ross T. Ridenoure, our Chief Nuclear Officer. The compensation was approved following the closing of the Business Combination and reflects the initial compensation arrangements for these executive officers in their respective roles following such closing. The approved compensation is as follows:</w:t>
      </w:r>
    </w:p>
    <w:p>
      <w:pPr>
        <w:spacing w:after="0" w:line="66" w:lineRule="exact"/>
        <w:rPr>
          <w:sz w:val="20"/>
          <w:szCs w:val="20"/>
          <w:color w:val="auto"/>
        </w:rPr>
      </w:pPr>
    </w:p>
    <w:p>
      <w:pPr>
        <w:ind w:left="2140" w:hanging="333"/>
        <w:spacing w:after="0"/>
        <w:tabs>
          <w:tab w:leader="none" w:pos="21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Samuel Gibson, Chief Executive Officer: base salary of $400,000; target bonus of 50% of base salary.</w:t>
      </w:r>
    </w:p>
    <w:p>
      <w:pPr>
        <w:spacing w:after="0" w:line="99" w:lineRule="exact"/>
        <w:rPr>
          <w:rFonts w:ascii="Times New Roman" w:cs="Times New Roman" w:eastAsia="Times New Roman" w:hAnsi="Times New Roman"/>
          <w:sz w:val="14"/>
          <w:szCs w:val="14"/>
          <w:color w:val="auto"/>
        </w:rPr>
      </w:pPr>
    </w:p>
    <w:p>
      <w:pPr>
        <w:ind w:left="5540" w:right="2499" w:hanging="3733"/>
        <w:spacing w:after="0" w:line="450" w:lineRule="auto"/>
        <w:tabs>
          <w:tab w:leader="none" w:pos="214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Rahul Shukla, Chief Financial Officer: base salary of $350,000; target bonus of 40% of base salary. 100</w:t>
      </w:r>
    </w:p>
    <w:p>
      <w:pPr>
        <w:sectPr>
          <w:pgSz w:w="11900" w:h="16838" w:orient="portrait"/>
          <w:cols w:equalWidth="0" w:num="1">
            <w:col w:w="10159"/>
          </w:cols>
          <w:pgMar w:left="300" w:top="404"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Andrew M. Ward, Chief Technology Officer: base salary of $300,000; target bonus of 40% of base salary.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 Canavan, Chief Operating Officer: base salary of $300,000; target bonus of 40% of base salary.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Ross T. Ridenoure, Chief Nuclear Officer: base salary of $300,000; target bonus of 40% of base salary.</w:t>
      </w:r>
    </w:p>
    <w:p>
      <w:pPr>
        <w:spacing w:after="0" w:line="173" w:lineRule="exact"/>
        <w:rPr>
          <w:sz w:val="20"/>
          <w:szCs w:val="20"/>
          <w:color w:val="auto"/>
        </w:rPr>
      </w:pPr>
    </w:p>
    <w:p>
      <w:pPr>
        <w:jc w:val="both"/>
        <w:ind w:left="1400" w:right="299"/>
        <w:spacing w:after="0" w:line="256" w:lineRule="auto"/>
        <w:rPr>
          <w:sz w:val="20"/>
          <w:szCs w:val="20"/>
          <w:color w:val="auto"/>
        </w:rPr>
      </w:pPr>
      <w:r>
        <w:rPr>
          <w:rFonts w:ascii="Times New Roman" w:cs="Times New Roman" w:eastAsia="Times New Roman" w:hAnsi="Times New Roman"/>
          <w:sz w:val="14"/>
          <w:szCs w:val="14"/>
          <w:color w:val="auto"/>
        </w:rPr>
        <w:t>Each executive officer has the opportunity to earn an annual bonus (“Annual Bonus”) under an executive incentive plan to be established by the Board, with the actual amount of each Annual Bonus to be determined by the Board or the Compensation Committee based on the achievement of performance goals and target objectives to be established by the Board or the Compensation Committee, in its discretion. The target of the Annual Bonus is set forth as a percentage of the executive officer’s annual base salary during the applicable calendar year. Any Annual Bonus payable to an executive officer will be payable not later than two and one-half months following the close of the calendar year to which it pertains.</w:t>
      </w:r>
    </w:p>
    <w:p>
      <w:pPr>
        <w:spacing w:after="0" w:line="142" w:lineRule="exact"/>
        <w:rPr>
          <w:sz w:val="20"/>
          <w:szCs w:val="20"/>
          <w:color w:val="auto"/>
        </w:rPr>
      </w:pPr>
    </w:p>
    <w:p>
      <w:pPr>
        <w:ind w:left="1400" w:right="639"/>
        <w:spacing w:after="0" w:line="279" w:lineRule="auto"/>
        <w:rPr>
          <w:sz w:val="20"/>
          <w:szCs w:val="20"/>
          <w:color w:val="auto"/>
        </w:rPr>
      </w:pPr>
      <w:r>
        <w:rPr>
          <w:rFonts w:ascii="Times New Roman" w:cs="Times New Roman" w:eastAsia="Times New Roman" w:hAnsi="Times New Roman"/>
          <w:sz w:val="14"/>
          <w:szCs w:val="14"/>
          <w:color w:val="auto"/>
        </w:rPr>
        <w:t>The compensation described above does not include any equity-based compensation awards that may be granted to officers in the future under the Hadron Energy, Inc. 2026 Equity Incentive Plan.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Non-Employee Director Compensation Program</w:t>
      </w:r>
    </w:p>
    <w:p>
      <w:pPr>
        <w:spacing w:after="0" w:line="91" w:lineRule="exact"/>
        <w:rPr>
          <w:sz w:val="20"/>
          <w:szCs w:val="20"/>
          <w:color w:val="auto"/>
        </w:rPr>
      </w:pPr>
    </w:p>
    <w:p>
      <w:pPr>
        <w:ind w:left="1400" w:right="259"/>
        <w:spacing w:after="0" w:line="279" w:lineRule="auto"/>
        <w:rPr>
          <w:sz w:val="20"/>
          <w:szCs w:val="20"/>
          <w:color w:val="auto"/>
        </w:rPr>
      </w:pPr>
      <w:r>
        <w:rPr>
          <w:rFonts w:ascii="Times New Roman" w:cs="Times New Roman" w:eastAsia="Times New Roman" w:hAnsi="Times New Roman"/>
          <w:sz w:val="14"/>
          <w:szCs w:val="14"/>
          <w:color w:val="auto"/>
        </w:rPr>
        <w:t>The Company has not entered into formal arrangements under which non-employee directors receive cash compensation for their service on the board of Hadron Energy or its committees.</w:t>
      </w:r>
    </w:p>
    <w:p>
      <w:pPr>
        <w:spacing w:after="0" w:line="126" w:lineRule="exact"/>
        <w:rPr>
          <w:sz w:val="20"/>
          <w:szCs w:val="20"/>
          <w:color w:val="auto"/>
        </w:rPr>
      </w:pPr>
    </w:p>
    <w:p>
      <w:pPr>
        <w:ind w:left="1400" w:right="259"/>
        <w:spacing w:after="0" w:line="264" w:lineRule="auto"/>
        <w:rPr>
          <w:sz w:val="20"/>
          <w:szCs w:val="20"/>
          <w:color w:val="auto"/>
        </w:rPr>
      </w:pPr>
      <w:r>
        <w:rPr>
          <w:rFonts w:ascii="Times New Roman" w:cs="Times New Roman" w:eastAsia="Times New Roman" w:hAnsi="Times New Roman"/>
          <w:sz w:val="14"/>
          <w:szCs w:val="14"/>
          <w:color w:val="auto"/>
        </w:rPr>
        <w:t>The Company intends to develop a board of directors’ compensation program that is designed to align compensation with our objectives and the creation of shareholder value, while enabling us to attract, retain, incentivize and reward directors who contribute to our long-term success. The compensation committee will determine the annual compensation to be paid to the members of the Board.</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Rule 10b5-1 Sales Plans</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91" w:lineRule="exact"/>
        <w:rPr>
          <w:sz w:val="20"/>
          <w:szCs w:val="20"/>
          <w:color w:val="auto"/>
        </w:rPr>
      </w:pPr>
    </w:p>
    <w:p>
      <w:pPr>
        <w:ind w:left="1400" w:right="439" w:firstLine="340"/>
        <w:spacing w:after="0" w:line="256" w:lineRule="auto"/>
        <w:rPr>
          <w:sz w:val="20"/>
          <w:szCs w:val="20"/>
          <w:color w:val="auto"/>
        </w:rPr>
      </w:pPr>
      <w:r>
        <w:rPr>
          <w:rFonts w:ascii="Times New Roman" w:cs="Times New Roman" w:eastAsia="Times New Roman" w:hAnsi="Times New Roman"/>
          <w:sz w:val="14"/>
          <w:szCs w:val="14"/>
          <w:color w:val="auto"/>
        </w:rPr>
        <w:t>The Company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404"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GigCapital7 Related Agreements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Registration Rights Agreement</w:t>
      </w:r>
    </w:p>
    <w:p>
      <w:pPr>
        <w:spacing w:after="0" w:line="91" w:lineRule="exact"/>
        <w:rPr>
          <w:sz w:val="20"/>
          <w:szCs w:val="20"/>
          <w:color w:val="auto"/>
        </w:rPr>
      </w:pPr>
    </w:p>
    <w:p>
      <w:pPr>
        <w:ind w:left="1400" w:right="359" w:firstLine="340"/>
        <w:spacing w:after="0" w:line="252" w:lineRule="auto"/>
        <w:rPr>
          <w:sz w:val="20"/>
          <w:szCs w:val="20"/>
          <w:color w:val="auto"/>
        </w:rPr>
      </w:pPr>
      <w:r>
        <w:rPr>
          <w:rFonts w:ascii="Times New Roman" w:cs="Times New Roman" w:eastAsia="Times New Roman" w:hAnsi="Times New Roman"/>
          <w:sz w:val="14"/>
          <w:szCs w:val="14"/>
          <w:color w:val="auto"/>
        </w:rPr>
        <w:t>In connection with the Closing, GigCapital7 and the Registration Rights Holders entered into the Amended and Restated Registration Rights Agreement. Pursuant to the terms of the Amended and Restated Registration Rights Agreement, the Company is obligated to file one or more registration statements to register the resales of the Common Stock held by such Registration Rights Holders after the Closing. Registration Rights Holders holding at least a majority in interest of the registrable securities owned by all Registration Rights Holders are entitled under the Amended and Restated Registration Rights Agreement to make a written demand for registration under the Securities Act of all or part of their registrable securities, up to a total of three such demands. In addition, subject to certain requirements and customary conditions, such Registration Rights Holders may demand at any time or from time to time that the Company file a registration statement on Form S-3 (or any similar short-form registration that may be available) to register the resale of their registrable securities when the Company is Form S-3 eligible. The Amended and Restated Registration Rights Agreement also provides such Registration Rights Holders with “piggy-back” registration rights, subject to certain requirements and customary conditions.</w:t>
      </w:r>
    </w:p>
    <w:p>
      <w:pPr>
        <w:spacing w:after="0" w:line="145"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Under the Amended and Restated Registration Rights Agreement, the Company will indemnify such Registration Rights Holders and certain persons or entities related to such Registration Rights Holders such as their officers, employees, directors, and agents against any losses or damages resulting from any untrue or alleged untrue statement, or omission or alleged omission, of a material fact in any registration statement or prospectus pursuant to which the Registration Rights Holders sell their registrable securities, unless such liability arose from such Registration Rights Holder’s misstatement or alleged misstatement, or omission or alleged omission. The Registration Rights Holders including registrable securities in any registration statement or prospectus will indemnify the Company and certain persons or entities related to the Company such as its officers and directors and underwriters against all losses caused by their misstatements or omissions (or alleged misstatements or omissions) in those documents. The Company will pay reasonable registration expenses (other than underwriting discounts and commissions) in connection with any registrations under the Amended and Restated Registration Rights Agreement.</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Lock-up Agreement</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GigCapital7 and certain stockholders of the Company entered into the Lock-Up Agreement at the Closing. The Lock-Up Agreement provides that, subject to certain exceptions, each of such stockholders will not transfer any shares of the Common Stock beneficially owned or owned of record by such stockholders until the earlier of (a) six months following the Closing; (b) subsequent to the Closing, the date on which the reported closing price of one share of the Common Stock quoted on Nasdaq equals or exceeds $11.50 per share (as adjusted for stock splits, stock dividends, reorganizations, recapitalizations and the like occurring after the Closing) for any twenty trading days within any thirty consecutive trading day period commencing at least ninety days after the Closing; and (c) subsequent to the Closing, the date on which the Company completes a liquidation, merger, stock exchange or other similar transaction that results in all of the Company’s stockholders having the right to exchange their Company’s securities for cash, securities or other property.</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Founder Shares</w:t>
      </w:r>
    </w:p>
    <w:p>
      <w:pPr>
        <w:spacing w:after="0" w:line="91" w:lineRule="exact"/>
        <w:rPr>
          <w:sz w:val="20"/>
          <w:szCs w:val="20"/>
          <w:color w:val="auto"/>
        </w:rPr>
      </w:pPr>
    </w:p>
    <w:p>
      <w:pPr>
        <w:ind w:left="1400" w:right="539" w:firstLine="340"/>
        <w:spacing w:after="0" w:line="259" w:lineRule="auto"/>
        <w:rPr>
          <w:sz w:val="20"/>
          <w:szCs w:val="20"/>
          <w:color w:val="auto"/>
        </w:rPr>
      </w:pPr>
      <w:r>
        <w:rPr>
          <w:rFonts w:ascii="Times New Roman" w:cs="Times New Roman" w:eastAsia="Times New Roman" w:hAnsi="Times New Roman"/>
          <w:sz w:val="14"/>
          <w:szCs w:val="14"/>
          <w:color w:val="auto"/>
        </w:rPr>
        <w:t>Prior to the GigCapital7 IPO, the Sponsor purchased 10,207,246 Founder Shares for an aggregate purchase price of $100,000, of which the Sponsor retains 9,932,246 following transfers of 100,000 shares to the NY Philharmonic and 175,000 shares to Yield Point. As a result, the Sponsor purchased the Founder Shares for an adjusted aggregate purchase price of $100,000, or $0.00979696 per share. Prior to the initial investment in GigCapital7 of $100,000 by our Sponsor, GigCapital7 had no assets, tangible or intangible. The per share price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404"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64" w:lineRule="auto"/>
        <w:rPr>
          <w:sz w:val="20"/>
          <w:szCs w:val="20"/>
          <w:color w:val="auto"/>
        </w:rPr>
      </w:pPr>
      <w:r>
        <w:rPr>
          <w:rFonts w:ascii="Times New Roman" w:cs="Times New Roman" w:eastAsia="Times New Roman" w:hAnsi="Times New Roman"/>
          <w:sz w:val="14"/>
          <w:szCs w:val="14"/>
          <w:color w:val="auto"/>
        </w:rPr>
        <w:t>of the Founder Shares was determined by dividing the amount of cash contributed to GigCapital7 by the number of Founder Shares issued. The number of Founder Shares issued was determined based on the expectation that the Founder Shares would, in the aggregate, represent 40% of the outstanding shares of Common Stock of GigCapital7 upon completion of the GigCapital7 IPO.</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GigCapital7 IPO Private Warrants</w:t>
      </w:r>
    </w:p>
    <w:p>
      <w:pPr>
        <w:spacing w:after="0" w:line="91" w:lineRule="exact"/>
        <w:rPr>
          <w:sz w:val="20"/>
          <w:szCs w:val="20"/>
          <w:color w:val="auto"/>
        </w:rPr>
      </w:pPr>
    </w:p>
    <w:p>
      <w:pPr>
        <w:jc w:val="both"/>
        <w:ind w:left="1400" w:right="659" w:firstLine="340"/>
        <w:spacing w:after="0" w:line="264" w:lineRule="auto"/>
        <w:rPr>
          <w:sz w:val="20"/>
          <w:szCs w:val="20"/>
          <w:color w:val="auto"/>
        </w:rPr>
      </w:pPr>
      <w:r>
        <w:rPr>
          <w:rFonts w:ascii="Times New Roman" w:cs="Times New Roman" w:eastAsia="Times New Roman" w:hAnsi="Times New Roman"/>
          <w:sz w:val="14"/>
          <w:szCs w:val="14"/>
          <w:color w:val="auto"/>
        </w:rPr>
        <w:t>Simultaneously with the consummation of the GigCapital7 IPO, we consummated a private placement of an aggregate of 3,719,000 Private Warrants to the Sponsor at a price of $0.01561 per Private Warrant, generating total proceeds of $58,060. Of the gross proceeds received from the GigCapital7 IPO and the Private Warrants, $200,000,000 was placed into the Trust Account.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Insider Letter Agreement</w:t>
      </w:r>
    </w:p>
    <w:p>
      <w:pPr>
        <w:spacing w:after="0" w:line="91"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The Sponsor has entered into the Insider Letter Agreement with us, pursuant to which it has agreed: (1) to waive its redemption rights with respect to its Founder Shares, and the shares and shares underlying any warrants included in the Private Placement Units held by it in connection with the consummation of our initial business combination; and (2) to waive its rights to liquidating distributions from the Trust Account with respect to its Founder Shares, and the shares that are included in the Private Placement Units if we fail to complete our initial business combination within the Completion Window, although it will be entitled to liquidating distributions from the Trust Account with respect to any Public Shares it holds if we fail to complete our initial business combination within the prescribed time frame. The Sponsor has also agreed in the Insider Letter Agreement not to transfer, assign, or sell the Founder Shares until the earlier of (A) six months after the date of the consummation of the Business Combination, (B) the date after the consummation of the Business Combination on which the closing price of the Common Stock equals or exceeds $11.50 per share (as adjusted for stock splits, stock dividends, reorganizations, recapitalizations and the like) for any 20 trading days within any 30-trading day period commencing after the Business Combination, or (C) the date after the consummation of the Business Combination that the Company completes a liquidation, merger, stock exchange or other similar transaction that results in all of the Company’s stockholders having the right to exchange their shares of the Common Stock for cash, securities or other property. In addition, subject to certain limited exceptions, the Private Placement Units (and their constituent securities) will not be transferable until 30 days following the completion of the Business Combination.</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Recent Key Agreements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Memorandum of Understanding with Paragon Energy Solutions (a Mirion Technologies Company)</w:t>
      </w:r>
    </w:p>
    <w:p>
      <w:pPr>
        <w:spacing w:after="0" w:line="91"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On March 17, 2026, the Company entered into a non-binding Memorandum of Understanding with Paragon Energy Solutions, a Mirion Technologies Company, establishing a framework for collaboration on the design, development, and implementation of the Instrumentation &amp; Control architecture for the Halo program.</w:t>
      </w:r>
    </w:p>
    <w:p>
      <w:pPr>
        <w:spacing w:after="0" w:line="136"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Under the Paragon MOU, Paragon will support the development of the Halo’s overall I&amp;C system architecture and integration framework, including safety and non-safety I&amp;C platform integration, control logic development, human-machine interface support, and cybersecurity considerations. Paragon will also supply the physical instrumentation devices and associated hardware, including sensors, transmitters, control cabinets, networking components, and other field and control room equipment necessary to implement the I&amp;C system. The collaboration is intended to span the Company’s FOAK deployment, with potential expansion to subsequent commercial units. The Paragon MOU is non-binding and reflects our commitment to engaging best-in-class suppliers in the design process, ensuring that the I&amp;C architecture is developed in parallel with, and fully integrated into, the Company’s broader licensing and engineering program. Paragon’s proven supply chain capability, backed by Mirion’s global nuclear technology platform, validates the manufacturability and commercial readiness of our reactor design.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404"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Memorandum of Understanding with Smartland Energy, LLC</w:t>
      </w:r>
    </w:p>
    <w:p>
      <w:pPr>
        <w:spacing w:after="0" w:line="91" w:lineRule="exact"/>
        <w:rPr>
          <w:sz w:val="20"/>
          <w:szCs w:val="20"/>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4"/>
          <w:szCs w:val="14"/>
          <w:color w:val="auto"/>
        </w:rPr>
        <w:t>The Company entered into a non-binding Memorandum of Understanding with Smartland Energy, LLC, establishing a portfolio-scale framework for the potential deployment of the Halo across up to five qualified Smartland behind-the-meter power projects over time. Smartland is developing approximately 150 MWe per project, with 12 projects targeted for completion by 2035, representing aggregate capacity demand of approximately 1.8 GWe.</w:t>
      </w:r>
    </w:p>
    <w:p>
      <w:pPr>
        <w:spacing w:after="0" w:line="139"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The Smartland MOU is non-binding and does not constitute a binding commitment by either party to purchase or deploy the Halo. In connection with the Smartland MOU, Smartland made an initial strategic investment in the Company via a SAFE, reflecting long-term conviction in the platform’s commercial viability. The framework contemplates that the Company’s 10 MWe Halo would serve Smartland’s behind-the-meter power needs for industrial and digital infrastructure operators facing unprecedented load growth, multi-year grid interconnection queues, and increasing urgency around reliable, on-site firm power.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Uranium Conversion Services Agreement with ConverDyn, GP</w:t>
      </w:r>
    </w:p>
    <w:p>
      <w:pPr>
        <w:spacing w:after="0" w:line="91"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The Company entered into a Uranium Conversion Services Agreement with ConverDyn, GP, the exclusive marketing and purchase agent for Solstice Advanced Materials Inc.’s Metropolis Works uranium conversion facility located in Metropolis, Illinois — the only operating commercial UF6 conversion facility in the United States. ConverDyn is a joint venture between Solstice Advanced Materials Inc. and General Atomics Inc.</w:t>
      </w:r>
    </w:p>
    <w:p>
      <w:pPr>
        <w:spacing w:after="0" w:line="136"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Under the ConverDyn Agreement, ConverDyn will supply UF6 supporting the Company’s fuel fabrication pathway beginning with the Halo’s FOAK deployment, with the potential to expand across subsequent commercial units as the Company scales toward repeatable delivery. The collaboration spans the full commercialization of the Company’s Halo microreactor commercial roadmap from first reactor to fleet-scale deployment. Uranium conversion is the critical first step in transforming mined uranium into reactor fuel; before uranium can be enriched and fabricated into fuel assemblies, it must first be converted into UF6. By securing ConverDyn as a partner, the Company has established a fully domestic fuel supply pathway that is resilient, U.S.-based, and anchored in proven infrastructure, reducing geopolitical supply chain risk. The Company’s LEU+ fuel pathway plugs into the existing domestic light-water reactor fuel cycle, avoiding the HALEU or TRISO supply-chain bottleneck that constrains many other advanced reactor developers.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Strategic Alliance with GSE Performance Solutions, LLC</w:t>
      </w:r>
    </w:p>
    <w:p>
      <w:pPr>
        <w:spacing w:after="0" w:line="91"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The Company has selected GSE Performance Solutions, LLC (dba GSE Solutions), a global leader in nuclear plant training simulation, as its supplier for the design, development, delivery, installation, and commissioning of a full-scope, high-fidelity training simulator for the Hadron Halo. The selection advances the parties’ relationship into a committed strategic alliance and establishes a cornerstone of the Company’s operator-readiness strategy for the Hadron Halo.</w:t>
      </w:r>
    </w:p>
    <w:p>
      <w:pPr>
        <w:spacing w:after="0" w:line="139"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Under the alliance, GSE is expected to lead end-to-end development and commissioning of a plant-specific simulator intended to replicate the full range of the Hadron Halo’s expected operating behavior, including normal power operations, anticipated operational occurrences, design-basis events and beyond-design-basis scenarios. The simulator is expected to serve as the principal training platform for reactor operators, senior reactor operators, shift technical advisors and engineering staff for the Company’s FOAK deployment, with provisions to extend support to subsequent commercial units as the Company scales toward repeatable delivery.</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404"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PRINCIPAL SECURITYHOLDERS</w:t>
      </w:r>
    </w:p>
    <w:p>
      <w:pPr>
        <w:spacing w:after="0" w:line="1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table and accompanying footnotes set forth information known to the Company regarding the actual beneficial ownership of</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Common Stock, as of June 12, 2026:</w:t>
      </w:r>
    </w:p>
    <w:p>
      <w:pPr>
        <w:spacing w:after="0" w:line="85" w:lineRule="exact"/>
        <w:rPr>
          <w:sz w:val="20"/>
          <w:szCs w:val="20"/>
          <w:color w:val="auto"/>
        </w:rPr>
      </w:pPr>
    </w:p>
    <w:p>
      <w:pPr>
        <w:ind w:left="2140" w:right="599" w:hanging="333"/>
        <w:spacing w:after="0" w:line="279" w:lineRule="auto"/>
        <w:tabs>
          <w:tab w:leader="none" w:pos="2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is, or is expected to be, the beneficial owner of more than 5% of the outstanding shares of the Common Stock of the Company;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Company’s current directors and executive officers;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directors and officers of the Company, as a group.</w:t>
      </w:r>
    </w:p>
    <w:p>
      <w:pPr>
        <w:spacing w:after="0" w:line="173"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36" w:lineRule="exact"/>
        <w:rPr>
          <w:sz w:val="20"/>
          <w:szCs w:val="20"/>
          <w:color w:val="auto"/>
        </w:rPr>
      </w:pPr>
    </w:p>
    <w:p>
      <w:pPr>
        <w:ind w:left="1400" w:right="339" w:firstLine="340"/>
        <w:spacing w:after="0" w:line="276" w:lineRule="auto"/>
        <w:rPr>
          <w:sz w:val="20"/>
          <w:szCs w:val="20"/>
          <w:color w:val="auto"/>
        </w:rPr>
      </w:pPr>
      <w:r>
        <w:rPr>
          <w:rFonts w:ascii="Times New Roman" w:cs="Times New Roman" w:eastAsia="Times New Roman" w:hAnsi="Times New Roman"/>
          <w:sz w:val="13"/>
          <w:szCs w:val="13"/>
          <w:color w:val="auto"/>
        </w:rPr>
        <w:t>The beneficial ownership percentages set forth in the table below are based on 71,498,842 shares of Common Stock issued and outstanding as of June 12, 2026 and do not take into account the issuance of any shares of Common Stock upon the exercise of the Public Warrants, the Private Warrants and the Private Hadron Warrants. In computing the number of shares of Common Stock beneficially owned by a person, we deemed to be outstanding all shares of Common Stock subject to warrants and convertible notes held by the person that are currently exercisable or convertible or may be exercised or converted within 60 days of June 12, 2026. We did not deem such shares outstanding, however, for the purpose of computing the percentage ownership of any other person. 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136" w:lineRule="exact"/>
        <w:rPr>
          <w:sz w:val="20"/>
          <w:szCs w:val="20"/>
          <w:color w:val="auto"/>
        </w:rPr>
      </w:pPr>
    </w:p>
    <w:tbl>
      <w:tblPr>
        <w:tblLayout w:type="fixed"/>
        <w:tblInd w:w="174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820" w:type="dxa"/>
            <w:vAlign w:val="bottom"/>
            <w:gridSpan w:val="2"/>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15"/>
        </w:trPr>
        <w:tc>
          <w:tcPr>
            <w:tcW w:w="18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Address of Beneficial Owner</w:t>
            </w:r>
          </w:p>
        </w:tc>
        <w:tc>
          <w:tcPr>
            <w:tcW w:w="2900" w:type="dxa"/>
            <w:vAlign w:val="bottom"/>
            <w:vMerge w:val="restart"/>
          </w:tcPr>
          <w:p>
            <w:pPr>
              <w:spacing w:after="0"/>
              <w:rPr>
                <w:sz w:val="9"/>
                <w:szCs w:val="9"/>
                <w:color w:val="auto"/>
              </w:rPr>
            </w:pPr>
          </w:p>
        </w:tc>
        <w:tc>
          <w:tcPr>
            <w:tcW w:w="1820" w:type="dxa"/>
            <w:vAlign w:val="bottom"/>
            <w:gridSpan w:val="2"/>
          </w:tcPr>
          <w:p>
            <w:pPr>
              <w:jc w:val="center"/>
              <w:ind w:right="840"/>
              <w:spacing w:after="0" w:line="11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Common</w:t>
            </w:r>
          </w:p>
        </w:tc>
        <w:tc>
          <w:tcPr>
            <w:tcW w:w="0" w:type="dxa"/>
            <w:vAlign w:val="bottom"/>
          </w:tcPr>
          <w:p>
            <w:pPr>
              <w:spacing w:after="0"/>
              <w:rPr>
                <w:sz w:val="1"/>
                <w:szCs w:val="1"/>
                <w:color w:val="auto"/>
              </w:rPr>
            </w:pPr>
          </w:p>
        </w:tc>
      </w:tr>
      <w:tr>
        <w:trPr>
          <w:trHeight w:val="143"/>
        </w:trPr>
        <w:tc>
          <w:tcPr>
            <w:tcW w:w="1880" w:type="dxa"/>
            <w:vAlign w:val="bottom"/>
            <w:tcBorders>
              <w:bottom w:val="single" w:sz="8" w:color="auto"/>
            </w:tcBorders>
            <w:vMerge w:val="continue"/>
          </w:tcPr>
          <w:p>
            <w:pPr>
              <w:spacing w:after="0"/>
              <w:rPr>
                <w:sz w:val="12"/>
                <w:szCs w:val="12"/>
                <w:color w:val="auto"/>
              </w:rPr>
            </w:pPr>
          </w:p>
        </w:tc>
        <w:tc>
          <w:tcPr>
            <w:tcW w:w="2900" w:type="dxa"/>
            <w:vAlign w:val="bottom"/>
            <w:vMerge w:val="continue"/>
          </w:tcPr>
          <w:p>
            <w:pPr>
              <w:spacing w:after="0"/>
              <w:rPr>
                <w:sz w:val="12"/>
                <w:szCs w:val="12"/>
                <w:color w:val="auto"/>
              </w:rPr>
            </w:pPr>
          </w:p>
        </w:tc>
        <w:tc>
          <w:tcPr>
            <w:tcW w:w="1820" w:type="dxa"/>
            <w:vAlign w:val="bottom"/>
            <w:gridSpan w:val="2"/>
          </w:tcPr>
          <w:p>
            <w:pPr>
              <w:jc w:val="right"/>
              <w:ind w:right="860"/>
              <w:spacing w:after="0" w:line="124"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12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37"/>
        </w:trPr>
        <w:tc>
          <w:tcPr>
            <w:tcW w:w="4780" w:type="dxa"/>
            <w:vAlign w:val="bottom"/>
            <w:tcBorders>
              <w:top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1"/>
                <w:szCs w:val="11"/>
                <w:b w:val="1"/>
                <w:bCs w:val="1"/>
                <w:color w:val="auto"/>
              </w:rPr>
              <w:t>Directors and Named Executive Officers</w:t>
            </w:r>
            <w:r>
              <w:rPr>
                <w:rFonts w:ascii="Times New Roman" w:cs="Times New Roman" w:eastAsia="Times New Roman" w:hAnsi="Times New Roman"/>
                <w:sz w:val="15"/>
                <w:szCs w:val="15"/>
                <w:b w:val="1"/>
                <w:bCs w:val="1"/>
                <w:color w:val="auto"/>
                <w:vertAlign w:val="superscript"/>
              </w:rPr>
              <w:t>(1)</w:t>
            </w:r>
          </w:p>
        </w:tc>
        <w:tc>
          <w:tcPr>
            <w:tcW w:w="10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Dr. Avi S. Katz</w:t>
            </w:r>
            <w:r>
              <w:rPr>
                <w:rFonts w:ascii="Times New Roman" w:cs="Times New Roman" w:eastAsia="Times New Roman" w:hAnsi="Times New Roman"/>
                <w:sz w:val="19"/>
                <w:szCs w:val="19"/>
                <w:color w:val="auto"/>
                <w:vertAlign w:val="superscript"/>
              </w:rPr>
              <w:t>(3)</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13,738,746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Samuel Gibson</w:t>
            </w:r>
            <w:r>
              <w:rPr>
                <w:rFonts w:ascii="Times New Roman" w:cs="Times New Roman" w:eastAsia="Times New Roman" w:hAnsi="Times New Roman"/>
                <w:sz w:val="19"/>
                <w:szCs w:val="19"/>
                <w:color w:val="auto"/>
                <w:vertAlign w:val="superscript"/>
              </w:rPr>
              <w:t>(4)</w:t>
            </w:r>
          </w:p>
        </w:tc>
        <w:tc>
          <w:tcPr>
            <w:tcW w:w="18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43,474,075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Gibson Family Holdings LLC</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20,249,584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SG 2026 Irrevocable Exempt Trust</w:t>
            </w:r>
          </w:p>
        </w:tc>
        <w:tc>
          <w:tcPr>
            <w:tcW w:w="18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427,491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Rahul Shukla</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Ken Canavan</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Ross T. Ridenoure</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499,990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Andrew M. Ward</w:t>
            </w:r>
          </w:p>
        </w:tc>
        <w:tc>
          <w:tcPr>
            <w:tcW w:w="18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124,997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Dr. Raluca Dinu</w:t>
            </w:r>
            <w:r>
              <w:rPr>
                <w:rFonts w:ascii="Times New Roman" w:cs="Times New Roman" w:eastAsia="Times New Roman" w:hAnsi="Times New Roman"/>
                <w:sz w:val="19"/>
                <w:szCs w:val="19"/>
                <w:color w:val="auto"/>
                <w:vertAlign w:val="superscript"/>
              </w:rPr>
              <w:t>(5)</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13,738,746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Raanan I. Horowitz</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Ralph L. Hunter</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J. Lewis</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Bryan L. Timm</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0"/>
        </w:trPr>
        <w:tc>
          <w:tcPr>
            <w:tcW w:w="47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All Directors and Executive Officers of the Company as a Group</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(12 Individuals)</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57,925,308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Five Percent or Greater Holders</w:t>
            </w: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GigAcquisitions7 Corp.</w:t>
            </w:r>
            <w:r>
              <w:rPr>
                <w:rFonts w:ascii="Times New Roman" w:cs="Times New Roman" w:eastAsia="Times New Roman" w:hAnsi="Times New Roman"/>
                <w:sz w:val="19"/>
                <w:szCs w:val="19"/>
                <w:color w:val="auto"/>
                <w:vertAlign w:val="superscript"/>
              </w:rPr>
              <w:t>(6)</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13,651,246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Gibson Family Holdings LLC</w:t>
            </w:r>
          </w:p>
        </w:tc>
        <w:tc>
          <w:tcPr>
            <w:tcW w:w="18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20,249,584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140" w:hanging="416"/>
        <w:spacing w:after="0"/>
        <w:tabs>
          <w:tab w:leader="none" w:pos="21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21" w:lineRule="exact"/>
        <w:rPr>
          <w:sz w:val="20"/>
          <w:szCs w:val="20"/>
          <w:color w:val="auto"/>
        </w:rPr>
      </w:pPr>
    </w:p>
    <w:p>
      <w:pPr>
        <w:ind w:left="5540" w:right="339" w:hanging="3816"/>
        <w:spacing w:after="0" w:line="428" w:lineRule="auto"/>
        <w:tabs>
          <w:tab w:leader="none" w:pos="2141"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business address of each of the individuals is 3 Twin Dolphin Drive, Suite 260, Redwood City, CA 94065. 105</w:t>
      </w:r>
    </w:p>
    <w:p>
      <w:pPr>
        <w:sectPr>
          <w:pgSz w:w="11900" w:h="16838" w:orient="portrait"/>
          <w:cols w:equalWidth="0" w:num="1">
            <w:col w:w="10159"/>
          </w:cols>
          <w:pgMar w:left="300" w:top="404"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416"/>
        <w:spacing w:after="0"/>
        <w:tabs>
          <w:tab w:leader="none" w:pos="21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71,498,842 shares of Common Stock of the Company outstanding as of June 12, 2026.</w:t>
      </w:r>
    </w:p>
    <w:p>
      <w:pPr>
        <w:spacing w:after="0" w:line="20" w:lineRule="exact"/>
        <w:rPr>
          <w:rFonts w:ascii="Times New Roman" w:cs="Times New Roman" w:eastAsia="Times New Roman" w:hAnsi="Times New Roman"/>
          <w:sz w:val="14"/>
          <w:szCs w:val="14"/>
          <w:color w:val="auto"/>
        </w:rPr>
      </w:pPr>
    </w:p>
    <w:p>
      <w:pPr>
        <w:ind w:left="2140" w:right="339" w:hanging="416"/>
        <w:spacing w:after="0" w:line="248" w:lineRule="auto"/>
        <w:tabs>
          <w:tab w:leader="none" w:pos="21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87,500 shares of Common Stock held by Dr. Avi S. Katz, (ii) 9,932,246 shares of Common Stock held by GigAcquisitions7 Corp. (the “Sponsor”) and (iii) private warrants for the purchase of 3,719,000 shares of Common Stock held by the Sponsor. Such shares and warrants held by the Sponsor are jointly beneficially owned by Dr. Katz and Dr. Raluca Dinu, each of whom are directors of the Company, who both have the voting and dispositive power over the shares held by the Sponsor.</w:t>
      </w:r>
    </w:p>
    <w:p>
      <w:pPr>
        <w:spacing w:after="0" w:line="1" w:lineRule="exact"/>
        <w:rPr>
          <w:rFonts w:ascii="Times New Roman" w:cs="Times New Roman" w:eastAsia="Times New Roman" w:hAnsi="Times New Roman"/>
          <w:sz w:val="14"/>
          <w:szCs w:val="14"/>
          <w:color w:val="auto"/>
        </w:rPr>
      </w:pPr>
    </w:p>
    <w:p>
      <w:pPr>
        <w:jc w:val="both"/>
        <w:ind w:left="2140" w:right="359" w:hanging="416"/>
        <w:spacing w:after="0" w:line="248" w:lineRule="auto"/>
        <w:tabs>
          <w:tab w:leader="none" w:pos="21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22,797,000 shares of Common Stock held directly by Mr. Gibson, (ii) 20,249,584 shares of Common Stock held by Gibson Family Holdings LLC, and (iii) 427,491 shares of Common Stock held by SG 2026 Irrevocable Exempt Trust. Mr. Gibson has voting and dispositive power over the shares held by Gibson Family Holdings LLC and SG 2026 Irrevocable Exempt Trust.</w:t>
      </w:r>
    </w:p>
    <w:p>
      <w:pPr>
        <w:spacing w:after="0" w:line="1" w:lineRule="exact"/>
        <w:rPr>
          <w:rFonts w:ascii="Times New Roman" w:cs="Times New Roman" w:eastAsia="Times New Roman" w:hAnsi="Times New Roman"/>
          <w:sz w:val="14"/>
          <w:szCs w:val="14"/>
          <w:color w:val="auto"/>
        </w:rPr>
      </w:pPr>
    </w:p>
    <w:p>
      <w:pPr>
        <w:ind w:left="2140" w:right="419" w:hanging="416"/>
        <w:spacing w:after="0" w:line="248" w:lineRule="auto"/>
        <w:tabs>
          <w:tab w:leader="none" w:pos="21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87,500 shares of Common Stock held by Dr. Dinu, (ii) 9,932,246 shares of Common Stock held by the Sponsor and (iii) private warrants for the purchase of 3,719,000 shares of Common Stock held by the Sponsor. Such shares and warrants held by the Sponsor are jointly beneficially owned by Dr. Katz and Dr. Raluca Dinu, each of whom are directors of the Company, who both have the voting and dispositive power over the shares held by the Sponsor.</w:t>
      </w:r>
    </w:p>
    <w:p>
      <w:pPr>
        <w:spacing w:after="0" w:line="1" w:lineRule="exact"/>
        <w:rPr>
          <w:rFonts w:ascii="Times New Roman" w:cs="Times New Roman" w:eastAsia="Times New Roman" w:hAnsi="Times New Roman"/>
          <w:sz w:val="14"/>
          <w:szCs w:val="14"/>
          <w:color w:val="auto"/>
        </w:rPr>
      </w:pPr>
    </w:p>
    <w:p>
      <w:pPr>
        <w:ind w:left="2140" w:right="499" w:hanging="416"/>
        <w:spacing w:after="0" w:line="251" w:lineRule="auto"/>
        <w:tabs>
          <w:tab w:leader="none" w:pos="21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9,932,246 shares of Common Stock held by the Sponsor and (ii) private warrants for the purchase of 3,719,000 shares of Common Stock held by the Sponsor. Such shares and warrants held by the Sponsor are jointly beneficially owned by Dr. Katz and Dr. Dinu, each of whom are directors of the Company, who both have the voting and dispositive power over the shares held by the Sponsor.</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404"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75"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This prospectus also relates to the offer and sale from time to time by the Selling Securityholders of up to 57,432,395 shares of Common Stock and warrants to purchase up to 3,719,000 shares of Common Stock, consisting of (i) 10,207,246 Founder Shares initially acquired by our Sponsor, of which the Sponsor retains 9,932,246 shares and previously transferred 100,000 shares to the NY Philharmonic as a charitable contribution, and 175,000 shares to Yield Point, (ii) 3,126,087 Private Placement Shares, (iii) 44,099,062 Closing Shares, and (iv) 3,719,000 Private Warrants.</w:t>
      </w:r>
    </w:p>
    <w:p>
      <w:pPr>
        <w:spacing w:after="0" w:line="139"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which either acquired shares of our Common Stock from us (x) in private offerings pursuant to exemptions from registration under Section 4(a)(2) of the Securities Act in connection with a private placement concurrent with the IPO or (y) in connection with the Business Combination. Pursuant to the Amended and Restated Registration Rights Agreement and the Warrant Agreement, we agreed to file a registration statement with the SEC for the purposes of registering for resale (i) the Private Warrants, (ii) the shares of Common Stock that may be issued upon exercise of the Private Warrants and (iii) the shares of our Common Stock issued to the Selling Securityholders that are subject of the Amended and Restated Registration Rights Agreement.</w:t>
      </w:r>
    </w:p>
    <w:p>
      <w:pPr>
        <w:spacing w:after="0" w:line="145" w:lineRule="exact"/>
        <w:rPr>
          <w:sz w:val="20"/>
          <w:szCs w:val="20"/>
          <w:color w:val="auto"/>
        </w:rPr>
      </w:pPr>
    </w:p>
    <w:p>
      <w:pPr>
        <w:ind w:left="1400" w:right="319" w:firstLine="340"/>
        <w:spacing w:after="0" w:line="278" w:lineRule="auto"/>
        <w:rPr>
          <w:sz w:val="20"/>
          <w:szCs w:val="20"/>
          <w:color w:val="auto"/>
        </w:rPr>
      </w:pPr>
      <w:r>
        <w:rPr>
          <w:rFonts w:ascii="Times New Roman" w:cs="Times New Roman" w:eastAsia="Times New Roman" w:hAnsi="Times New Roman"/>
          <w:sz w:val="13"/>
          <w:szCs w:val="13"/>
          <w:color w:val="auto"/>
        </w:rPr>
        <w:t>Except as set forth in the footnotes below, the following table sets forth, based on written representations from the other Selling Securityholders, certain information as of June 12, 2026 regarding the beneficial ownership of our Common Stock and Warrants by the other Selling Securityholders and the shares of Common Stock being offered by the Selling Securityholders (“Registrable Securities”). The applicable percentage ownership of Common Stock is based on approximately 71,498,842 shares of Common Stock outstanding as of June 12, 2026. The number of shares issuable upon conversion of the Private Warrants represents management’s reasonable estimates based on information available at this time and are subject to update for actual VWAP and other market figures as of the applicable time of conversion, as well as any adjustments to the applicable conversion price.</w:t>
      </w:r>
    </w:p>
    <w:p>
      <w:pPr>
        <w:spacing w:after="0" w:line="129"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Information with respect to shares of Common Stock owned beneficially after the offering assumes the sale of all of the shares of Common Stock offered and no other purchases or sales of our Common Stock. The Selling Securityholders may offer and sell some, all or none of their shares of Common Stock, as applicable.</w:t>
      </w:r>
    </w:p>
    <w:p>
      <w:pPr>
        <w:spacing w:after="0" w:line="136"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39"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Up to (i) 20,000,000 shares of Common Stock issuable upon exercise of the Public Warrants and (ii) 5,000,000 shares of Common Stock issuable upon the exercise of the Hadron Private Warrants, both of which are also the subject of this prospectus are not included in the table below.</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5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center"/>
              <w:ind w:left="17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4"/>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Owned Prior to the</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tcPr>
          <w:p>
            <w:pPr>
              <w:jc w:val="center"/>
              <w:ind w:right="13"/>
              <w:spacing w:after="0" w:line="115"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500" w:type="dxa"/>
            <w:vAlign w:val="bottom"/>
            <w:gridSpan w:val="4"/>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Warrants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the Offering</w:t>
            </w:r>
          </w:p>
        </w:tc>
        <w:tc>
          <w:tcPr>
            <w:tcW w:w="0" w:type="dxa"/>
            <w:vAlign w:val="bottom"/>
          </w:tcPr>
          <w:p>
            <w:pPr>
              <w:spacing w:after="0"/>
              <w:rPr>
                <w:sz w:val="1"/>
                <w:szCs w:val="1"/>
                <w:color w:val="auto"/>
              </w:rPr>
            </w:pPr>
          </w:p>
        </w:tc>
      </w:tr>
      <w:tr>
        <w:trPr>
          <w:trHeight w:val="75"/>
        </w:trPr>
        <w:tc>
          <w:tcPr>
            <w:tcW w:w="14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4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Name of Selling Securityholder</w:t>
            </w:r>
          </w:p>
        </w:tc>
        <w:tc>
          <w:tcPr>
            <w:tcW w:w="144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4"/>
              </w:rPr>
              <w:t>% FN(34)</w:t>
            </w:r>
          </w:p>
        </w:tc>
        <w:tc>
          <w:tcPr>
            <w:tcW w:w="8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6"/>
              </w:rPr>
              <w:t>Being</w:t>
            </w:r>
          </w:p>
        </w:tc>
        <w:tc>
          <w:tcPr>
            <w:tcW w:w="7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Being</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8"/>
        </w:trPr>
        <w:tc>
          <w:tcPr>
            <w:tcW w:w="1480" w:type="dxa"/>
            <w:vAlign w:val="bottom"/>
            <w:tcBorders>
              <w:bottom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rPr>
              <w:t>Offered</w:t>
            </w:r>
          </w:p>
        </w:tc>
        <w:tc>
          <w:tcPr>
            <w:tcW w:w="74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56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GigAcquisitions7 Corp.</w:t>
            </w:r>
            <w:r>
              <w:rPr>
                <w:rFonts w:ascii="Times New Roman" w:cs="Times New Roman" w:eastAsia="Times New Roman" w:hAnsi="Times New Roman"/>
                <w:sz w:val="19"/>
                <w:szCs w:val="19"/>
                <w:color w:val="auto"/>
                <w:vertAlign w:val="superscript"/>
              </w:rPr>
              <w:t>(1)(2)(3)</w:t>
            </w:r>
          </w:p>
        </w:tc>
        <w:tc>
          <w:tcPr>
            <w:tcW w:w="1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gridSpan w:val="2"/>
            <w:vMerge w:val="continue"/>
            <w:shd w:val="clear" w:color="auto" w:fill="CCEEFF"/>
          </w:tcPr>
          <w:p>
            <w:pPr>
              <w:spacing w:after="0"/>
              <w:rPr>
                <w:sz w:val="12"/>
                <w:szCs w:val="12"/>
                <w:color w:val="auto"/>
              </w:rPr>
            </w:pPr>
          </w:p>
        </w:tc>
        <w:tc>
          <w:tcPr>
            <w:tcW w:w="166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13,651,246</w:t>
            </w:r>
          </w:p>
        </w:tc>
        <w:tc>
          <w:tcPr>
            <w:tcW w:w="14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23.1%</w:t>
            </w:r>
          </w:p>
        </w:tc>
        <w:tc>
          <w:tcPr>
            <w:tcW w:w="680" w:type="dxa"/>
            <w:vAlign w:val="bottom"/>
            <w:shd w:val="clear" w:color="auto" w:fill="CCEEFF"/>
          </w:tcPr>
          <w:p>
            <w:pPr>
              <w:ind w:left="60"/>
              <w:spacing w:after="0" w:line="148" w:lineRule="exact"/>
              <w:rPr>
                <w:sz w:val="20"/>
                <w:szCs w:val="20"/>
                <w:color w:val="auto"/>
              </w:rPr>
            </w:pPr>
            <w:r>
              <w:rPr>
                <w:rFonts w:ascii="Times New Roman" w:cs="Times New Roman" w:eastAsia="Times New Roman" w:hAnsi="Times New Roman"/>
                <w:sz w:val="14"/>
                <w:szCs w:val="14"/>
                <w:color w:val="auto"/>
                <w:w w:val="95"/>
              </w:rPr>
              <w:t>13,651,246</w:t>
            </w:r>
          </w:p>
        </w:tc>
        <w:tc>
          <w:tcPr>
            <w:tcW w:w="14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3,719,000</w:t>
            </w:r>
          </w:p>
        </w:tc>
        <w:tc>
          <w:tcPr>
            <w:tcW w:w="14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continue"/>
            <w:shd w:val="clear" w:color="auto" w:fill="CCEEFF"/>
          </w:tcPr>
          <w:p>
            <w:pPr>
              <w:spacing w:after="0"/>
              <w:rPr>
                <w:sz w:val="12"/>
                <w:szCs w:val="12"/>
                <w:color w:val="auto"/>
              </w:rPr>
            </w:pPr>
          </w:p>
        </w:tc>
        <w:tc>
          <w:tcPr>
            <w:tcW w:w="300" w:type="dxa"/>
            <w:vAlign w:val="bottom"/>
            <w:tcBorders>
              <w:left w:val="single" w:sz="8" w:color="CCEEFF"/>
              <w:right w:val="single" w:sz="8" w:color="CCEEFF"/>
            </w:tcBorders>
            <w:shd w:val="clear" w:color="auto" w:fill="CCEEFF"/>
          </w:tcPr>
          <w:p>
            <w:pPr>
              <w:jc w:val="right"/>
              <w:ind w:right="13"/>
              <w:spacing w:after="0" w:line="148" w:lineRule="exact"/>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67"/>
        </w:trPr>
        <w:tc>
          <w:tcPr>
            <w:tcW w:w="29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Dr. Avi S. Katz</w:t>
            </w:r>
            <w:r>
              <w:rPr>
                <w:rFonts w:ascii="Times New Roman" w:cs="Times New Roman" w:eastAsia="Times New Roman" w:hAnsi="Times New Roman"/>
                <w:sz w:val="19"/>
                <w:szCs w:val="19"/>
                <w:color w:val="auto"/>
                <w:vertAlign w:val="superscript"/>
              </w:rPr>
              <w:t>(1)(2)</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14,526,264</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23.1%</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13,651,246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3,719,000</w:t>
            </w:r>
          </w:p>
        </w:tc>
        <w:tc>
          <w:tcPr>
            <w:tcW w:w="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87,500</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Dr. Raluca Dinu</w:t>
            </w:r>
            <w:r>
              <w:rPr>
                <w:rFonts w:ascii="Times New Roman" w:cs="Times New Roman" w:eastAsia="Times New Roman" w:hAnsi="Times New Roman"/>
                <w:sz w:val="19"/>
                <w:szCs w:val="19"/>
                <w:color w:val="auto"/>
                <w:vertAlign w:val="superscript"/>
              </w:rPr>
              <w:t>(1)(2)</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14,526,264</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23.1%</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13,651,246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3,719,000</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87,500</w:t>
            </w:r>
          </w:p>
        </w:tc>
        <w:tc>
          <w:tcPr>
            <w:tcW w:w="300" w:type="dxa"/>
            <w:vAlign w:val="bottom"/>
            <w:tcBorders>
              <w:left w:val="single" w:sz="8" w:color="CCEEFF"/>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7"/>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Gibson</w:t>
            </w:r>
            <w:r>
              <w:rPr>
                <w:rFonts w:ascii="Times New Roman" w:cs="Times New Roman" w:eastAsia="Times New Roman" w:hAnsi="Times New Roman"/>
                <w:sz w:val="20"/>
                <w:szCs w:val="20"/>
                <w:color w:val="auto"/>
                <w:vertAlign w:val="superscript"/>
              </w:rPr>
              <w:t>(1)</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22,797,000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31.9%</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22,797,000</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107</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4"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520" w:type="dxa"/>
            <w:vAlign w:val="bottom"/>
            <w:gridSpan w:val="4"/>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Owned Prior to the</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4"/>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Owned After the</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Warrants</w:t>
            </w:r>
          </w:p>
        </w:tc>
        <w:tc>
          <w:tcPr>
            <w:tcW w:w="820" w:type="dxa"/>
            <w:vAlign w:val="bottom"/>
            <w:tcBorders>
              <w:bottom w:val="single" w:sz="8" w:color="auto"/>
            </w:tcBorders>
            <w:gridSpan w:val="2"/>
          </w:tcPr>
          <w:p>
            <w:pPr>
              <w:jc w:val="center"/>
              <w:ind w:left="172"/>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2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4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Name of Selling Securityholder</w:t>
            </w:r>
          </w:p>
        </w:tc>
        <w:tc>
          <w:tcPr>
            <w:tcW w:w="2740" w:type="dxa"/>
            <w:vAlign w:val="bottom"/>
            <w:vMerge w:val="restart"/>
          </w:tcPr>
          <w:p>
            <w:pPr>
              <w:spacing w:after="0"/>
              <w:rPr>
                <w:sz w:val="9"/>
                <w:szCs w:val="9"/>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 (34)</w:t>
            </w:r>
          </w:p>
        </w:tc>
        <w:tc>
          <w:tcPr>
            <w:tcW w:w="320" w:type="dxa"/>
            <w:vAlign w:val="bottom"/>
          </w:tcPr>
          <w:p>
            <w:pPr>
              <w:spacing w:after="0"/>
              <w:rPr>
                <w:sz w:val="9"/>
                <w:szCs w:val="9"/>
                <w:color w:val="auto"/>
              </w:rPr>
            </w:pPr>
          </w:p>
        </w:tc>
        <w:tc>
          <w:tcPr>
            <w:tcW w:w="8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6"/>
              </w:rPr>
              <w:t>Being</w:t>
            </w:r>
          </w:p>
        </w:tc>
        <w:tc>
          <w:tcPr>
            <w:tcW w:w="6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Being</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480" w:type="dxa"/>
            <w:vAlign w:val="bottom"/>
            <w:tcBorders>
              <w:bottom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rPr>
              <w:t>Offered</w:t>
            </w:r>
          </w:p>
        </w:tc>
        <w:tc>
          <w:tcPr>
            <w:tcW w:w="6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82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Gibson Family Holdings LLC</w:t>
            </w:r>
            <w:r>
              <w:rPr>
                <w:rFonts w:ascii="Times New Roman" w:cs="Times New Roman" w:eastAsia="Times New Roman" w:hAnsi="Times New Roman"/>
                <w:sz w:val="19"/>
                <w:szCs w:val="19"/>
                <w:color w:val="auto"/>
                <w:vertAlign w:val="superscript"/>
              </w:rPr>
              <w:t>(1)(4)</w:t>
            </w: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20" w:type="dxa"/>
            <w:vAlign w:val="bottom"/>
            <w:gridSpan w:val="2"/>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20,249,584</w:t>
            </w:r>
          </w:p>
        </w:tc>
        <w:tc>
          <w:tcPr>
            <w:tcW w:w="200" w:type="dxa"/>
            <w:vAlign w:val="bottom"/>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28.3%</w:t>
            </w: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20,249,584</w:t>
            </w:r>
          </w:p>
        </w:tc>
        <w:tc>
          <w:tcPr>
            <w:tcW w:w="22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ind w:left="240"/>
              <w:spacing w:after="0" w:line="148"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ind w:left="400"/>
              <w:spacing w:after="0" w:line="148"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4"/>
                <w:szCs w:val="14"/>
                <w:color w:val="auto"/>
                <w:w w:val="75"/>
              </w:rPr>
              <w:t>— </w:t>
            </w:r>
          </w:p>
        </w:tc>
        <w:tc>
          <w:tcPr>
            <w:tcW w:w="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SG 2026 Irrevocable Exempt Trust</w:t>
            </w:r>
            <w:r>
              <w:rPr>
                <w:rFonts w:ascii="Times New Roman" w:cs="Times New Roman" w:eastAsia="Times New Roman" w:hAnsi="Times New Roman"/>
                <w:sz w:val="19"/>
                <w:szCs w:val="19"/>
                <w:color w:val="auto"/>
                <w:vertAlign w:val="superscript"/>
              </w:rPr>
              <w:t>(1)(5)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427,491</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427,491</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Andrew Ward</w:t>
            </w:r>
            <w:r>
              <w:rPr>
                <w:rFonts w:ascii="Times New Roman" w:cs="Times New Roman" w:eastAsia="Times New Roman" w:hAnsi="Times New Roman"/>
                <w:sz w:val="19"/>
                <w:szCs w:val="19"/>
                <w:color w:val="auto"/>
                <w:vertAlign w:val="superscript"/>
              </w:rPr>
              <w:t>(1)(6)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124,997</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124,997</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Ross Ridenoure</w:t>
            </w:r>
            <w:r>
              <w:rPr>
                <w:rFonts w:ascii="Times New Roman" w:cs="Times New Roman" w:eastAsia="Times New Roman" w:hAnsi="Times New Roman"/>
                <w:sz w:val="19"/>
                <w:szCs w:val="19"/>
                <w:color w:val="auto"/>
                <w:vertAlign w:val="superscript"/>
              </w:rPr>
              <w:t>(1)(6)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499,990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499,990</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Yield Point NY LLC</w:t>
            </w:r>
            <w:r>
              <w:rPr>
                <w:rFonts w:ascii="Times New Roman" w:cs="Times New Roman" w:eastAsia="Times New Roman" w:hAnsi="Times New Roman"/>
                <w:sz w:val="19"/>
                <w:szCs w:val="19"/>
                <w:color w:val="auto"/>
                <w:vertAlign w:val="superscript"/>
              </w:rPr>
              <w:t>(7)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1,125,000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52"/>
        </w:trPr>
        <w:tc>
          <w:tcPr>
            <w:tcW w:w="42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Philharmonic-Symphonic Society of</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4"/>
                <w:szCs w:val="14"/>
                <w:color w:val="auto"/>
              </w:rPr>
              <w:t>New York</w:t>
            </w:r>
            <w:r>
              <w:rPr>
                <w:rFonts w:ascii="Times New Roman" w:cs="Times New Roman" w:eastAsia="Times New Roman" w:hAnsi="Times New Roman"/>
                <w:sz w:val="20"/>
                <w:szCs w:val="20"/>
                <w:color w:val="auto"/>
                <w:vertAlign w:val="superscript"/>
              </w:rPr>
              <w:t>(8)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tcPr>
          <w:p>
            <w:pPr>
              <w:spacing w:after="0"/>
              <w:rPr>
                <w:sz w:val="15"/>
                <w:szCs w:val="15"/>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Meteora Strategic Capital, LLC</w:t>
            </w:r>
            <w:r>
              <w:rPr>
                <w:rFonts w:ascii="Times New Roman" w:cs="Times New Roman" w:eastAsia="Times New Roman" w:hAnsi="Times New Roman"/>
                <w:sz w:val="19"/>
                <w:szCs w:val="19"/>
                <w:color w:val="auto"/>
                <w:vertAlign w:val="superscript"/>
              </w:rPr>
              <w:t>(9)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509,305</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441,305</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Meteora Select Trading Opportunities Master, LP</w:t>
            </w:r>
            <w:r>
              <w:rPr>
                <w:rFonts w:ascii="Times New Roman" w:cs="Times New Roman" w:eastAsia="Times New Roman" w:hAnsi="Times New Roman"/>
                <w:sz w:val="19"/>
                <w:szCs w:val="19"/>
                <w:color w:val="auto"/>
                <w:vertAlign w:val="superscript"/>
              </w:rPr>
              <w:t>(10)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601,305</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141,305</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460,000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Centiva Master Fund, LP</w:t>
            </w:r>
            <w:r>
              <w:rPr>
                <w:rFonts w:ascii="Times New Roman" w:cs="Times New Roman" w:eastAsia="Times New Roman" w:hAnsi="Times New Roman"/>
                <w:sz w:val="19"/>
                <w:szCs w:val="19"/>
                <w:color w:val="auto"/>
                <w:vertAlign w:val="superscript"/>
              </w:rPr>
              <w:t>(11)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282,609</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282,609</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Kepos Alpha Master Fund L.P.</w:t>
            </w:r>
            <w:r>
              <w:rPr>
                <w:rFonts w:ascii="Times New Roman" w:cs="Times New Roman" w:eastAsia="Times New Roman" w:hAnsi="Times New Roman"/>
                <w:sz w:val="19"/>
                <w:szCs w:val="19"/>
                <w:color w:val="auto"/>
                <w:vertAlign w:val="superscript"/>
              </w:rPr>
              <w:t>(12)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229,652</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229,652</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52"/>
        </w:trPr>
        <w:tc>
          <w:tcPr>
            <w:tcW w:w="42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Kepos Special Opportunities Master</w:t>
            </w: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4"/>
                <w:szCs w:val="14"/>
                <w:color w:val="auto"/>
              </w:rPr>
              <w:t>Fund L.P.</w:t>
            </w:r>
            <w:r>
              <w:rPr>
                <w:rFonts w:ascii="Times New Roman" w:cs="Times New Roman" w:eastAsia="Times New Roman" w:hAnsi="Times New Roman"/>
                <w:sz w:val="20"/>
                <w:szCs w:val="20"/>
                <w:color w:val="auto"/>
                <w:vertAlign w:val="superscript"/>
              </w:rPr>
              <w:t>(13)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52,957</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52,957</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PICTON Arbitrage Fund</w:t>
            </w:r>
            <w:r>
              <w:rPr>
                <w:rFonts w:ascii="Times New Roman" w:cs="Times New Roman" w:eastAsia="Times New Roman" w:hAnsi="Times New Roman"/>
                <w:sz w:val="19"/>
                <w:szCs w:val="19"/>
                <w:color w:val="auto"/>
                <w:vertAlign w:val="superscript"/>
              </w:rPr>
              <w:t>(14)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2,230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PICTON Arbitrage Plus Fund</w:t>
            </w:r>
            <w:r>
              <w:rPr>
                <w:rFonts w:ascii="Times New Roman" w:cs="Times New Roman" w:eastAsia="Times New Roman" w:hAnsi="Times New Roman"/>
                <w:sz w:val="19"/>
                <w:szCs w:val="19"/>
                <w:color w:val="auto"/>
                <w:vertAlign w:val="superscript"/>
              </w:rPr>
              <w:t>(15)</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19,805</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19,805</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52"/>
        </w:trPr>
        <w:tc>
          <w:tcPr>
            <w:tcW w:w="42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PICTON Arbitrage Alternative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4"/>
                <w:szCs w:val="14"/>
                <w:color w:val="auto"/>
              </w:rPr>
              <w:t>Fund</w:t>
            </w:r>
            <w:r>
              <w:rPr>
                <w:rFonts w:ascii="Times New Roman" w:cs="Times New Roman" w:eastAsia="Times New Roman" w:hAnsi="Times New Roman"/>
                <w:sz w:val="20"/>
                <w:szCs w:val="20"/>
                <w:color w:val="auto"/>
                <w:vertAlign w:val="superscript"/>
              </w:rPr>
              <w:t>(16)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9,771</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9,771</w:t>
            </w:r>
          </w:p>
        </w:tc>
        <w:tc>
          <w:tcPr>
            <w:tcW w:w="220" w:type="dxa"/>
            <w:vAlign w:val="bottom"/>
          </w:tcPr>
          <w:p>
            <w:pPr>
              <w:spacing w:after="0"/>
              <w:rPr>
                <w:sz w:val="15"/>
                <w:szCs w:val="15"/>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52"/>
        </w:trPr>
        <w:tc>
          <w:tcPr>
            <w:tcW w:w="42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PICTON Arbitrage Plus Alternative</w:t>
            </w: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4"/>
                <w:szCs w:val="14"/>
                <w:color w:val="auto"/>
              </w:rPr>
              <w:t>Fund</w:t>
            </w:r>
            <w:r>
              <w:rPr>
                <w:rFonts w:ascii="Times New Roman" w:cs="Times New Roman" w:eastAsia="Times New Roman" w:hAnsi="Times New Roman"/>
                <w:sz w:val="20"/>
                <w:szCs w:val="20"/>
                <w:color w:val="auto"/>
                <w:vertAlign w:val="superscript"/>
              </w:rPr>
              <w:t>(17)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109,498</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109,498</w:t>
            </w: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Stichting Jurisdisch Eigendom Mint Tower Arbitrage Fund</w:t>
            </w:r>
            <w:r>
              <w:rPr>
                <w:rFonts w:ascii="Times New Roman" w:cs="Times New Roman" w:eastAsia="Times New Roman" w:hAnsi="Times New Roman"/>
                <w:sz w:val="19"/>
                <w:szCs w:val="19"/>
                <w:color w:val="auto"/>
                <w:vertAlign w:val="superscript"/>
              </w:rPr>
              <w:t>(18)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141,304</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141,304</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Violet Hill Generation Fund</w:t>
            </w:r>
            <w:r>
              <w:rPr>
                <w:rFonts w:ascii="Times New Roman" w:cs="Times New Roman" w:eastAsia="Times New Roman" w:hAnsi="Times New Roman"/>
                <w:sz w:val="19"/>
                <w:szCs w:val="19"/>
                <w:color w:val="auto"/>
                <w:vertAlign w:val="superscript"/>
              </w:rPr>
              <w:t>(19)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141,304</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141,304</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Harraden Circle Investors, L.P.</w:t>
            </w:r>
            <w:r>
              <w:rPr>
                <w:rFonts w:ascii="Times New Roman" w:cs="Times New Roman" w:eastAsia="Times New Roman" w:hAnsi="Times New Roman"/>
                <w:sz w:val="19"/>
                <w:szCs w:val="19"/>
                <w:color w:val="auto"/>
                <w:vertAlign w:val="superscript"/>
              </w:rPr>
              <w:t>(20)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141,304</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141,304</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Harraden Circle Special Opportunities, L.P.</w:t>
            </w:r>
            <w:r>
              <w:rPr>
                <w:rFonts w:ascii="Times New Roman" w:cs="Times New Roman" w:eastAsia="Times New Roman" w:hAnsi="Times New Roman"/>
                <w:sz w:val="19"/>
                <w:szCs w:val="19"/>
                <w:color w:val="auto"/>
                <w:vertAlign w:val="superscript"/>
              </w:rPr>
              <w:t>(21)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113,044</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113,044</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52"/>
        </w:trPr>
        <w:tc>
          <w:tcPr>
            <w:tcW w:w="42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Altana Calderwood Specialist Alpha</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4"/>
                <w:szCs w:val="14"/>
                <w:color w:val="auto"/>
              </w:rPr>
              <w:t>Fund</w:t>
            </w:r>
            <w:r>
              <w:rPr>
                <w:rFonts w:ascii="Times New Roman" w:cs="Times New Roman" w:eastAsia="Times New Roman" w:hAnsi="Times New Roman"/>
                <w:sz w:val="20"/>
                <w:szCs w:val="20"/>
                <w:color w:val="auto"/>
                <w:vertAlign w:val="superscript"/>
              </w:rPr>
              <w:t>(22)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28,261</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28,261</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The K2 Principal Fund L.P.</w:t>
            </w:r>
            <w:r>
              <w:rPr>
                <w:rFonts w:ascii="Times New Roman" w:cs="Times New Roman" w:eastAsia="Times New Roman" w:hAnsi="Times New Roman"/>
                <w:sz w:val="19"/>
                <w:szCs w:val="19"/>
                <w:color w:val="auto"/>
                <w:vertAlign w:val="superscript"/>
              </w:rPr>
              <w:t>(23)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141,304</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141,304</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YA II PN, LTD.</w:t>
            </w:r>
            <w:r>
              <w:rPr>
                <w:rFonts w:ascii="Times New Roman" w:cs="Times New Roman" w:eastAsia="Times New Roman" w:hAnsi="Times New Roman"/>
                <w:sz w:val="19"/>
                <w:szCs w:val="19"/>
                <w:color w:val="auto"/>
                <w:vertAlign w:val="superscript"/>
              </w:rPr>
              <w:t>(24)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407,608</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282,608</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125,000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Nautilus Master Fund, L.P.</w:t>
            </w:r>
            <w:r>
              <w:rPr>
                <w:rFonts w:ascii="Times New Roman" w:cs="Times New Roman" w:eastAsia="Times New Roman" w:hAnsi="Times New Roman"/>
                <w:sz w:val="19"/>
                <w:szCs w:val="19"/>
                <w:color w:val="auto"/>
                <w:vertAlign w:val="superscript"/>
              </w:rPr>
              <w:t>(25)</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141,304</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141,304</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AQR APEX MS Master Account, L.P.</w:t>
            </w:r>
            <w:r>
              <w:rPr>
                <w:rFonts w:ascii="Times New Roman" w:cs="Times New Roman" w:eastAsia="Times New Roman" w:hAnsi="Times New Roman"/>
                <w:sz w:val="19"/>
                <w:szCs w:val="19"/>
                <w:color w:val="auto"/>
                <w:vertAlign w:val="superscript"/>
              </w:rPr>
              <w:t>(26)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19,998</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19,998</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AQR Absolute Return Master Account, LP.</w:t>
            </w:r>
            <w:r>
              <w:rPr>
                <w:rFonts w:ascii="Times New Roman" w:cs="Times New Roman" w:eastAsia="Times New Roman" w:hAnsi="Times New Roman"/>
                <w:sz w:val="19"/>
                <w:szCs w:val="19"/>
                <w:color w:val="auto"/>
                <w:vertAlign w:val="superscript"/>
              </w:rPr>
              <w:t>(27)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27,893</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27,893</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AQR Corporate Arbitrage Master Account, L.P.</w:t>
            </w:r>
            <w:r>
              <w:rPr>
                <w:rFonts w:ascii="Times New Roman" w:cs="Times New Roman" w:eastAsia="Times New Roman" w:hAnsi="Times New Roman"/>
                <w:sz w:val="19"/>
                <w:szCs w:val="19"/>
                <w:color w:val="auto"/>
                <w:vertAlign w:val="superscript"/>
              </w:rPr>
              <w:t>(28)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24,209</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24,209</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AQR Funds – AQR Diversified Arbitrage Fund</w:t>
            </w:r>
            <w:r>
              <w:rPr>
                <w:rFonts w:ascii="Times New Roman" w:cs="Times New Roman" w:eastAsia="Times New Roman" w:hAnsi="Times New Roman"/>
                <w:sz w:val="19"/>
                <w:szCs w:val="19"/>
                <w:color w:val="auto"/>
                <w:vertAlign w:val="superscript"/>
              </w:rPr>
              <w:t>(29)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68,416</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68,416</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AQR Global Alternative Investment Offshore Fund, L.P.</w:t>
            </w:r>
            <w:r>
              <w:rPr>
                <w:rFonts w:ascii="Times New Roman" w:cs="Times New Roman" w:eastAsia="Times New Roman" w:hAnsi="Times New Roman"/>
                <w:sz w:val="19"/>
                <w:szCs w:val="19"/>
                <w:color w:val="auto"/>
                <w:vertAlign w:val="superscript"/>
              </w:rPr>
              <w:t>(30)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137,357</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137,357</w:t>
            </w:r>
          </w:p>
        </w:tc>
        <w:tc>
          <w:tcPr>
            <w:tcW w:w="22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AQR SPAC Opportunities Offshore Fund, L.P.</w:t>
            </w:r>
            <w:r>
              <w:rPr>
                <w:rFonts w:ascii="Times New Roman" w:cs="Times New Roman" w:eastAsia="Times New Roman" w:hAnsi="Times New Roman"/>
                <w:sz w:val="19"/>
                <w:szCs w:val="19"/>
                <w:color w:val="auto"/>
                <w:vertAlign w:val="superscript"/>
              </w:rPr>
              <w:t>(31)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4,736</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52"/>
        </w:trPr>
        <w:tc>
          <w:tcPr>
            <w:tcW w:w="42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L1 Capital Global Opportunities Master</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21"/>
                <w:szCs w:val="21"/>
                <w:color w:val="auto"/>
                <w:vertAlign w:val="subscript"/>
              </w:rPr>
              <w:t>Fund</w:t>
            </w:r>
            <w:r>
              <w:rPr>
                <w:rFonts w:ascii="Times New Roman" w:cs="Times New Roman" w:eastAsia="Times New Roman" w:hAnsi="Times New Roman"/>
                <w:sz w:val="9"/>
                <w:szCs w:val="9"/>
                <w:color w:val="auto"/>
              </w:rPr>
              <w:t>(32)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141,304</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141,304</w:t>
            </w:r>
          </w:p>
        </w:tc>
        <w:tc>
          <w:tcPr>
            <w:tcW w:w="220" w:type="dxa"/>
            <w:vAlign w:val="bottom"/>
          </w:tcPr>
          <w:p>
            <w:pPr>
              <w:spacing w:after="0"/>
              <w:rPr>
                <w:sz w:val="15"/>
                <w:szCs w:val="15"/>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75"/>
              </w:rPr>
              <w:t>— </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Map 136 Segregated Portfolio</w:t>
            </w:r>
            <w:r>
              <w:rPr>
                <w:rFonts w:ascii="Times New Roman" w:cs="Times New Roman" w:eastAsia="Times New Roman" w:hAnsi="Times New Roman"/>
                <w:sz w:val="19"/>
                <w:szCs w:val="19"/>
                <w:color w:val="auto"/>
                <w:vertAlign w:val="superscript"/>
              </w:rPr>
              <w:t>(33)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1,086,710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239,951</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845,759</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7"/>
        </w:trPr>
        <w:tc>
          <w:tcPr>
            <w:tcW w:w="4220" w:type="dxa"/>
            <w:vAlign w:val="bottom"/>
            <w:gridSpan w:val="2"/>
          </w:tcPr>
          <w:p>
            <w:pPr>
              <w:spacing w:after="0" w:line="167" w:lineRule="exact"/>
              <w:rPr>
                <w:sz w:val="20"/>
                <w:szCs w:val="20"/>
                <w:color w:val="auto"/>
              </w:rPr>
            </w:pPr>
            <w:r>
              <w:rPr>
                <w:rFonts w:ascii="Times New Roman" w:cs="Times New Roman" w:eastAsia="Times New Roman" w:hAnsi="Times New Roman"/>
                <w:sz w:val="13"/>
                <w:szCs w:val="13"/>
                <w:color w:val="auto"/>
              </w:rPr>
              <w:t>Yakira Partners, L.P.</w:t>
            </w:r>
            <w:r>
              <w:rPr>
                <w:rFonts w:ascii="Times New Roman" w:cs="Times New Roman" w:eastAsia="Times New Roman" w:hAnsi="Times New Roman"/>
                <w:sz w:val="19"/>
                <w:szCs w:val="19"/>
                <w:color w:val="auto"/>
                <w:vertAlign w:val="superscript"/>
              </w:rPr>
              <w:t>(33)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197,782</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39,992</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157,790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White Oaks Long-Short Portfolio, LLC</w:t>
            </w:r>
            <w:r>
              <w:rPr>
                <w:rFonts w:ascii="Times New Roman" w:cs="Times New Roman" w:eastAsia="Times New Roman" w:hAnsi="Times New Roman"/>
                <w:sz w:val="19"/>
                <w:szCs w:val="19"/>
                <w:color w:val="auto"/>
                <w:vertAlign w:val="superscript"/>
              </w:rPr>
              <w:t>(33)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44,335</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41,669</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980" w:hanging="590"/>
        <w:spacing w:after="0"/>
        <w:tabs>
          <w:tab w:leader="none" w:pos="19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21" w:lineRule="exact"/>
        <w:rPr>
          <w:sz w:val="20"/>
          <w:szCs w:val="20"/>
          <w:color w:val="auto"/>
        </w:rPr>
      </w:pPr>
    </w:p>
    <w:p>
      <w:pPr>
        <w:ind w:left="5540" w:right="2619" w:hanging="4150"/>
        <w:spacing w:after="0" w:line="428" w:lineRule="auto"/>
        <w:tabs>
          <w:tab w:leader="none" w:pos="198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for this person is 3 Twin Dolphin Drive, Suite 260, Redwood City, CA 94065. 108</w:t>
      </w:r>
    </w:p>
    <w:p>
      <w:pPr>
        <w:sectPr>
          <w:pgSz w:w="11900" w:h="16838" w:orient="portrait"/>
          <w:cols w:equalWidth="0" w:num="1">
            <w:col w:w="10159"/>
          </w:cols>
          <w:pgMar w:left="300" w:top="404"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060" w:right="259" w:hanging="670"/>
        <w:spacing w:after="0" w:line="251"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9,932,246 shares of Common Stock held by the Sponsor and 3,719,000 shares of Common Stock underlying the Private Warrants. The shares held by GigAcquisitions7 Corp. are beneficially owned by Dr. Avi S. Katz and Dr. Raluca Dinu who are managers of the Sponsor and who have sole voting and dispositive power over the shares held by GigAcquisitions7 Corp. Dr. Katz is the Executive Chairman of our Board and Dr. Dinu is a member of our Board and both Dr. Katz and Dr. Dinu founded GigCapital7 Corp. Prior to the Closing of the Business Combination, Dr. Katz served as Chairman GigCapital7 Corp.’s board of directors and Dr. Dinu served as a member of the board of directors of GigCapital7 Corp. See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 9,932,246 shares of Common Stock held by the Sponsor were initially acquired in connection with our predecessor’s formation and were purchased for approximately $0.008 per share.</w:t>
      </w:r>
    </w:p>
    <w:p>
      <w:pPr>
        <w:spacing w:after="0" w:line="4" w:lineRule="exact"/>
        <w:rPr>
          <w:rFonts w:ascii="Times New Roman" w:cs="Times New Roman" w:eastAsia="Times New Roman" w:hAnsi="Times New Roman"/>
          <w:sz w:val="14"/>
          <w:szCs w:val="14"/>
          <w:color w:val="auto"/>
        </w:rPr>
      </w:pPr>
    </w:p>
    <w:p>
      <w:pPr>
        <w:ind w:left="2060" w:hanging="670"/>
        <w:spacing w:after="0"/>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warrants to purchase 3,719,000 shares of Common Stock.</w:t>
      </w:r>
    </w:p>
    <w:p>
      <w:pPr>
        <w:spacing w:after="0" w:line="5" w:lineRule="exact"/>
        <w:rPr>
          <w:rFonts w:ascii="Times New Roman" w:cs="Times New Roman" w:eastAsia="Times New Roman" w:hAnsi="Times New Roman"/>
          <w:sz w:val="14"/>
          <w:szCs w:val="14"/>
          <w:color w:val="auto"/>
        </w:rPr>
      </w:pPr>
    </w:p>
    <w:p>
      <w:pPr>
        <w:ind w:left="2060" w:right="65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Samuel Gibson has full voting and dispositive power of the shares held by Gibson Family Holdings LLC. The address for this Selling SecurityHolder is 3 Twin Dolphin Dr, STE 260, Redwood City, CA 94065.</w:t>
      </w:r>
    </w:p>
    <w:p>
      <w:pPr>
        <w:ind w:left="2060" w:right="59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Samuel Gibson has full voting and dispositive power of the shares held by the SG 2026 Irrevocable Exempt Trust. The address for this Selling SecurityHolder is 3 Twin Dolphin Dr, STE 260, Redwood City, CA 94065.</w:t>
      </w:r>
    </w:p>
    <w:p>
      <w:pPr>
        <w:ind w:left="2060" w:right="27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were acquired pursuant to a Restricted Stock Purchase Award Agreement dated February 13, 2026, and are subject to a right of repurchase by the Company which shall lapse in accordance with the vesting schedule. Effective as of the closing of the Merger, on May 22, 2026, the right of repurchase with respect to one tenth (1/10) of the shares lapsed. On August 29, 2026, the right of repurchase with respect to an additional one-fourth (1/4) shall lapse. Beginning the end of September 2026 and continuing at the end of each full month thereafter, the right of repurchase with respect to one-forty eighth (1/48) of the shares shall lapse until such time as the Company no longer has a right of repurchase as a result of the full vesting of the shares.</w:t>
      </w:r>
    </w:p>
    <w:p>
      <w:pPr>
        <w:spacing w:after="0" w:line="2" w:lineRule="exact"/>
        <w:rPr>
          <w:rFonts w:ascii="Times New Roman" w:cs="Times New Roman" w:eastAsia="Times New Roman" w:hAnsi="Times New Roman"/>
          <w:sz w:val="14"/>
          <w:szCs w:val="14"/>
          <w:color w:val="auto"/>
        </w:rPr>
      </w:pPr>
    </w:p>
    <w:p>
      <w:pPr>
        <w:ind w:left="2060" w:right="39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 Kluger has voting and investment control of the shares held by Yield Point NY LLC. The address for this Selling SecurityHolder is 23 Tammy Road, Spring Valley, NY 10977.</w:t>
      </w:r>
    </w:p>
    <w:p>
      <w:pPr>
        <w:ind w:left="2060" w:hanging="670"/>
        <w:spacing w:after="0"/>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this Selling SecurityHolder is David Geffen Hall, 10 Lincoln Center Plaza, New York, NY 10023.</w:t>
      </w:r>
    </w:p>
    <w:p>
      <w:pPr>
        <w:spacing w:after="0" w:line="5" w:lineRule="exact"/>
        <w:rPr>
          <w:rFonts w:ascii="Times New Roman" w:cs="Times New Roman" w:eastAsia="Times New Roman" w:hAnsi="Times New Roman"/>
          <w:sz w:val="14"/>
          <w:szCs w:val="14"/>
          <w:color w:val="auto"/>
        </w:rPr>
      </w:pPr>
    </w:p>
    <w:p>
      <w:pPr>
        <w:ind w:left="2060" w:right="47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Vikas Mittal may be deemed to have sole voting and dispositive power with respect to the shares held by Meteora Strategic Capital LLC. Mr. Mittal disclaims beneficial ownership of these securities, except to the extent of any pecuniary interest therein. The address for this Selling SecurityHolder is 1200 N Federal Hwy, STE 200 Boca Raton, FL 33432.</w:t>
      </w:r>
    </w:p>
    <w:p>
      <w:pPr>
        <w:spacing w:after="0" w:line="1" w:lineRule="exact"/>
        <w:rPr>
          <w:rFonts w:ascii="Times New Roman" w:cs="Times New Roman" w:eastAsia="Times New Roman" w:hAnsi="Times New Roman"/>
          <w:sz w:val="14"/>
          <w:szCs w:val="14"/>
          <w:color w:val="auto"/>
        </w:rPr>
      </w:pPr>
    </w:p>
    <w:p>
      <w:pPr>
        <w:ind w:left="2060" w:right="69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Vikas Mittal may be deemed to have sole voting and dispositive power with respect to the shares held by Meteora Select Trading Opportunities Master, LP. Mr. Mittal disclaims beneficial ownership of these securities, except to the extent of any pecuniary interest therein. The address for this Selling SecurityHolder is 71 Fort St Grand Cayman, KY1-1106 Cayman Islands.</w:t>
      </w:r>
    </w:p>
    <w:p>
      <w:pPr>
        <w:spacing w:after="0" w:line="1" w:lineRule="exact"/>
        <w:rPr>
          <w:rFonts w:ascii="Times New Roman" w:cs="Times New Roman" w:eastAsia="Times New Roman" w:hAnsi="Times New Roman"/>
          <w:sz w:val="14"/>
          <w:szCs w:val="14"/>
          <w:color w:val="auto"/>
        </w:rPr>
      </w:pPr>
    </w:p>
    <w:p>
      <w:pPr>
        <w:ind w:left="2060" w:right="27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Centiva Capital, LP is the investment manager of Centiva Master Fund, LP and has the voting and investment discretion over securities held by Centiva Master Fund, LP. The address for this Selling Securityholder is 190 Elgin Avenue, George Town, Grand Cayman KY1-9008 Cayman Islands.</w:t>
      </w:r>
    </w:p>
    <w:p>
      <w:pPr>
        <w:spacing w:after="0" w:line="1" w:lineRule="exact"/>
        <w:rPr>
          <w:rFonts w:ascii="Times New Roman" w:cs="Times New Roman" w:eastAsia="Times New Roman" w:hAnsi="Times New Roman"/>
          <w:sz w:val="14"/>
          <w:szCs w:val="14"/>
          <w:color w:val="auto"/>
        </w:rPr>
      </w:pPr>
    </w:p>
    <w:p>
      <w:pPr>
        <w:ind w:left="2060" w:right="439" w:hanging="670"/>
        <w:spacing w:after="0" w:line="248" w:lineRule="auto"/>
        <w:tabs>
          <w:tab w:leader="none" w:pos="2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spacing w:after="0" w:line="2" w:lineRule="exact"/>
        <w:rPr>
          <w:rFonts w:ascii="Times New Roman" w:cs="Times New Roman" w:eastAsia="Times New Roman" w:hAnsi="Times New Roman"/>
          <w:sz w:val="14"/>
          <w:szCs w:val="14"/>
          <w:color w:val="auto"/>
        </w:rPr>
      </w:pPr>
    </w:p>
    <w:p>
      <w:pPr>
        <w:ind w:left="2060" w:right="559" w:hanging="670"/>
        <w:spacing w:after="0" w:line="281" w:lineRule="auto"/>
        <w:tabs>
          <w:tab w:leader="none" w:pos="206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404"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2060" w:right="439"/>
        <w:spacing w:after="0" w:line="256" w:lineRule="auto"/>
        <w:rPr>
          <w:sz w:val="20"/>
          <w:szCs w:val="20"/>
          <w:color w:val="auto"/>
        </w:rPr>
      </w:pPr>
      <w:r>
        <w:rPr>
          <w:rFonts w:ascii="Times New Roman" w:cs="Times New Roman" w:eastAsia="Times New Roman" w:hAnsi="Times New Roman"/>
          <w:sz w:val="14"/>
          <w:szCs w:val="14"/>
          <w:color w:val="auto"/>
        </w:rPr>
        <w:t>(“Kepos MM”).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ind w:left="2060" w:right="39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PICTON Investments has voting power for PICTON Arbitrage Fund. The address of this Selling SecurityHolder is 33 Yonge St, Suite 320 Toronto ON M5E 1G4.</w:t>
      </w:r>
    </w:p>
    <w:p>
      <w:pPr>
        <w:ind w:left="2060" w:right="35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PICTON Investments has voting power for PICTON Arbitrage Plus Fund. The address of this Selling SecurityHolder is 33 Yonge St, Suite 320 Toronto ON M5E 1G4.</w:t>
      </w:r>
    </w:p>
    <w:p>
      <w:pPr>
        <w:ind w:left="2060" w:right="29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PICTON Investments has voting power for PICTON Arbitrage Alternative Fund. The address of this Selling SecurityHolder is 33 Yonge St, Suite 320 Toronto ON M5E 1G4.</w:t>
      </w:r>
    </w:p>
    <w:p>
      <w:pPr>
        <w:ind w:left="2060" w:right="59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PICTON Investments has voting power for PICTON Arbitrage Plus Alternative Fund. The address of this Selling SecurityHolder is 33 Yonge St, Suite 320 Toronto ON M5E 1G4.</w:t>
      </w:r>
    </w:p>
    <w:p>
      <w:pPr>
        <w:ind w:left="2060" w:hanging="670"/>
        <w:spacing w:after="0"/>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Joris Hoedemackers is the director of this Selling SecurityHolder. The address of this Selling SecurityHolder is Beursplein 5, Amsterdam.</w:t>
      </w:r>
    </w:p>
    <w:p>
      <w:pPr>
        <w:spacing w:after="0" w:line="5" w:lineRule="exact"/>
        <w:rPr>
          <w:rFonts w:ascii="Times New Roman" w:cs="Times New Roman" w:eastAsia="Times New Roman" w:hAnsi="Times New Roman"/>
          <w:sz w:val="14"/>
          <w:szCs w:val="14"/>
          <w:color w:val="auto"/>
        </w:rPr>
      </w:pPr>
    </w:p>
    <w:p>
      <w:pPr>
        <w:ind w:left="2060" w:right="31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this Selling SecurityHolder is Campbells Corporate Services Limited, Floor 4, Willow House, Cricket Square, PO Box 268, Grand Cayman, KY1-1104, Cayman Islands.</w:t>
      </w:r>
    </w:p>
    <w:p>
      <w:pPr>
        <w:ind w:left="2060" w:right="35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Harraden Circle Investors, LP is Harraden Circle Investors GP, LP, the general partner of Harraden Circle Investors GP, LP is Harraden Circle Investors GP, LLC, and Frederick V. Fortmiller, Jr. is the managing member of the general partner of the general partner. The address for this Selling SecurityHolder is Harraden Circle Investors, LP, 885 Third Avenue, Suite 2600B, New York, NY 10022.</w:t>
      </w:r>
    </w:p>
    <w:p>
      <w:pPr>
        <w:spacing w:after="0" w:line="1" w:lineRule="exact"/>
        <w:rPr>
          <w:rFonts w:ascii="Times New Roman" w:cs="Times New Roman" w:eastAsia="Times New Roman" w:hAnsi="Times New Roman"/>
          <w:sz w:val="14"/>
          <w:szCs w:val="14"/>
          <w:color w:val="auto"/>
        </w:rPr>
      </w:pPr>
    </w:p>
    <w:p>
      <w:pPr>
        <w:ind w:left="2060" w:right="31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Harraden Circle Special Opportunities, LP is Harraden Circle Investors GP, LP, the general partner of Harraden Circle Investors GP, LP is Harraden Circle Investors GP, LLC, and Frederick V. Fortmiller, Jr. is the managing member of the general partner of the general partner. The address for this Selling SecurityHolder is Harraden Circle Investors, LP, 885 Third Avenue, Suite 2600B, New York, NY 10022.</w:t>
      </w:r>
    </w:p>
    <w:p>
      <w:pPr>
        <w:spacing w:after="0" w:line="1" w:lineRule="exact"/>
        <w:rPr>
          <w:rFonts w:ascii="Times New Roman" w:cs="Times New Roman" w:eastAsia="Times New Roman" w:hAnsi="Times New Roman"/>
          <w:sz w:val="14"/>
          <w:szCs w:val="14"/>
          <w:color w:val="auto"/>
        </w:rPr>
      </w:pPr>
    </w:p>
    <w:p>
      <w:pPr>
        <w:ind w:left="2060" w:right="25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subadvisor of Altana Calderwood Specialist Alpha Fund is Harraden Circle Investment, LLC, and Frederick V. Fortmiller, Jr. is the managing member of Harraden Circle Investment, LLC. The investment subadvisor of Altana Calderwood Specialist Alpha Fund is Harraden Circle Investment, LLC, and Frederick V. Fortmiller, Jr. is the managing member of Harraden Circle Investment, LLC.</w:t>
      </w:r>
    </w:p>
    <w:p>
      <w:pPr>
        <w:spacing w:after="0" w:line="1" w:lineRule="exact"/>
        <w:rPr>
          <w:rFonts w:ascii="Times New Roman" w:cs="Times New Roman" w:eastAsia="Times New Roman" w:hAnsi="Times New Roman"/>
          <w:sz w:val="14"/>
          <w:szCs w:val="14"/>
          <w:color w:val="auto"/>
        </w:rPr>
      </w:pPr>
    </w:p>
    <w:p>
      <w:pPr>
        <w:ind w:left="2060" w:right="49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Todd Sikorksi has voting and dispositive power for The K2 Principal Fund L.P. The address for this Selling SecurityHolder is 2 Bloor St West – Suite 801 Toronto, ON, M4W 3E2 Canada.</w:t>
      </w:r>
    </w:p>
    <w:p>
      <w:pPr>
        <w:ind w:left="2060" w:right="65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Mark Angelo makes investment decisions for YA II PN, Ltd. The business address of YA II PN, Ltd. is 1012 Springfield Avenue, Mountainside, NJ 07092.</w:t>
      </w:r>
    </w:p>
    <w:p>
      <w:pPr>
        <w:ind w:left="2060" w:right="53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Periscope Capital Inc. is the investment advisor to Nautilus Master Fund, L.P. The address of this Selling SecurityHolder is c/o 333 Bay Street, Suite 1240, Toronto, ON M5H 2R2.</w:t>
      </w:r>
    </w:p>
    <w:p>
      <w:pPr>
        <w:ind w:left="2060" w:right="279" w:hanging="670"/>
        <w:spacing w:after="0" w:line="248"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AQR APEX MS Master Account, L.P. is a Cayman Islands exempted limited partnership. AQR Apex MS GP, LLC, a Delaware limited liability company, is its general partner. AQR Capital Management, LLC and AQR Arbitrage, LLC, each a Delaware limited liability company, act as investment adviser to AQR APEX MS Master Account,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APEX MS Master Account, L.P. is One Greenwich Plaza, Suite 130, Greenwich, CT 06830.</w:t>
      </w:r>
    </w:p>
    <w:p>
      <w:pPr>
        <w:spacing w:after="0" w:line="4" w:lineRule="exact"/>
        <w:rPr>
          <w:rFonts w:ascii="Times New Roman" w:cs="Times New Roman" w:eastAsia="Times New Roman" w:hAnsi="Times New Roman"/>
          <w:sz w:val="14"/>
          <w:szCs w:val="14"/>
          <w:color w:val="auto"/>
        </w:rPr>
      </w:pPr>
    </w:p>
    <w:p>
      <w:pPr>
        <w:ind w:left="2060" w:right="539" w:hanging="670"/>
        <w:spacing w:after="0" w:line="251" w:lineRule="auto"/>
        <w:tabs>
          <w:tab w:leader="none" w:pos="2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AQR Absolute Return Master Account, L.P. is a Cayman Islands exempted limited partnership. AQR Principal Global Asset Allocation LLC, a Delaware limited liability company, is its general partner. AQR Capital Management, LLC and AQR Arbitrage, LLC, each a Delaware limited liability company, act as investment adviser to AQR Absolute Return Master Account, L.P. and have investment and dispositive power over the shares held by the fund. AQR Arbitrage, LLC is deemed to be controlled by</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404"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060" w:right="379"/>
        <w:spacing w:after="0" w:line="253" w:lineRule="auto"/>
        <w:rPr>
          <w:sz w:val="20"/>
          <w:szCs w:val="20"/>
          <w:color w:val="auto"/>
        </w:rPr>
      </w:pPr>
      <w:r>
        <w:rPr>
          <w:rFonts w:ascii="Times New Roman" w:cs="Times New Roman" w:eastAsia="Times New Roman" w:hAnsi="Times New Roman"/>
          <w:sz w:val="14"/>
          <w:szCs w:val="14"/>
          <w:color w:val="auto"/>
        </w:rPr>
        <w:t>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Absolute Return Master Account, L.P. is One Greenwich Plaza, Suite 130, Greenwich, CT 06830.</w:t>
      </w:r>
    </w:p>
    <w:p>
      <w:pPr>
        <w:spacing w:after="0" w:line="1" w:lineRule="exact"/>
        <w:rPr>
          <w:sz w:val="20"/>
          <w:szCs w:val="20"/>
          <w:color w:val="auto"/>
        </w:rPr>
      </w:pPr>
    </w:p>
    <w:p>
      <w:pPr>
        <w:ind w:left="2060" w:right="339" w:hanging="670"/>
        <w:spacing w:after="0" w:line="248" w:lineRule="auto"/>
        <w:tabs>
          <w:tab w:leader="none" w:pos="20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AQR Corporate Arbitrage Master Account, L.P. is a Cayman Islands exempted limited partnership. AQR Corporate Arbitrage GP, LLC, a Delaware limited liability company, is its general partner. AQR Capital Management, LLC and AQR Arbitrage, LLC, each a Delaware limited liability company, act as investment adviser to AQR Corporate Arbitrage Master Account,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Corporate Arbitrage Master Account, L.P. is One Greenwich Plaza, Suite 130, Greenwich, CT 06830.</w:t>
      </w:r>
    </w:p>
    <w:p>
      <w:pPr>
        <w:spacing w:after="0" w:line="4" w:lineRule="exact"/>
        <w:rPr>
          <w:rFonts w:ascii="Times New Roman" w:cs="Times New Roman" w:eastAsia="Times New Roman" w:hAnsi="Times New Roman"/>
          <w:sz w:val="14"/>
          <w:szCs w:val="14"/>
          <w:color w:val="auto"/>
        </w:rPr>
      </w:pPr>
    </w:p>
    <w:p>
      <w:pPr>
        <w:ind w:left="2060" w:right="339" w:hanging="670"/>
        <w:spacing w:after="0" w:line="248" w:lineRule="auto"/>
        <w:tabs>
          <w:tab w:leader="none" w:pos="20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AQR Diversified Arbitrage Fund is a series of AQR Funds, a Delaware statutory trust registered as an open-end management investment company with the U.S. Securities and Exchange Commission. AQR Capital Management, LLC and AQR Arbitrage, LLC, each a Delaware limited liability company, act as investment adviser and sub-adviser, respectively to AQR Diversified Arbitrage Fund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Funds – AQR Diversified Arbitrage Fund is One Greenwich Plaza, Suite 130, Greenwich, CT 06830.</w:t>
      </w:r>
    </w:p>
    <w:p>
      <w:pPr>
        <w:spacing w:after="0" w:line="4" w:lineRule="exact"/>
        <w:rPr>
          <w:rFonts w:ascii="Times New Roman" w:cs="Times New Roman" w:eastAsia="Times New Roman" w:hAnsi="Times New Roman"/>
          <w:sz w:val="14"/>
          <w:szCs w:val="14"/>
          <w:color w:val="auto"/>
        </w:rPr>
      </w:pPr>
    </w:p>
    <w:p>
      <w:pPr>
        <w:ind w:left="2060" w:right="279" w:hanging="670"/>
        <w:spacing w:after="0" w:line="267" w:lineRule="auto"/>
        <w:tabs>
          <w:tab w:leader="none" w:pos="206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AQR Global Alternative Investment Offshore Fund, L.P. is a Cayman Islands exempted limited partnership. AQR Capital Management GP, Ltd., a Cayman Islands company, is its general partner. AQR Capital Management, LLC and AQR Arbitrage, LLC, each a Delaware limited liability company, act as investment adviser to AQR Global Alternative Investment Offshore Fund,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w:t>
      </w:r>
    </w:p>
    <w:p>
      <w:pPr>
        <w:spacing w:after="0" w:line="2" w:lineRule="exact"/>
        <w:rPr>
          <w:rFonts w:ascii="Times New Roman" w:cs="Times New Roman" w:eastAsia="Times New Roman" w:hAnsi="Times New Roman"/>
          <w:sz w:val="13"/>
          <w:szCs w:val="13"/>
          <w:color w:val="auto"/>
        </w:rPr>
      </w:pPr>
    </w:p>
    <w:p>
      <w:pPr>
        <w:ind w:left="2060" w:right="51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AQR Global Alternative Investment Offshore Fund, L.P. is One Greenwich Plaza, Suite 130, Greenwich, CT 06830.</w:t>
      </w:r>
    </w:p>
    <w:p>
      <w:pPr>
        <w:spacing w:after="0" w:line="1" w:lineRule="exact"/>
        <w:rPr>
          <w:rFonts w:ascii="Times New Roman" w:cs="Times New Roman" w:eastAsia="Times New Roman" w:hAnsi="Times New Roman"/>
          <w:sz w:val="13"/>
          <w:szCs w:val="13"/>
          <w:color w:val="auto"/>
        </w:rPr>
      </w:pPr>
    </w:p>
    <w:p>
      <w:pPr>
        <w:ind w:left="2060" w:right="259" w:hanging="670"/>
        <w:spacing w:after="0" w:line="248" w:lineRule="auto"/>
        <w:tabs>
          <w:tab w:leader="none" w:pos="20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AQR SPAC Opportunities Offshore Fund, L.P. is a Cayman Islands exempted limited partnership. AQR SPAC Opportunities GP, LLC, a Delaware limited liability company, is its general partner. Todd Pulvino serves as the sole shareholder of AQR SPAC Opportunities Offshore Fund, L.P. Each of the parties in this footnote disclaims any beneficial ownership of the reported shares other than to the extent of any pecuniary interest the party may have therein. The business address AQR SPAC Opportunities Offshore Fund, L.P. is One Greenwich Plaza, Suite 130, Greenwich, CT 06830.</w:t>
      </w:r>
    </w:p>
    <w:p>
      <w:pPr>
        <w:spacing w:after="0" w:line="2" w:lineRule="exact"/>
        <w:rPr>
          <w:rFonts w:ascii="Times New Roman" w:cs="Times New Roman" w:eastAsia="Times New Roman" w:hAnsi="Times New Roman"/>
          <w:sz w:val="14"/>
          <w:szCs w:val="14"/>
          <w:color w:val="auto"/>
        </w:rPr>
      </w:pPr>
    </w:p>
    <w:p>
      <w:pPr>
        <w:jc w:val="both"/>
        <w:ind w:left="2060" w:right="539" w:hanging="670"/>
        <w:spacing w:after="0" w:line="253" w:lineRule="auto"/>
        <w:tabs>
          <w:tab w:leader="none" w:pos="20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Feldman and Joel Arber are the Directors of L1 Capital Global Opportunities Master Fund Ltd. (“L1 Capital”). To the extent Mr. Feldman and Mr. Arber are deemed to beneficially own such shares, Mr. Feldman and Mr. Arber disclaim beneficial ownership of these securities except to the extent of any</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404"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060" w:right="579"/>
        <w:spacing w:after="0" w:line="259" w:lineRule="auto"/>
        <w:rPr>
          <w:sz w:val="20"/>
          <w:szCs w:val="20"/>
          <w:color w:val="auto"/>
        </w:rPr>
      </w:pPr>
      <w:r>
        <w:rPr>
          <w:rFonts w:ascii="Times New Roman" w:cs="Times New Roman" w:eastAsia="Times New Roman" w:hAnsi="Times New Roman"/>
          <w:sz w:val="14"/>
          <w:szCs w:val="14"/>
          <w:color w:val="auto"/>
        </w:rPr>
        <w:t>pecuniary interest therein. The principal business address of the L1 Capital is 3rd Floor Zephyr House, 122 Mary Street, George Town, Grand Cayman, Cayman Islands KY1-1001.</w:t>
      </w:r>
    </w:p>
    <w:p>
      <w:pPr>
        <w:spacing w:after="0" w:line="1" w:lineRule="exact"/>
        <w:rPr>
          <w:sz w:val="20"/>
          <w:szCs w:val="20"/>
          <w:color w:val="auto"/>
        </w:rPr>
      </w:pPr>
    </w:p>
    <w:p>
      <w:pPr>
        <w:ind w:left="2060" w:right="259" w:hanging="670"/>
        <w:spacing w:after="0" w:line="248" w:lineRule="auto"/>
        <w:tabs>
          <w:tab w:leader="none" w:pos="2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Yakira Capital Management, Inc. (“Yakira Capital”) has beneficial ownership of Map 136 Segregated Portfolio, Yakira Partners L.P., and White Oaks Long-Short Portfolio, LLC. Voting and investment power of the shares held by Map 136 Segregated Portfolio, Yakira Partners L.P., and White Oaks Long-Short Portfolio, LLC resides with its investment manager, Yakira Capital. Yakira Capital may be deemed to have voting and investment power with respect to these shares. The address of these Selling SecurityHolders is 1555 Post Road East, Suite 202, Westport CT 06880.</w:t>
      </w:r>
    </w:p>
    <w:p>
      <w:pPr>
        <w:spacing w:after="0" w:line="2" w:lineRule="exact"/>
        <w:rPr>
          <w:rFonts w:ascii="Times New Roman" w:cs="Times New Roman" w:eastAsia="Times New Roman" w:hAnsi="Times New Roman"/>
          <w:sz w:val="14"/>
          <w:szCs w:val="14"/>
          <w:color w:val="auto"/>
        </w:rPr>
      </w:pPr>
    </w:p>
    <w:p>
      <w:pPr>
        <w:ind w:left="2060" w:hanging="670"/>
        <w:spacing w:after="0"/>
        <w:tabs>
          <w:tab w:leader="none" w:pos="2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71,498,842 shares of Common Stock of the Company outstanding as of June 12, 2026.</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404"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5"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following summary of certain material provisions of the Company’s securities does not purport to be complete and is subject to the provisions of the Charter, the Bylaws and applicable law. The applicable provisions of the Charter and the Bylaws that are filed with the registration statement of which this prospectus forms a part should be read carefully and in their entirety.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91"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The Charter authorizes the issuance of 625,000,000 shares, consisting of 615,000,000 shares of Common Stock and 10,000,000 shares of preferred stock. As of May 22, 2026, upon consummation of the Business Combination, there were 71,498,842 shares of Common Stock and no shares of preferred stock outstanding. The outstanding shares of Common Stock are duly authorized, validly issued, fully paid and non-assessable.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9"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Voting rights</w:t>
      </w:r>
      <w:r>
        <w:rPr>
          <w:rFonts w:ascii="Times New Roman" w:cs="Times New Roman" w:eastAsia="Times New Roman" w:hAnsi="Times New Roman"/>
          <w:sz w:val="14"/>
          <w:szCs w:val="14"/>
          <w:color w:val="auto"/>
        </w:rPr>
        <w:t>. Except as otherwise required by law or the Charter (including any preferred stock designation), at any annual or special meeting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stockholders of the Company, the holders of the shares of Common Stock shall have the exclusive right to vote for the election of directors and on all other matters properly submitted to a vote of the stockholders of the Company. Notwithstanding the foregoing, except as otherwise required by law or the Amended and Restated Certificate (including any preferred stock designation), the holders of the shares of Common Stock shall not be entitled to vote on any amendment to the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the Charter (including any preferred stock designation) or the DGCL.</w:t>
      </w:r>
    </w:p>
    <w:p>
      <w:pPr>
        <w:spacing w:after="0" w:line="144" w:lineRule="exact"/>
        <w:rPr>
          <w:sz w:val="20"/>
          <w:szCs w:val="20"/>
          <w:color w:val="auto"/>
        </w:rPr>
      </w:pPr>
    </w:p>
    <w:p>
      <w:pPr>
        <w:ind w:left="1400" w:right="379" w:firstLine="34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Dividend rights</w:t>
      </w:r>
      <w:r>
        <w:rPr>
          <w:rFonts w:ascii="Times New Roman" w:cs="Times New Roman" w:eastAsia="Times New Roman" w:hAnsi="Times New Roman"/>
          <w:sz w:val="14"/>
          <w:szCs w:val="14"/>
          <w:color w:val="auto"/>
        </w:rPr>
        <w:t>. Subject to applicable law, the rights, if any, of the holders of any outstanding series of the Preferred Stock, the holders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of Common Stock shall be entitled to receive such dividends and other distributions (payable in cash, property or capital stock of the Company) when, as and if declared thereon by the Board from time to time out of any assets or funds of the Corporation legally available therefor and shall share equally on a per share basis in such dividends and distribution.</w:t>
      </w:r>
    </w:p>
    <w:p>
      <w:pPr>
        <w:spacing w:after="0" w:line="136" w:lineRule="exact"/>
        <w:rPr>
          <w:sz w:val="20"/>
          <w:szCs w:val="20"/>
          <w:color w:val="auto"/>
        </w:rPr>
      </w:pPr>
    </w:p>
    <w:p>
      <w:pPr>
        <w:jc w:val="both"/>
        <w:ind w:left="1400" w:right="399" w:firstLine="34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Rights upon liquidation</w:t>
      </w:r>
      <w:r>
        <w:rPr>
          <w:rFonts w:ascii="Times New Roman" w:cs="Times New Roman" w:eastAsia="Times New Roman" w:hAnsi="Times New Roman"/>
          <w:sz w:val="14"/>
          <w:szCs w:val="14"/>
          <w:color w:val="auto"/>
        </w:rPr>
        <w:t>. Subject to applicable law, the rights, if any, of the holders of any outstanding series of the Preferred Stock, in the event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any voluntary or involuntary liquidation, dissolution or winding up of the Company, after payment or provision for payment of the debts and other liabilities of the Company, the holders of the shares of Common Stock shall be entitled to receive all the remaining assets of the Corporation available for distribution to its stockholders, ratably in proportion to the number of shares of Common Stock held by them.</w:t>
      </w:r>
    </w:p>
    <w:p>
      <w:pPr>
        <w:spacing w:after="0" w:line="136" w:lineRule="exact"/>
        <w:rPr>
          <w:sz w:val="20"/>
          <w:szCs w:val="20"/>
          <w:color w:val="auto"/>
        </w:rPr>
      </w:pPr>
    </w:p>
    <w:p>
      <w:pPr>
        <w:ind w:left="1400" w:right="379" w:firstLine="340"/>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Other rights</w:t>
      </w:r>
      <w:r>
        <w:rPr>
          <w:rFonts w:ascii="Times New Roman" w:cs="Times New Roman" w:eastAsia="Times New Roman" w:hAnsi="Times New Roman"/>
          <w:sz w:val="14"/>
          <w:szCs w:val="14"/>
          <w:color w:val="auto"/>
        </w:rPr>
        <w:t>. The Company has the authority to create and issue rights, warrants and options entitling the holders thereof to acquire from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404"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the Company, diluting the voting power of the Common Stock, impairing the liquidation rights of the capital stock of the Company, or delaying or preventing a change in control of the Company.</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Public Stockholder Warrants</w:t>
      </w:r>
    </w:p>
    <w:p>
      <w:pPr>
        <w:spacing w:after="0" w:line="91"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As issued, each whole Public Warrant entitled the registered holder to purchase one share of Common Stock at a price of $11.50 per share, at any time commencing 30 days after the completion of the Business Combination (May 22, 2026) (subject to certain exceptions). Pursuant to the Warrant Agreement, a warrant holder may exercise its Public Warrants only for a whole number of shares of Common Stock. The Public Warrants will expire five years after the Closing, at 5:00 p.m., New York City time.</w:t>
      </w:r>
    </w:p>
    <w:p>
      <w:pPr>
        <w:spacing w:after="0" w:line="139"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The Company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Common Stock upon exercise of a Public Warrant unless the shares of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w:t>
      </w:r>
    </w:p>
    <w:p>
      <w:pPr>
        <w:spacing w:after="0" w:line="147" w:lineRule="exact"/>
        <w:rPr>
          <w:sz w:val="20"/>
          <w:szCs w:val="20"/>
          <w:color w:val="auto"/>
        </w:rPr>
      </w:pPr>
    </w:p>
    <w:p>
      <w:pPr>
        <w:ind w:left="1400" w:right="299" w:firstLine="340"/>
        <w:spacing w:after="0" w:line="271" w:lineRule="auto"/>
        <w:rPr>
          <w:sz w:val="20"/>
          <w:szCs w:val="20"/>
          <w:color w:val="auto"/>
        </w:rPr>
      </w:pPr>
      <w:r>
        <w:rPr>
          <w:rFonts w:ascii="Times New Roman" w:cs="Times New Roman" w:eastAsia="Times New Roman" w:hAnsi="Times New Roman"/>
          <w:sz w:val="13"/>
          <w:szCs w:val="13"/>
          <w:color w:val="auto"/>
        </w:rPr>
        <w:t>The Company has agreed that as soon as practicable, but in no event later than fifteen (15) business days after the Closing, it will use its best efforts to file with the SEC this registration statement for the registration, under the Securities Act, of the shares of Common Stock issuable upon exercise of the Public Warrants, and the Company will use its best efforts to cause the same to become effective by the 90th day following the Closing, and to maintain the effectiveness of such registration statement and a current prospectus relating to those shares of Common Stock until the Public Warrants expire or are redeemed, as specified in the Warrant Agreement; provided that if shares of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it will use its best efforts to register or qualify the shares under applicable blue sky laws to the extent an exemption is not available. If a registration statement covering the shares of Common Stock issuable upon exercise of the Public Warrants is not effective by the 90th day after the Closing, warrant holders may, until such time as there is an effective registration statement and during any period when the Company will have failed to maintain an effective registration statement, exercise Public Warrants on a “cashless basis” in accordance with Section 3(a)(9) of the Securities Act or another exemption, but the Company will use its best efforts to register or qualify the shares under applicable blue sky laws to the extent an exemption is not available. In such event, each holder would pay the exercise price by surrendering the Public Warrants for that number of shares of Common Stock equal to the quotient obtained by dividing (x) the product of the number of shares of Common Stock underlying the Public Warrants, multiplied by the excess of the “fair market value” (as defined below) less the exercise price of the Public Warrants by (y) the fair market value. The “fair market value” as used in this paragraph shall mean the volume weighted average price of the Common Stock as reported during the five</w:t>
      </w: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404"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779" w:hanging="10"/>
        <w:spacing w:after="0" w:line="279" w:lineRule="auto"/>
        <w:tabs>
          <w:tab w:leader="none" w:pos="159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day period ending on the trading day prior to the date that notice of exercise is received by the warrant agent from the holder of such Warrants or its securities broker or intermediary.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when the price per Share of Common Stock Equals or Exceeds $18.00.</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Once the Public Warrants become exercisable, the Company may redeem the outstanding Public Warrants:</w:t>
      </w:r>
    </w:p>
    <w:p>
      <w:pPr>
        <w:spacing w:after="0" w:line="100" w:lineRule="exact"/>
        <w:rPr>
          <w:sz w:val="20"/>
          <w:szCs w:val="20"/>
          <w:color w:val="auto"/>
        </w:rPr>
      </w:pPr>
    </w:p>
    <w:p>
      <w:pPr>
        <w:ind w:left="2140" w:hanging="333"/>
        <w:spacing w:after="0"/>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Public Warrant;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minimum of 30 days’ prior written notice of redemption to each warrant holder; and</w:t>
      </w:r>
    </w:p>
    <w:p>
      <w:pPr>
        <w:spacing w:after="0" w:line="99" w:lineRule="exact"/>
        <w:rPr>
          <w:rFonts w:ascii="Times New Roman" w:cs="Times New Roman" w:eastAsia="Times New Roman" w:hAnsi="Times New Roman"/>
          <w:sz w:val="14"/>
          <w:szCs w:val="14"/>
          <w:color w:val="auto"/>
        </w:rPr>
      </w:pPr>
    </w:p>
    <w:p>
      <w:pPr>
        <w:ind w:left="2140" w:right="359" w:hanging="333"/>
        <w:spacing w:after="0" w:line="264" w:lineRule="auto"/>
        <w:tabs>
          <w:tab w:leader="none" w:pos="21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per share of Common Stock equals or exceeds $18.00 per share (as adjusted for stock splits, stock dividends, reorganizations, recapitalizations and the like) for any 20 trading days within a 30-trading day period ending three trading days before the Company sends the notice of redemption to the warrant holders.</w:t>
      </w:r>
    </w:p>
    <w:p>
      <w:pPr>
        <w:spacing w:after="0" w:line="136" w:lineRule="exact"/>
        <w:rPr>
          <w:sz w:val="20"/>
          <w:szCs w:val="20"/>
          <w:color w:val="auto"/>
        </w:rPr>
      </w:pPr>
    </w:p>
    <w:p>
      <w:pPr>
        <w:ind w:left="1400" w:right="379" w:firstLine="340"/>
        <w:spacing w:after="0" w:line="256" w:lineRule="auto"/>
        <w:rPr>
          <w:sz w:val="20"/>
          <w:szCs w:val="20"/>
          <w:color w:val="auto"/>
        </w:rPr>
      </w:pPr>
      <w:r>
        <w:rPr>
          <w:rFonts w:ascii="Times New Roman" w:cs="Times New Roman" w:eastAsia="Times New Roman" w:hAnsi="Times New Roman"/>
          <w:sz w:val="14"/>
          <w:szCs w:val="14"/>
          <w:color w:val="auto"/>
        </w:rPr>
        <w:t>The Company will not redeem the Public Warrants as described above unless a registration statement under the Securities Act covering the issuance of shares of Common Stock issuable upon exercise of the Public Warrants is then effective and a current prospectus relating to those shares of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42"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Common Stock may fall below the $18.00 redemption trigger price (as adjusted) as well as the $11.50 (for whole shares) Public Warrant exercise price after the redemption notice is issued.</w:t>
      </w:r>
    </w:p>
    <w:p>
      <w:pPr>
        <w:spacing w:after="0" w:line="142"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No fractional shares of Common Stock will be issued upon exercise. If, upon exercise, a holder would be entitled to receive a fractional interest in a share, the Company will round down to the nearest whole number of the number of shares of Common Stock to be issued to the holder.</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Common Stock issued and outstanding immediately after giving effect to such exercise.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91"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If the number of outstanding shares of the Common Stock is decreased by a consolidation, combination, reverse stock split or reclassification of shares of the Common Stock or other similar event, then, on the effective date of such consolidation, combination, reverse stock split, reclassification or similar event, the number of shares of the Common Stock issuable on exercise of each Warrant will be decreased in proportion to such decrease in outstanding shares of the Common Stock.</w:t>
      </w:r>
    </w:p>
    <w:p>
      <w:pPr>
        <w:spacing w:after="0" w:line="139"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Whenever the number of shares of the Common Stock purchasable upon the exercise of the Warrants is adjusted, as described above, the warrant exercise price will be adjusted by multiplying the warrant exercise price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404"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39"/>
        <w:spacing w:after="0" w:line="264" w:lineRule="auto"/>
        <w:rPr>
          <w:sz w:val="20"/>
          <w:szCs w:val="20"/>
          <w:color w:val="auto"/>
        </w:rPr>
      </w:pPr>
      <w:r>
        <w:rPr>
          <w:rFonts w:ascii="Times New Roman" w:cs="Times New Roman" w:eastAsia="Times New Roman" w:hAnsi="Times New Roman"/>
          <w:sz w:val="14"/>
          <w:szCs w:val="14"/>
          <w:color w:val="auto"/>
        </w:rPr>
        <w:t>immediately prior to such adjustment by a fraction (x) the numerator of which will be the number of shares of the Common Stock purchasable upon the exercise of the Warrants immediately prior to such adjustment, and (y) the denominator of which will be the number of shares of the Common Stock so purchasable immediately thereafter.</w:t>
      </w:r>
    </w:p>
    <w:p>
      <w:pPr>
        <w:spacing w:after="0" w:line="136" w:lineRule="exact"/>
        <w:rPr>
          <w:sz w:val="20"/>
          <w:szCs w:val="20"/>
          <w:color w:val="auto"/>
        </w:rPr>
      </w:pPr>
    </w:p>
    <w:p>
      <w:pPr>
        <w:ind w:left="1400" w:right="319" w:firstLine="340"/>
        <w:spacing w:after="0" w:line="252"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the Common Stock (other than those described above or that solely affects the par value of such shares of the Common Stock), or in the case of any merger or consolidation of us with or into another corporation (other than a consolidation or merger in which the Company is the continuing corporation and that does not result in any reclassification or reorganization of our outstanding shares of the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the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45"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The Public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add or change any other provisions with respect to matters or questions arising under the Warrant Agreement as the parties may deem necessary or desirable and that the parties deem shall not adversely affect the interest of the holders of the Warrants. All other modifications or amendments, including any amendment to increase the exercise price or shorten the exercise period and any amendment to the terms of only the Private Warrants or Working Capital Warrants, shall require the vote or written consent of the holders of 50% of the then outstanding Public Warrants. Any amendment solely to the Private Warrants or the Working Capital Warrants shall also require the vote or written consent of a majority of the holders of the then-outstanding Private Warrants or the Working Capital Warrants, as applicable.</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Amendment of Charter or Bylaws</w:t>
      </w:r>
    </w:p>
    <w:p>
      <w:pPr>
        <w:spacing w:after="0" w:line="91"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spacing w:after="0" w:line="136"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Charter provides the Board has the power to adopt, amend, alter or repeal the Company’s Bylaws by the affirmative vote of a majority of the total number of directors present at a regular or special meeting of the Board at which there is a quorum or by unanimous written consent. The Bylaws also may be adopted, amended, altered or repealed by the stockholders holding at least a majority of the voting power of all then outstanding shares. The Charter can be amended in accordance with the DGCL which requires approval by the Board and stockholders of the Company.</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the Charter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Among other things, the Charter and Bylaws:</w:t>
      </w:r>
    </w:p>
    <w:p>
      <w:pPr>
        <w:spacing w:after="0" w:line="100" w:lineRule="exact"/>
        <w:rPr>
          <w:sz w:val="20"/>
          <w:szCs w:val="20"/>
          <w:color w:val="auto"/>
        </w:rPr>
      </w:pPr>
    </w:p>
    <w:p>
      <w:pPr>
        <w:ind w:left="2140" w:right="459" w:hanging="333"/>
        <w:spacing w:after="0" w:line="279" w:lineRule="auto"/>
        <w:tabs>
          <w:tab w:leader="none" w:pos="21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Board to issue up to 10,000,000 shares of Preferred Stock, with any rights, preferences, and privileges as they may designate, including the right to approve an acquisition or other change of control;</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the Board;</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404"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Board is classified into three classes of directors;</w:t>
      </w:r>
    </w:p>
    <w:p>
      <w:pPr>
        <w:spacing w:after="0" w:line="99" w:lineRule="exact"/>
        <w:rPr>
          <w:rFonts w:ascii="Times New Roman" w:cs="Times New Roman" w:eastAsia="Times New Roman" w:hAnsi="Times New Roman"/>
          <w:sz w:val="14"/>
          <w:szCs w:val="14"/>
          <w:color w:val="auto"/>
        </w:rPr>
      </w:pPr>
    </w:p>
    <w:p>
      <w:pPr>
        <w:ind w:left="2140" w:right="299" w:hanging="333"/>
        <w:spacing w:after="0" w:line="264"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solely and exclusively by a majority vote of the remaining directors then in office, even if less than a quorum, or by a sole remaining director (and not by stockholders);</w:t>
      </w:r>
    </w:p>
    <w:p>
      <w:pPr>
        <w:spacing w:after="0" w:line="63" w:lineRule="exact"/>
        <w:rPr>
          <w:rFonts w:ascii="Times New Roman" w:cs="Times New Roman" w:eastAsia="Times New Roman" w:hAnsi="Times New Roman"/>
          <w:sz w:val="14"/>
          <w:szCs w:val="14"/>
          <w:color w:val="auto"/>
        </w:rPr>
      </w:pPr>
    </w:p>
    <w:p>
      <w:pPr>
        <w:ind w:left="2140" w:right="89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the Company’s stockholders must be effected at a duly called annual or special meeting of stockholders and may not be effected by written consent of the stockholders of the Corporation;</w:t>
      </w:r>
    </w:p>
    <w:p>
      <w:pPr>
        <w:spacing w:after="0" w:line="53" w:lineRule="exact"/>
        <w:rPr>
          <w:rFonts w:ascii="Times New Roman" w:cs="Times New Roman" w:eastAsia="Times New Roman" w:hAnsi="Times New Roman"/>
          <w:sz w:val="14"/>
          <w:szCs w:val="14"/>
          <w:color w:val="auto"/>
        </w:rPr>
      </w:pPr>
    </w:p>
    <w:p>
      <w:pPr>
        <w:ind w:left="2140" w:right="339" w:hanging="333"/>
        <w:spacing w:after="0" w:line="264"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3" w:lineRule="exact"/>
        <w:rPr>
          <w:rFonts w:ascii="Times New Roman" w:cs="Times New Roman" w:eastAsia="Times New Roman" w:hAnsi="Times New Roman"/>
          <w:sz w:val="14"/>
          <w:szCs w:val="14"/>
          <w:color w:val="auto"/>
        </w:rPr>
      </w:pPr>
    </w:p>
    <w:p>
      <w:pPr>
        <w:ind w:left="2140" w:right="499" w:hanging="333"/>
        <w:spacing w:after="0" w:line="319" w:lineRule="auto"/>
        <w:tabs>
          <w:tab w:leader="none" w:pos="21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special meetings of the Company’s stockholders may be called only by the chairperson of the Board, the Company’s Chief Executive Officer or by the Board pursuant to a resolution adopted by a majority of the total number of authorized directors; and</w:t>
      </w:r>
    </w:p>
    <w:p>
      <w:pPr>
        <w:spacing w:after="0" w:line="30" w:lineRule="exact"/>
        <w:rPr>
          <w:rFonts w:ascii="Times New Roman" w:cs="Times New Roman" w:eastAsia="Times New Roman" w:hAnsi="Times New Roman"/>
          <w:sz w:val="13"/>
          <w:szCs w:val="13"/>
          <w:color w:val="auto"/>
        </w:rPr>
      </w:pPr>
    </w:p>
    <w:p>
      <w:pPr>
        <w:ind w:left="2140" w:right="559" w:hanging="333"/>
        <w:spacing w:after="0" w:line="279" w:lineRule="auto"/>
        <w:tabs>
          <w:tab w:leader="none" w:pos="2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plurality of the voting power of the stock of the Company entitled to vote in any election of directors to elect all of the directors standing for election, if they should so choose.</w:t>
      </w:r>
    </w:p>
    <w:p>
      <w:pPr>
        <w:spacing w:after="0" w:line="126" w:lineRule="exact"/>
        <w:rPr>
          <w:sz w:val="20"/>
          <w:szCs w:val="20"/>
          <w:color w:val="auto"/>
        </w:rPr>
      </w:pPr>
    </w:p>
    <w:p>
      <w:pPr>
        <w:ind w:left="1400" w:right="559" w:firstLine="340"/>
        <w:spacing w:after="0" w:line="279" w:lineRule="auto"/>
        <w:rPr>
          <w:sz w:val="20"/>
          <w:szCs w:val="20"/>
          <w:color w:val="auto"/>
        </w:rPr>
      </w:pPr>
      <w:r>
        <w:rPr>
          <w:rFonts w:ascii="Times New Roman" w:cs="Times New Roman" w:eastAsia="Times New Roman" w:hAnsi="Times New Roman"/>
          <w:sz w:val="14"/>
          <w:szCs w:val="14"/>
          <w:color w:val="auto"/>
        </w:rPr>
        <w:t>The amendment of any of these provisions would require approval by the holders of at least 50% of the voting power of all of the Company’s then-outstanding capital stock entitled to vote generally in the election of directors, voting together as a single class.</w:t>
      </w:r>
    </w:p>
    <w:p>
      <w:pPr>
        <w:spacing w:after="0" w:line="126"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The combination of these provisions make it more difficult for the Company’s existing stockholders to replace the Board as well as for another party to obtain control of the Company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spacing w:after="0" w:line="142"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Anti-Takeover Provisions of Delaware Law</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Special Meetings of Stockholders</w:t>
      </w:r>
    </w:p>
    <w:p>
      <w:pPr>
        <w:spacing w:after="0" w:line="91"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p>
    <w:p>
      <w:pPr>
        <w:spacing w:after="0" w:line="91"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The Bylaws provide that stockholders seeking to nominate candidates for election to the Board or to bring business before our annual meeting of stockholders, must provide timely notice of their intent in writing. To be timely under the Bylaws, a stockholder’s notice needs to be received by the Secretary of the Company at our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404"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principal executive offices not later than the close of business on the 90th day nor earlier than the open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Authorized but Unissued Shares</w:t>
      </w:r>
    </w:p>
    <w:p>
      <w:pPr>
        <w:spacing w:after="0" w:line="91"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The authorized but unissued shares of the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shares of the Common Stock and preferred stock could make more difficult or discourage an attempt to obtain control of us by means of a proxy contest, tender offer, merger or otherwise.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Forum Selection</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Charter provides that, unless the Company consents in writing to the selection of an alternative forum, the Court of Chancery will be the sole and exclusive forum for (i) any derivative action or proceeding brought in the name or right of the Company or on behalf of the Company, (ii) any action asserting a claim of breach of a fiduciary duty owed by any director, officer, employee, agent or stockholder of the Company to the Company or the Company’s stockholders, (iii) any action or proceeding arising or asserting a claim arising pursuant to any provision of the DGCL, the Amended and Restated Certificate or the Bylaws or as to which the DGCL confers jurisdiction on the Court of Chancery of the State of Delaware, (iv) any action to interpret, apply, enforce or determine the validity of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Company consents in writing to the selection of an alternative forum, with respect to claims that are not internal corporate claims, stockholders, when acting in their capacity as stockholders or in the right of the Company, shall bring any or all such claims only in the Court of Chancery of the State of Delaware or the United States District Court for the District of Delaware, if such claims relate to the business of the Company,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Section 203 of the Delaware General Corporation Law</w:t>
      </w:r>
    </w:p>
    <w:p>
      <w:pPr>
        <w:spacing w:after="0" w:line="91"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We have not and will not opt out of the provisions of Section 203 of the DGCL regulating corporate takeovers under the Charter. This statute prevents certain Delaware corporations, under certain circumstances, from engaging in a “business combination” with:</w:t>
      </w:r>
    </w:p>
    <w:p>
      <w:pPr>
        <w:spacing w:after="0" w:line="53" w:lineRule="exact"/>
        <w:rPr>
          <w:sz w:val="20"/>
          <w:szCs w:val="20"/>
          <w:color w:val="auto"/>
        </w:rPr>
      </w:pPr>
    </w:p>
    <w:p>
      <w:pPr>
        <w:ind w:left="2140" w:hanging="333"/>
        <w:spacing w:after="0"/>
        <w:tabs>
          <w:tab w:leader="none" w:pos="2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stockholder who owns 15% or more of our outstanding voting stock (otherwise known as an “interested stockholder”);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of an interested stockholder; or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404"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associate of an interested stockholder, for three years following the date that the stockholder became an interested stockholder.</w:t>
      </w:r>
    </w:p>
    <w:p>
      <w:pPr>
        <w:spacing w:after="0" w:line="99"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includes a merger or sale of more than 10% of our assets. However, the above provisions of Section 203 do not apply if:</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approves the transaction that made the stockholder an “interested stockholder,” prior to the date of the transaction;</w:t>
      </w:r>
    </w:p>
    <w:p>
      <w:pPr>
        <w:spacing w:after="0" w:line="99" w:lineRule="exact"/>
        <w:rPr>
          <w:rFonts w:ascii="Times New Roman" w:cs="Times New Roman" w:eastAsia="Times New Roman" w:hAnsi="Times New Roman"/>
          <w:sz w:val="14"/>
          <w:szCs w:val="14"/>
          <w:color w:val="auto"/>
        </w:rPr>
      </w:pPr>
    </w:p>
    <w:p>
      <w:pPr>
        <w:ind w:left="2140" w:right="359" w:hanging="333"/>
        <w:spacing w:after="0" w:line="319" w:lineRule="auto"/>
        <w:tabs>
          <w:tab w:leader="none" w:pos="21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30" w:lineRule="exact"/>
        <w:rPr>
          <w:rFonts w:ascii="Times New Roman" w:cs="Times New Roman" w:eastAsia="Times New Roman" w:hAnsi="Times New Roman"/>
          <w:sz w:val="13"/>
          <w:szCs w:val="13"/>
          <w:color w:val="auto"/>
        </w:rPr>
      </w:pPr>
    </w:p>
    <w:p>
      <w:pPr>
        <w:ind w:left="2140" w:right="319" w:hanging="333"/>
        <w:spacing w:after="0" w:line="264" w:lineRule="auto"/>
        <w:tabs>
          <w:tab w:leader="none" w:pos="21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spacing w:after="0" w:line="136"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1" w:lineRule="exact"/>
        <w:rPr>
          <w:sz w:val="20"/>
          <w:szCs w:val="20"/>
          <w:color w:val="auto"/>
        </w:rPr>
      </w:pPr>
    </w:p>
    <w:p>
      <w:pPr>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63" w:lineRule="exact"/>
        <w:rPr>
          <w:sz w:val="20"/>
          <w:szCs w:val="20"/>
          <w:color w:val="auto"/>
        </w:rPr>
      </w:pPr>
    </w:p>
    <w:p>
      <w:pPr>
        <w:ind w:left="2140" w:hanging="333"/>
        <w:spacing w:after="0"/>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derives an improper personal benefit;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act or omission not in good faith or that involves intentional misconduct or a knowing violation of law;</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unlawful payment of dividends or redemption of shares;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a director’s duty of loyalty to the corporation or its stockholders.</w:t>
      </w:r>
    </w:p>
    <w:p>
      <w:pPr>
        <w:spacing w:after="0" w:line="173" w:lineRule="exact"/>
        <w:rPr>
          <w:sz w:val="20"/>
          <w:szCs w:val="20"/>
          <w:color w:val="auto"/>
        </w:rPr>
      </w:pPr>
    </w:p>
    <w:p>
      <w:pPr>
        <w:ind w:left="1400" w:right="539" w:firstLine="340"/>
        <w:spacing w:after="0" w:line="279" w:lineRule="auto"/>
        <w:rPr>
          <w:sz w:val="20"/>
          <w:szCs w:val="20"/>
          <w:color w:val="auto"/>
        </w:rPr>
      </w:pPr>
      <w:r>
        <w:rPr>
          <w:rFonts w:ascii="Times New Roman" w:cs="Times New Roman" w:eastAsia="Times New Roman" w:hAnsi="Times New Roman"/>
          <w:sz w:val="14"/>
          <w:szCs w:val="14"/>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126"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The Charter requires the Company to indemnify and advance expenses to, to the fullest extent permitted by applicable law, its directors, officers, and agents. The Company plans to maintain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spacing w:after="0" w:line="142"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We have entered into agreements with our officers and directors to provide contractual indemnification in addition to the indemnification provided for in our amended and restated certificate of incorporation. Our bylaws also permit us to secure insurance on behalf of any officer, director or employee for any liability arising out of his or her actions, regardless of whether Delaware law would permit such indemnification. We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404"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39"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We believe that these provisions, the directors’ and officers’ liability insurance and the indemnity agreements are necessary to attract and retain talented and experienced officers and directors.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91" w:lineRule="exact"/>
        <w:rPr>
          <w:sz w:val="20"/>
          <w:szCs w:val="20"/>
          <w:color w:val="auto"/>
        </w:rPr>
      </w:pPr>
    </w:p>
    <w:p>
      <w:pPr>
        <w:jc w:val="both"/>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Court of Chancery.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1"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Under the DGCL, any Company stockholder may bring an action in the Company’s name to procure a judgment in its favor, also known as a derivative action, provided that the stockholder bringing the action is a holder of the Company’s shares at the time of the transaction to which the action relates.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Transfer Agent and Warrant Agent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transfer agent, registrar for the Common Stock and warrant agent is Continental Stock Transfer &amp; Trust Company, LLC.</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Listing of Common Stock and Public Warrants</w:t>
      </w:r>
    </w:p>
    <w:p>
      <w:pPr>
        <w:spacing w:after="0" w:line="91"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The Company’s Common Stock is listed on Nasdaq under the symbol “HDRN,” and the Public Warrants of the Company are traded on Nasdaq under the symbol “HDRNW.”</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404"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175"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 following is a discussion of certain U.S. federal income tax considerations relating to the ownership and disposition of our Common Stock or Warrants. This discussion is limited to holders that hold our Common Stock or Warrants as “capital assets” for U.S. federal income tax purposes (generally, property held for investment). This summary is based on the provisions of the Internal Revenue Code, final, temporary, and proposed Treasury Regulations, administrative pronouncements, and judicial decisions, all as in effect on the date hereof. These authorities may change or be subject to differing interpretations. Any such change or differing interpretation may be applied retroactively in a manner that could adversely affect holders to which this section applies. We have not sought and will not seek any rulings from the Internal Revenue Service (the “IRS”) with respect to the statements made and the conclusions reached in the following discussion, and there can be no assurance that the IRS or a court will agree with such statements and conclusions.</w:t>
      </w:r>
    </w:p>
    <w:p>
      <w:pPr>
        <w:spacing w:after="0" w:line="144"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This discussion does not purport to be a complete analysis of all potential tax considerations relating to the ownership and disposition of our Common Stock or Warrants, and this discussion does not address all aspects of U.S. federal income taxation that may be relevant to particular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including but not limited to:</w:t>
      </w:r>
    </w:p>
    <w:p>
      <w:pPr>
        <w:spacing w:after="0" w:line="69" w:lineRule="exact"/>
        <w:rPr>
          <w:sz w:val="20"/>
          <w:szCs w:val="20"/>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 a financial institution, or a financial service entity;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organization;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 estate investment trust;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 corporation, partnership or pass-through entity (or an investor in an S corporation or other pass-through entity);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insurance company;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regulated investment company or a mutual fund;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foreign corporation” or a “passive foreign investment company;”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dealer or broker in stocks and securities, or currencies;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trader in securities that elects mark-to-market treatment;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that is liable for the alternative minimum tax;</w:t>
      </w:r>
    </w:p>
    <w:p>
      <w:pPr>
        <w:spacing w:after="0" w:line="99" w:lineRule="exact"/>
        <w:rPr>
          <w:rFonts w:ascii="Times New Roman" w:cs="Times New Roman" w:eastAsia="Times New Roman" w:hAnsi="Times New Roman"/>
          <w:sz w:val="14"/>
          <w:szCs w:val="14"/>
          <w:color w:val="auto"/>
        </w:rPr>
      </w:pPr>
    </w:p>
    <w:p>
      <w:pPr>
        <w:ind w:left="2140" w:right="299" w:hanging="333"/>
        <w:spacing w:after="0" w:line="279" w:lineRule="auto"/>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that received our Common Stock or Warrants through the exercise of an employee stock option, through a tax qualified retirement plan, or otherwise as compensation;</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(as defined below) that has a functional currency other than the U.S. dollar;</w:t>
      </w:r>
    </w:p>
    <w:p>
      <w:pPr>
        <w:spacing w:after="0" w:line="99" w:lineRule="exact"/>
        <w:rPr>
          <w:rFonts w:ascii="Times New Roman" w:cs="Times New Roman" w:eastAsia="Times New Roman" w:hAnsi="Times New Roman"/>
          <w:sz w:val="14"/>
          <w:szCs w:val="14"/>
          <w:color w:val="auto"/>
        </w:rPr>
      </w:pPr>
    </w:p>
    <w:p>
      <w:pPr>
        <w:ind w:left="2140" w:right="919" w:hanging="333"/>
        <w:spacing w:after="0" w:line="279" w:lineRule="auto"/>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that holds our Common Stock or Warrants as part of a hedge, straddle, constructive sale, conversion or other integrated transaction;</w:t>
      </w:r>
    </w:p>
    <w:p>
      <w:pPr>
        <w:spacing w:after="0" w:line="53" w:lineRule="exact"/>
        <w:rPr>
          <w:rFonts w:ascii="Times New Roman" w:cs="Times New Roman" w:eastAsia="Times New Roman" w:hAnsi="Times New Roman"/>
          <w:sz w:val="14"/>
          <w:szCs w:val="14"/>
          <w:color w:val="auto"/>
        </w:rPr>
      </w:pPr>
    </w:p>
    <w:p>
      <w:pPr>
        <w:ind w:left="2140" w:right="459" w:hanging="333"/>
        <w:spacing w:after="0" w:line="279" w:lineRule="auto"/>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required to accelerate the recognition of any item of gross income with respect to our Common Stock or Warrants as a result of such income being recognized on an applicable financial statement; or</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expatriate.</w:t>
      </w:r>
    </w:p>
    <w:p>
      <w:pPr>
        <w:spacing w:after="0" w:line="173"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For purposes of this discussion, the term “U.S. Holder” means a holder of our Common Stock or Warrants that is for U.S. federal income tax purposes (1) an individual citizen or resident of the United States, (2) a</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404"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holder of our Common Stock or Warrants (other than a partnership or other entity or arrangement classified as a partnership for U.S. federal income tax purposes) that is not a U.S. Holder.</w:t>
      </w:r>
    </w:p>
    <w:p>
      <w:pPr>
        <w:spacing w:after="0" w:line="145"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If an entity or an arrangement treated as a partnership for U.S. federal income tax purposes holds our Common Stock or Warrants, the U.S. federal income tax considerations relating to the ownership and disposition of our Common Stock or Warrants and the purchase, exercise, disposition and lapse of our Warrants to a partner in such partnership (or owner of such entity) generally will depend on the status of the partner and the activities of the partnership (or entity). Any entity or arrangement treated as a partnership for U.S. federal income tax purposes that holds our Common Stock or Warrants, and any partners in such partnership, are urged to consult their own tax advisors with respect to the applicable tax consideration in light of their specific circumstances.</w:t>
      </w:r>
    </w:p>
    <w:p>
      <w:pPr>
        <w:spacing w:after="0" w:line="145" w:lineRule="exact"/>
        <w:rPr>
          <w:sz w:val="20"/>
          <w:szCs w:val="20"/>
          <w:color w:val="auto"/>
        </w:rPr>
      </w:pPr>
    </w:p>
    <w:p>
      <w:pPr>
        <w:jc w:val="both"/>
        <w:ind w:left="1400" w:right="439" w:firstLine="340"/>
        <w:spacing w:after="0" w:line="259" w:lineRule="auto"/>
        <w:rPr>
          <w:sz w:val="20"/>
          <w:szCs w:val="20"/>
          <w:color w:val="auto"/>
        </w:rPr>
      </w:pPr>
      <w:r>
        <w:rPr>
          <w:rFonts w:ascii="Times New Roman" w:cs="Times New Roman" w:eastAsia="Times New Roman" w:hAnsi="Times New Roman"/>
          <w:sz w:val="14"/>
          <w:szCs w:val="14"/>
          <w:color w:val="auto"/>
        </w:rPr>
        <w:t>The tax considerations relating to the ownership and disposition of our Common Stock or Warrants will depend on your specific situation. You should consult with your own tax advisor as to the tax considerations relating to the ownership and disposition of our Common Stock or Warrants and the purchase, exercise, disposition and lapse of our Warrants in your particular circumstances, including the applicability and effect of any applicable alternative minimum tax and any state, local, foreign, or other tax laws, and of changes in those laws.</w:t>
      </w:r>
    </w:p>
    <w:p>
      <w:pPr>
        <w:spacing w:after="0" w:line="139"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THIS DISCUSSION OF U.S. FEDERAL INCOME TAX CONSIDERATIONS IS FOR GENERAL INFORMATION PURPOSES ONLY AND IS NOT TAX ADVICE. PROSPECTIVE HOLDERS SHOULD CONSULT THEIR TAX ADVISORS CONCERNING THE U.S. FEDERAL INCOME TAX CONSIDERATIONS RELEVANT TO THEM OF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Tax Considerations for U.S. Holders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Taxation of Distributions</w:t>
      </w:r>
    </w:p>
    <w:p>
      <w:pPr>
        <w:spacing w:after="0" w:line="91"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the section of this prospectus titled “</w:t>
      </w:r>
      <w:r>
        <w:rPr>
          <w:rFonts w:ascii="Times New Roman" w:cs="Times New Roman" w:eastAsia="Times New Roman" w:hAnsi="Times New Roman"/>
          <w:sz w:val="14"/>
          <w:szCs w:val="14"/>
          <w:i w:val="1"/>
          <w:iCs w:val="1"/>
          <w:color w:val="auto"/>
        </w:rPr>
        <w:t>Tax Considerations for U.S. Holders-Gain or Loss on Sale, Taxable Exchange or Other Taxable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 of Common Stock or Warrants</w:t>
      </w:r>
      <w:r>
        <w:rPr>
          <w:rFonts w:ascii="Times New Roman" w:cs="Times New Roman" w:eastAsia="Times New Roman" w:hAnsi="Times New Roman"/>
          <w:sz w:val="14"/>
          <w:szCs w:val="14"/>
          <w:color w:val="auto"/>
        </w:rPr>
        <w:t>” below.</w:t>
      </w:r>
    </w:p>
    <w:p>
      <w:pPr>
        <w:spacing w:after="0" w:line="147" w:lineRule="exact"/>
        <w:rPr>
          <w:sz w:val="20"/>
          <w:szCs w:val="20"/>
          <w:color w:val="auto"/>
        </w:rPr>
      </w:pPr>
    </w:p>
    <w:p>
      <w:pPr>
        <w:ind w:left="1400" w:right="519" w:firstLine="340"/>
        <w:spacing w:after="0" w:line="259" w:lineRule="auto"/>
        <w:rPr>
          <w:sz w:val="20"/>
          <w:szCs w:val="20"/>
          <w:color w:val="auto"/>
        </w:rPr>
      </w:pPr>
      <w:r>
        <w:rPr>
          <w:rFonts w:ascii="Times New Roman" w:cs="Times New Roman" w:eastAsia="Times New Roman" w:hAnsi="Times New Roman"/>
          <w:sz w:val="14"/>
          <w:szCs w:val="14"/>
          <w:color w:val="auto"/>
        </w:rPr>
        <w:t>Dividends that we pay to a U.S. Holder that is a taxable corporation generally will qualify for the dividends received deduction (at varying percentages based upon such U.S. Holder’s ownership percentage in the Company) if the requisite holding period is satisfied. Dividends that exceed certain thresholds in relation to a corporate U.S. Holder’s tax basis in the stock could be characterized as an “extraordinary dividend” (as defined in Section 1059 of the Internal Revenue Code) subject to special rules. With certain exceptions (including, but</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404"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not limited to, dividends treated as investment income for purposes of investment interest deduction limitations), and provided certain holding period requirements are met, dividends that we pay to a non-corporate U.S. Holder will generally constitute “qualified dividends” that will be subject to tax at the maximum tax rate accorded to long-term capital gains. If the applicable holding period and other applicable requirements are not satisfied, then a corporation may not be able to qualify for the dividends received deduction and would have taxable income equal to the entire dividend amount. Likewise, if the applicable holding period and other applicable requirements are not satisfied, then non-corporate U.S. Holders may be subject to tax on such dividends at regular ordinary income tax rates instead of the preferential rate that applies to qualified dividend income.</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Gain or Loss on Sale, Taxable Exchange or Other Taxable Disposition of Common Stock or Warrants</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A U.S. Holder generally will recognize gain or loss on the sale, taxable exchange or other taxable disposition of our Common Stock or Warrants. Any such gain or loss will be capital gain or loss and will be long-term capital gain or loss if the U.S. Holder’s holding period for our Common Stock or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Common Stock or Warrants so disposed of. A U.S. Holder’s adjusted tax basis in its Common Stock or Warrants will generally equal the U.S. Holder’s acquisition cost less any prior distributions treated as a return of capital. The deductibility of capital losses is subject to limitations.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Exercise or Lapse of a Warrant</w:t>
      </w:r>
    </w:p>
    <w:p>
      <w:pPr>
        <w:spacing w:after="0" w:line="91"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Except as discussed below with respect to the cashless exercise of a Warrant, a U.S. Holder generally will not recognize taxable gain or loss from the acquisition of Common Stock upon exercise of a Warrant for cash. A U.S. Holder’s tax basis in the Common Stock received upon exercise of a Warrant generally will be an amount equal to the sum of the U.S. Holder’s initial investment in the Warrant and the exercise price. It is unclear whether a U.S. Holder’s holding period for the shares of Common Stock received upon exercise of the Warrants will commence on the date of exercise of the Warrant or the day following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47" w:lineRule="exact"/>
        <w:rPr>
          <w:sz w:val="20"/>
          <w:szCs w:val="20"/>
          <w:color w:val="auto"/>
        </w:rPr>
      </w:pPr>
    </w:p>
    <w:p>
      <w:pPr>
        <w:ind w:left="1400" w:right="399" w:firstLine="340"/>
        <w:spacing w:after="0" w:line="254" w:lineRule="auto"/>
        <w:rPr>
          <w:sz w:val="20"/>
          <w:szCs w:val="20"/>
          <w:color w:val="auto"/>
        </w:rPr>
      </w:pPr>
      <w:r>
        <w:rPr>
          <w:rFonts w:ascii="Times New Roman" w:cs="Times New Roman" w:eastAsia="Times New Roman" w:hAnsi="Times New Roman"/>
          <w:sz w:val="14"/>
          <w:szCs w:val="14"/>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would equal the U.S. Holder’s basis in the Warrant. If the cashless exercise were treated as not being a realization event, it is unclear whether a U.S. holder’s holding period for the Common Stock received would be treated as commencing on the date of exercise of the Warrant or the day following the date of exercise of the Warrant. If the cashless exercise were treated as a recapitalization, the holding period of the Common Stock received would include the holding period of the Warrant.</w:t>
      </w:r>
    </w:p>
    <w:p>
      <w:pPr>
        <w:spacing w:after="0" w:line="145"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It is also possible that a cashless exercise could be treated in part as a taxable exchange in which a gain or loss would be recognized. In such event, a U.S. Holder could be deemed to have surrendered Warrants equal to the number of Common Stock shares having a value equal to the exercise price for the total number of Warrants to be exercised. A U.S. Holder would recognize capital gain or loss in an amount equal to the difference between the fair market value of the Warrants deemed surrendered and the U.S. Holder’s tax basis in the Warrants deemed surrendered. In this case, a U.S. Holder’s tax basis in the Common Stock received would equal the sum of the fair market value of the Warrants deemed surrendered and the U.S. Holder’s tax basis in the Warrants exercised. It is unclear whether a U.S. Holder’s holding period for the Common Stock received would commence on the date of exercise of the Warrant or the day following the date of exercise of the Warrant.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404"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539" w:firstLine="340"/>
        <w:spacing w:after="0" w:line="264" w:lineRule="auto"/>
        <w:rPr>
          <w:sz w:val="20"/>
          <w:szCs w:val="20"/>
          <w:color w:val="auto"/>
        </w:rPr>
      </w:pPr>
      <w:r>
        <w:rPr>
          <w:rFonts w:ascii="Times New Roman" w:cs="Times New Roman" w:eastAsia="Times New Roman" w:hAnsi="Times New Roman"/>
          <w:sz w:val="14"/>
          <w:szCs w:val="14"/>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Possible Constructive Distributions</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terms of each Warrant provide for an adjustment to the number of shares of our Common Stock for which the Warrant may be exercised or to the exercise price of the Warrant in certain events.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shares of our Common Stock that would be obtained upon exercise or through a decrease in the exercise price of the Warrant) as a result of a distribution of cash or other property, such as securities, to the holders of shares of our Common Stock which is taxable to the U.S. Holders of such shares. For example, if the exercise price of the Warrants is decreased as a result of certain taxable dividends paid to holders of our Common Stock (as contemplated by the terms of the Warrant in certain circumstances), then the amount by which such exercise price was decreased could be considered an increase in the Warrant holder’s proportionate interest in our assets or earnings and profits, which may result in a constructive distribution to holders of the Warrants. Such constructive distribution would be subject to tax as described “</w:t>
      </w:r>
      <w:r>
        <w:rPr>
          <w:rFonts w:ascii="Times New Roman" w:cs="Times New Roman" w:eastAsia="Times New Roman" w:hAnsi="Times New Roman"/>
          <w:sz w:val="14"/>
          <w:szCs w:val="14"/>
          <w:i w:val="1"/>
          <w:iCs w:val="1"/>
          <w:color w:val="auto"/>
        </w:rPr>
        <w:t>Tax Considerations for U.S. Holders-Taxation of Distributions</w:t>
      </w:r>
      <w:r>
        <w:rPr>
          <w:rFonts w:ascii="Times New Roman" w:cs="Times New Roman" w:eastAsia="Times New Roman" w:hAnsi="Times New Roman"/>
          <w:sz w:val="14"/>
          <w:szCs w:val="14"/>
          <w:color w:val="auto"/>
        </w:rPr>
        <w:t>” above in the same manner as if the U.S. Holders of the Warrants received a cash distribution from us equal to the fair market value of such increased interest. For certain information reporting purposes, we are required to determine the date and amount of any such constructive distributions. Recently proposed Treasury regulations, which we may rely on prior to the issuance of final regulations, specify how the date and amount of constructive distributions are determined.</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Tax Considerations for Non-U.S. Holders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Taxation of Distributions</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In general, any distributions (other than certain distributions of our stock or rights to acquire our stock) that we make to a Non-U.S. Holder of shares of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the Common Stock, which will be treated as described under the section of this prospectus titled “</w:t>
      </w:r>
      <w:r>
        <w:rPr>
          <w:rFonts w:ascii="Times New Roman" w:cs="Times New Roman" w:eastAsia="Times New Roman" w:hAnsi="Times New Roman"/>
          <w:sz w:val="14"/>
          <w:szCs w:val="14"/>
          <w:i w:val="1"/>
          <w:iCs w:val="1"/>
          <w:color w:val="auto"/>
        </w:rPr>
        <w:t>Tax Considerations for Non-U.S. Holders-Gain on Sale, Taxable Exchange or Other Taxable Disposition of Common Stock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below.</w:t>
      </w:r>
    </w:p>
    <w:p>
      <w:pPr>
        <w:spacing w:after="0" w:line="150" w:lineRule="exact"/>
        <w:rPr>
          <w:sz w:val="20"/>
          <w:szCs w:val="20"/>
          <w:color w:val="auto"/>
        </w:rPr>
      </w:pPr>
    </w:p>
    <w:p>
      <w:pPr>
        <w:ind w:left="1400" w:right="419" w:firstLine="340"/>
        <w:spacing w:after="0" w:line="256" w:lineRule="auto"/>
        <w:rPr>
          <w:sz w:val="20"/>
          <w:szCs w:val="20"/>
          <w:color w:val="auto"/>
        </w:rPr>
      </w:pPr>
      <w:r>
        <w:rPr>
          <w:rFonts w:ascii="Times New Roman" w:cs="Times New Roman" w:eastAsia="Times New Roman" w:hAnsi="Times New Roman"/>
          <w:sz w:val="14"/>
          <w:szCs w:val="14"/>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404"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Exercise or Lapse of a Warrant</w:t>
      </w:r>
    </w:p>
    <w:p>
      <w:pPr>
        <w:spacing w:after="0" w:line="91" w:lineRule="exact"/>
        <w:rPr>
          <w:sz w:val="20"/>
          <w:szCs w:val="20"/>
          <w:color w:val="auto"/>
        </w:rPr>
      </w:pPr>
    </w:p>
    <w:p>
      <w:pPr>
        <w:ind w:left="1400" w:right="679" w:firstLine="340"/>
        <w:spacing w:after="0" w:line="259" w:lineRule="auto"/>
        <w:rPr>
          <w:sz w:val="20"/>
          <w:szCs w:val="20"/>
          <w:color w:val="auto"/>
        </w:rPr>
      </w:pPr>
      <w:r>
        <w:rPr>
          <w:rFonts w:ascii="Times New Roman" w:cs="Times New Roman" w:eastAsia="Times New Roman" w:hAnsi="Times New Roman"/>
          <w:sz w:val="14"/>
          <w:szCs w:val="14"/>
          <w:color w:val="auto"/>
        </w:rPr>
        <w:t>The U.S. federal income tax treatment of the exercise or lapse of a Warrant held by a Non-U.S. Holder generally will correspond to the characterization described above under “</w:t>
      </w:r>
      <w:r>
        <w:rPr>
          <w:rFonts w:ascii="Times New Roman" w:cs="Times New Roman" w:eastAsia="Times New Roman" w:hAnsi="Times New Roman"/>
          <w:sz w:val="14"/>
          <w:szCs w:val="14"/>
          <w:i w:val="1"/>
          <w:iCs w:val="1"/>
          <w:color w:val="auto"/>
        </w:rPr>
        <w:t>Tax Considerations for U.S. Holders - Exercise or Lapse of a Warrant</w:t>
      </w:r>
      <w:r>
        <w:rPr>
          <w:rFonts w:ascii="Times New Roman" w:cs="Times New Roman" w:eastAsia="Times New Roman" w:hAnsi="Times New Roman"/>
          <w:sz w:val="14"/>
          <w:szCs w:val="14"/>
          <w:color w:val="auto"/>
        </w:rPr>
        <w:t>”, although to the extent a cashless exercise results in a taxable exchange, the tax consequences to the non-U.S. Holder would be the same as those described below under “</w:t>
      </w:r>
      <w:r>
        <w:rPr>
          <w:rFonts w:ascii="Times New Roman" w:cs="Times New Roman" w:eastAsia="Times New Roman" w:hAnsi="Times New Roman"/>
          <w:sz w:val="14"/>
          <w:szCs w:val="14"/>
          <w:i w:val="1"/>
          <w:iCs w:val="1"/>
          <w:color w:val="auto"/>
        </w:rPr>
        <w:t>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Considerations for Non-U.S. Holders-Gain on Sale, Exchange or Other Taxable Disposition of Common Stock or Warrants</w:t>
      </w:r>
      <w:r>
        <w:rPr>
          <w:rFonts w:ascii="Times New Roman" w:cs="Times New Roman" w:eastAsia="Times New Roman" w:hAnsi="Times New Roman"/>
          <w:sz w:val="14"/>
          <w:szCs w:val="14"/>
          <w:color w:val="auto"/>
        </w:rPr>
        <w: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Gain on Sale, Exchange, or Other Taxable Disposition of Common Stock or Warrants</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A Non-U.S. Holder will generally not be subject to U.S. federal income or withholding tax in respect of gain recognized on a sale, taxable exchange or other taxable disposition of Common Stock or a sale, taxable exchange, expiration, redemption or other taxable disposition of our Common Stock or Warrants, unless:</w:t>
      </w:r>
    </w:p>
    <w:p>
      <w:pPr>
        <w:spacing w:after="0" w:line="63" w:lineRule="exact"/>
        <w:rPr>
          <w:sz w:val="20"/>
          <w:szCs w:val="20"/>
          <w:color w:val="auto"/>
        </w:rPr>
      </w:pPr>
    </w:p>
    <w:p>
      <w:pPr>
        <w:ind w:left="2140" w:right="619" w:hanging="333"/>
        <w:spacing w:after="0" w:line="319" w:lineRule="auto"/>
        <w:tabs>
          <w:tab w:leader="none" w:pos="21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30" w:lineRule="exact"/>
        <w:rPr>
          <w:rFonts w:ascii="Times New Roman" w:cs="Times New Roman" w:eastAsia="Times New Roman" w:hAnsi="Times New Roman"/>
          <w:sz w:val="13"/>
          <w:szCs w:val="13"/>
          <w:color w:val="auto"/>
        </w:rPr>
      </w:pPr>
    </w:p>
    <w:p>
      <w:pPr>
        <w:ind w:left="2140" w:right="379" w:hanging="333"/>
        <w:spacing w:after="0" w:line="279" w:lineRule="auto"/>
        <w:tabs>
          <w:tab w:leader="none" w:pos="21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a period or periods aggregating 183 days or more during the calendar year in which the sale or disposition occurs and certain other conditions are met; or</w:t>
      </w:r>
    </w:p>
    <w:p>
      <w:pPr>
        <w:spacing w:after="0" w:line="53" w:lineRule="exact"/>
        <w:rPr>
          <w:rFonts w:ascii="Times New Roman" w:cs="Times New Roman" w:eastAsia="Times New Roman" w:hAnsi="Times New Roman"/>
          <w:sz w:val="14"/>
          <w:szCs w:val="14"/>
          <w:color w:val="auto"/>
        </w:rPr>
      </w:pPr>
    </w:p>
    <w:p>
      <w:pPr>
        <w:ind w:left="2140" w:right="379" w:hanging="333"/>
        <w:spacing w:after="0" w:line="253" w:lineRule="auto"/>
        <w:tabs>
          <w:tab w:leader="none" w:pos="21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“United States real property holding corporation” (a “USRPHC”) for U.S. federal income tax purposes at any time during the shorter of the five-year period ending on the date of disposition or the period that the Non-U.S. Holder held our common stock or Warrants, as applicable, and, in the case where shares of our Common Stock and Warrants are treated as regularly traded on an established securities market, the Non-U.S. Holder has owned, directly or constructively, more than 5% of our Common Stock or more than 5% of our Warrants, as applicable, at any time within the shorter of the five-year period preceding the disposition or such Non-U.S. Holder’s holding period for the shares of our Common Stock or Warrants, as applicable. There can be no assurance that our Common Stock or Warrants will be treated as regularly traded on an established securities market for this purpose.</w:t>
      </w:r>
    </w:p>
    <w:p>
      <w:pPr>
        <w:spacing w:after="0" w:line="147" w:lineRule="exact"/>
        <w:rPr>
          <w:sz w:val="20"/>
          <w:szCs w:val="20"/>
          <w:color w:val="auto"/>
        </w:rPr>
      </w:pPr>
    </w:p>
    <w:p>
      <w:pPr>
        <w:jc w:val="both"/>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If the Non-U.S. Holder is described in the first bullet above, it will be required to pay tax on the net gain derived from the sale, exchange or other taxable disposition under regular graduated U.S. federal income tax rates, and a corporate Non-U.S. Holder described in the first bullet above also may be subject to the branch profits tax at a rate of 30%, or such lower rate as may be specified by an applicable income tax treaty.</w:t>
      </w:r>
    </w:p>
    <w:p>
      <w:pPr>
        <w:spacing w:after="0" w:line="136"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An individual Non-U.S. Holder described in the second bullet above will be required to pay a flat 30% tax (or such lower rate specified by an applicable income tax treaty) on the gain derived from the sale, exchange or other taxable disposition, which gain may be offset by U.S. source capital losses for the year (provided the Non-U.S. Holder has timely filed U.S. federal income tax returns with respect to such losses).</w:t>
      </w:r>
    </w:p>
    <w:p>
      <w:pPr>
        <w:spacing w:after="0" w:line="13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We will be classified as a USRPHC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 If the third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404"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Non-U.S. Holders should consult their own tax advisors regarding any applicable income tax or other treaties that may provide for different rules.</w:t>
      </w:r>
    </w:p>
    <w:p>
      <w:pPr>
        <w:spacing w:after="0" w:line="26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Possible Constructive Distributions.</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terms of each Warrant provide for an adjustment to the number of shares of our Common Stock for which the Warrant may be exercised or to the exercise price of the Warrant in certain events. An adjustment which has the effect of preventing dilution generally is not taxable.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Common Stock that would be obtained upon exercise or through a decrease in the exercise price of the Warrant) as a result of a distribution of cash or other property, such as securities, to the holders of shares of our Common Stock which is taxable to the Non-U.S. Holders of such shares. For example, if the exercise price of the Warrants is decreased as a result of certain taxable dividends paid to holders of our Common Stock (as contemplated by the terms of the Warrant in certain circumstances), then the amount by which such exercise price was decreased could be considered an increase in the Warrant holder’s proportionate interest in our assets or earnings and profits, which may result in a constructive distribution to holders of the Warrants. Such constructive distribution would be subject to tax as described “</w:t>
      </w:r>
      <w:r>
        <w:rPr>
          <w:rFonts w:ascii="Times New Roman" w:cs="Times New Roman" w:eastAsia="Times New Roman" w:hAnsi="Times New Roman"/>
          <w:sz w:val="14"/>
          <w:szCs w:val="14"/>
          <w:i w:val="1"/>
          <w:iCs w:val="1"/>
          <w:color w:val="auto"/>
        </w:rPr>
        <w:t>Tax Considerations for Non-U.S. Holders-Taxation of Distributions</w:t>
      </w:r>
      <w:r>
        <w:rPr>
          <w:rFonts w:ascii="Times New Roman" w:cs="Times New Roman" w:eastAsia="Times New Roman" w:hAnsi="Times New Roman"/>
          <w:sz w:val="14"/>
          <w:szCs w:val="14"/>
          <w:color w:val="auto"/>
        </w:rPr>
        <w:t>” above in the same manner as if the Non-U.S. Holders of the Warrants received a cash distribution from us equal to the fair market value of such increased interest. For certain information reporting purposes, we are required to determine the date and amount of any such constructive distributions. Recently proposed Treasury regulations, which we may rely on prior to the issuance of final regulations, specify how the date and amount of constructive distributions are determined.</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Foreign Account Tax Compliance Act</w:t>
      </w:r>
    </w:p>
    <w:p>
      <w:pPr>
        <w:spacing w:after="0" w:line="91"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Sections 1471 through 1474 of the Code, and the U.S. Treasury regulations and administrative guidance issued thereunder (“FATCA”), impose a 30% withholding tax on any dividends paid on our Common Stock, and subject to the discussion of certain proposed Treasury regulations below, on the gross proceeds from a disposition of our Common Stock or Warrants,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or (iii) the foreign financial institution or non-financial foreign entity otherwise qualifies for an exemption from these rules and provides appropriate documentation.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48" w:lineRule="exact"/>
        <w:rPr>
          <w:sz w:val="20"/>
          <w:szCs w:val="20"/>
          <w:color w:val="auto"/>
        </w:rPr>
      </w:pPr>
    </w:p>
    <w:p>
      <w:pPr>
        <w:ind w:left="1400" w:right="379" w:firstLine="340"/>
        <w:spacing w:after="0" w:line="293" w:lineRule="auto"/>
        <w:rPr>
          <w:sz w:val="20"/>
          <w:szCs w:val="20"/>
          <w:color w:val="auto"/>
        </w:rPr>
      </w:pPr>
      <w:r>
        <w:rPr>
          <w:rFonts w:ascii="Times New Roman" w:cs="Times New Roman" w:eastAsia="Times New Roman" w:hAnsi="Times New Roman"/>
          <w:sz w:val="13"/>
          <w:szCs w:val="13"/>
          <w:color w:val="auto"/>
        </w:rPr>
        <w:t>The U.S. Treasury has released proposed Treasury regulations which, if finalized in their present form, would eliminate the federal withholding tax of 30% applicable to the gross proceeds of a sale or other disposition of our Common Stock or Warrants. In its preamble to such proposed Treasury regulations, the U.S. Treasury stated that taxpayers may generally rely on the proposed regulations until final regulations are issued.</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Non-U.S. holders are encouraged to consult their own tax advisors regarding the possible implications of FATCA to them.</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404"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42"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404"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5"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We are registering the issuance by us of 28,719,000 shares of Common Stock, including (i) up to 20,000,000 shares of Common Stock that are issuable upon the exercise of 20,000,000 Public Warrants by the holders, (ii) up to 3,719,000 shares of Common Stock that may be issued upon exercise of 3,719,000 Private Warrants by the holders, and (iii) up to 5,000,000 shares of Common Stock that are issuable upon the exercise of 5,000,000 Hadron Private Warrants by the holders. We are also registering 57,432,395 shares of Common Stock and warrants to purchase up to 3,719,000 shares of Common Stock for the resale by the Selling Securityholders or their permitted transferees from time to time, including (i) 10,207,246 Founder Shares, (ii) 3,126,087 Private Placement Shares, (iii) 44,099,062 Closing Shares and (iv) 3,719,000 Private Warrants.</w:t>
      </w:r>
    </w:p>
    <w:p>
      <w:pPr>
        <w:spacing w:after="0" w:line="145" w:lineRule="exact"/>
        <w:rPr>
          <w:sz w:val="20"/>
          <w:szCs w:val="20"/>
          <w:color w:val="auto"/>
        </w:rPr>
      </w:pPr>
    </w:p>
    <w:p>
      <w:pPr>
        <w:ind w:left="1400" w:right="539" w:firstLine="340"/>
        <w:spacing w:after="0" w:line="279" w:lineRule="auto"/>
        <w:rPr>
          <w:sz w:val="20"/>
          <w:szCs w:val="20"/>
          <w:color w:val="auto"/>
        </w:rPr>
      </w:pPr>
      <w:r>
        <w:rPr>
          <w:rFonts w:ascii="Times New Roman" w:cs="Times New Roman" w:eastAsia="Times New Roman" w:hAnsi="Times New Roman"/>
          <w:sz w:val="14"/>
          <w:szCs w:val="14"/>
          <w:color w:val="auto"/>
        </w:rPr>
        <w:t>We are required to pay all fees and expenses incident to the registration of the securities to be offered and sold pursuant to this prospectus. We estimate that the total expenses for the offering will be approximately $198,559.86.</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Selling Securityholders will bear all commissions and discounts, if any, attributable to their sale of securities.</w:t>
      </w:r>
    </w:p>
    <w:p>
      <w:pPr>
        <w:spacing w:after="0" w:line="1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The sale of our Common Stock offered by this prospectus could be effected in one or more of the following methods:</w:t>
      </w:r>
    </w:p>
    <w:p>
      <w:pPr>
        <w:spacing w:after="0" w:line="100" w:lineRule="exact"/>
        <w:rPr>
          <w:sz w:val="20"/>
          <w:szCs w:val="20"/>
          <w:color w:val="auto"/>
        </w:rPr>
      </w:pPr>
    </w:p>
    <w:p>
      <w:pPr>
        <w:ind w:left="2140" w:hanging="333"/>
        <w:spacing w:after="0"/>
        <w:tabs>
          <w:tab w:leader="none" w:pos="2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brokers’ transactions;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involving cross or block trades;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dealers, or underwriters who may act solely as agents;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market” into an existing market for our Common Stock;</w:t>
      </w:r>
    </w:p>
    <w:p>
      <w:pPr>
        <w:spacing w:after="0" w:line="99"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other ways not involving market makers or established business markets, including direct sales to purchasers or sales effected through agents;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foregoing.</w:t>
      </w:r>
    </w:p>
    <w:p>
      <w:pPr>
        <w:spacing w:after="0" w:line="173"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The Selling Securityholders may also sell securities under Rule 144 or any other exemption from registration under the Securities Act, if available, rather than under this prospectus. 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45"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w:t>
      </w:r>
    </w:p>
    <w:p>
      <w:pPr>
        <w:spacing w:after="0" w:line="145"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The Selling Securityholders may elect to make an in-kind distribution of Common Stock to its members, partners or stockholders pursuant to the registration statement of which this prospectus is a part by delivering a prospectus.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404"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To the extent that such members, partners or stockholders are not affiliates of ours, such members, partners or stockholders would thereby receive freely tradable Common Stock pursuant to the distribution through the registration statement.</w:t>
      </w:r>
    </w:p>
    <w:p>
      <w:pPr>
        <w:spacing w:after="0" w:line="126" w:lineRule="exact"/>
        <w:rPr>
          <w:sz w:val="20"/>
          <w:szCs w:val="20"/>
          <w:color w:val="auto"/>
        </w:rPr>
      </w:pPr>
    </w:p>
    <w:p>
      <w:pPr>
        <w:jc w:val="both"/>
        <w:ind w:left="1400" w:right="279" w:firstLine="340"/>
        <w:spacing w:after="0" w:line="293" w:lineRule="auto"/>
        <w:rPr>
          <w:sz w:val="20"/>
          <w:szCs w:val="20"/>
          <w:color w:val="auto"/>
        </w:rPr>
      </w:pPr>
      <w:r>
        <w:rPr>
          <w:rFonts w:ascii="Times New Roman" w:cs="Times New Roman" w:eastAsia="Times New Roman" w:hAnsi="Times New Roman"/>
          <w:sz w:val="13"/>
          <w:szCs w:val="13"/>
          <w:color w:val="auto"/>
        </w:rPr>
        <w:t>To the extent required, the shares of our Common Stock to be sold, the name of the Selling Securityholders, the purchase price and public offering price,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20" w:lineRule="exact"/>
        <w:rPr>
          <w:sz w:val="20"/>
          <w:szCs w:val="20"/>
          <w:color w:val="auto"/>
        </w:rPr>
      </w:pPr>
    </w:p>
    <w:p>
      <w:pPr>
        <w:ind w:left="1400" w:right="379" w:firstLine="340"/>
        <w:spacing w:after="0" w:line="253" w:lineRule="auto"/>
        <w:rPr>
          <w:sz w:val="20"/>
          <w:szCs w:val="20"/>
          <w:color w:val="auto"/>
        </w:rPr>
      </w:pPr>
      <w:r>
        <w:rPr>
          <w:rFonts w:ascii="Times New Roman" w:cs="Times New Roman" w:eastAsia="Times New Roman" w:hAnsi="Times New Roman"/>
          <w:sz w:val="14"/>
          <w:szCs w:val="14"/>
          <w:color w:val="auto"/>
        </w:rPr>
        <w:t>In connection with the sale of our shares of Common Stock or interests therein, the Selling Securityholders may enter into hedging transactions with broker-dealers or other financial institutions, which may in turn engage in short sales of the shares of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7"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The Selling Securityholders and any broker-dealers or agents that participate in the sale of the Common Stock or interests therein may be “underwriters” within the meaning of Section 2(11) of the Securities Act. In such event, any commissions received by such broker-dealers or agents and any profit on the resale of the securities purchased by them may be deemed to be underwriting commissions or discounts under the Securities Act. If the Selling Securityholders are deemed to be an “underwriter” within the meaning of Section 2(11) of the Securities Act, then they will be subject to the prospectus delivery requirements of the Securities Act. The Selling Securityholders have informed the Company that they do not have any written or oral agreement or understanding, directly or indirectly, with any person to distribute the securities.</w:t>
      </w:r>
    </w:p>
    <w:p>
      <w:pPr>
        <w:spacing w:after="0" w:line="145"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The aggregate proceeds to the Selling Securityholders from the sale of the Common Stock offered by them will be the purchase price of the Common Stock less discounts or commissions, if any. The Selling Securityholders reserve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 We expect to use the proceeds received from the exercise of the Warrants, if any, for working capital and general corporate purposes.</w:t>
      </w:r>
    </w:p>
    <w:p>
      <w:pPr>
        <w:spacing w:after="0" w:line="142" w:lineRule="exact"/>
        <w:rPr>
          <w:sz w:val="20"/>
          <w:szCs w:val="20"/>
          <w:color w:val="auto"/>
        </w:rPr>
      </w:pPr>
    </w:p>
    <w:p>
      <w:pPr>
        <w:ind w:left="1400" w:right="359" w:firstLine="340"/>
        <w:spacing w:after="0" w:line="319" w:lineRule="auto"/>
        <w:rPr>
          <w:sz w:val="20"/>
          <w:szCs w:val="20"/>
          <w:color w:val="auto"/>
        </w:rPr>
      </w:pPr>
      <w:r>
        <w:rPr>
          <w:rFonts w:ascii="Times New Roman" w:cs="Times New Roman" w:eastAsia="Times New Roman" w:hAnsi="Times New Roman"/>
          <w:sz w:val="13"/>
          <w:szCs w:val="13"/>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03" w:lineRule="exact"/>
        <w:rPr>
          <w:sz w:val="20"/>
          <w:szCs w:val="20"/>
          <w:color w:val="auto"/>
        </w:rPr>
      </w:pPr>
    </w:p>
    <w:p>
      <w:pPr>
        <w:ind w:left="1400" w:right="499" w:firstLine="340"/>
        <w:spacing w:after="0" w:line="259" w:lineRule="auto"/>
        <w:rPr>
          <w:sz w:val="20"/>
          <w:szCs w:val="20"/>
          <w:color w:val="auto"/>
        </w:rPr>
      </w:pPr>
      <w:r>
        <w:rPr>
          <w:rFonts w:ascii="Times New Roman" w:cs="Times New Roman" w:eastAsia="Times New Roman" w:hAnsi="Times New Roman"/>
          <w:sz w:val="14"/>
          <w:szCs w:val="14"/>
          <w:color w:val="auto"/>
        </w:rPr>
        <w:t>We agreed to use commercially reasonable efforts to keep the registration statement of which this prospectus forms a part effective until (i) the date on which the securities may be resold by the Selling Securityholders without registration and without regard to any volume</w:t>
      </w:r>
    </w:p>
    <w:p>
      <w:pPr>
        <w:spacing w:after="0" w:line="1" w:lineRule="exact"/>
        <w:rPr>
          <w:sz w:val="20"/>
          <w:szCs w:val="20"/>
          <w:color w:val="auto"/>
        </w:rPr>
      </w:pPr>
    </w:p>
    <w:p>
      <w:pPr>
        <w:ind w:left="1400" w:right="259"/>
        <w:spacing w:after="0" w:line="250" w:lineRule="auto"/>
        <w:rPr>
          <w:sz w:val="20"/>
          <w:szCs w:val="20"/>
          <w:color w:val="auto"/>
        </w:rPr>
      </w:pPr>
      <w:r>
        <w:rPr>
          <w:rFonts w:ascii="Times New Roman" w:cs="Times New Roman" w:eastAsia="Times New Roman" w:hAnsi="Times New Roman"/>
          <w:sz w:val="14"/>
          <w:szCs w:val="14"/>
          <w:color w:val="auto"/>
        </w:rPr>
        <w:t>or manner-of-sale limitations by reason of Rule 144, without the requirement for the Company to be in compliance with the current public information requirement under Rule 144 under the Securities Act or any other rule of similar effect or (ii) the date on which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404"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To the extent applicable, we will make copies of this prospectus available to the Selling Securityholders and have informed them of the need to deliver a copy of this prospectus to each purchaser at or prior to the time of the sale (including by compliance with Rule 172 under the Securities Act). The Selling Securityholders may indemnify any broker-dealer that participates in transactions involving the sale of the shares against certain liabilities, including liabilities arising under the Securities Act.</w:t>
      </w:r>
    </w:p>
    <w:p>
      <w:pPr>
        <w:spacing w:after="0" w:line="144"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color w:val="auto"/>
        </w:rPr>
        <w:t>We will not receive any of the proceeds from the sale of the securities by the Selling Securityholders. We could receive up to an aggregate of approximately $333 million if all of the Warrants held by the Selling Securityholders are exercised for cash. However, we will only receive such proceeds if and when the holders of the Warrants exercise the Warrants for cash. The exercise of the Warrants, and any proceeds we may receive from any such exercise, are highly dependent on the price of shares of our Common Stock and the spread between the exercise price of the Warrants and the price of our Common Stock at the time of exercise. We have (i) 20,000,000 outstanding Public Warrants to purchase 20,000,000 shares of our Common Stock, each exercisable at an exercise price of $11.50 per share, (ii) 3,719,000 outstanding Private Warrants to purchase 3,719,000 shares of our Common Stock, each exercisable at an exercise price of $11.50 per share and (iii) 5,000,000 outstanding Hadron Private Warrants to purchase 5,000,000 shares of our Common Stock. If the market price of our Common Stock is less than the exercise price of a holder’s Warrants, it is unlikely that holders will exercise their Warrants. As of June 12, 2026, the closing price of our Common Stock was $2.74 per share. There can be no assurance that our Warrants will be in the money prior to their expiration. Our Public Warrants, under certain conditions as described in the Warrant Agreement, are redeemable by us at a price of $0.01 per Public Warrant. The Private Warrants and Hadron Private Warrants are not redeemable and are exercisable on a cash or cashless basis; if the Private Warrants or Hadron Private Warrants are exercised on a “cashless basis,” whether or not the Private Warrants or Hadron Private Warrants are in the money, we will not receive cash for such exercise. As such, it is possible that we may never generate any cash proceeds from the exercise of our Warrants. The aggregate proceeds to the Selling Securityholders will be the purchase price of the securities less any discounts and commissions borne by the Selling Securityholders.</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404"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validity of any securities offered by this prospectus will be passed upon for us by DLA Piper LLP (US).</w:t>
      </w:r>
    </w:p>
    <w:p>
      <w:pPr>
        <w:spacing w:after="0" w:line="3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The financial statements of Hadron Energy Operating Company, Inc. (f/k/a Hadron Energy, Inc.) as of December 31, 2025 and 2024, and for the year ended December 31, 2025 and for the period from July 8, 2024 (inception) through December 31, 2024, included in this prospectus, have been so included in reliance on the report (which contains an explanatory paragraph relating to Hadron Energy Operating Company, Inc.’s (f/k/a Hadron Energy, Inc.) ability to continue as a going concern as described in Note 1 to the financial statements) of WithumSmith+Brown, PC, an independent registered public accounting firm, given on the authority of said firm as experts in auditing and accounting.</w:t>
      </w:r>
    </w:p>
    <w:p>
      <w:pPr>
        <w:spacing w:after="0" w:line="142"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The consolidated financial statements of GigCapital7 Corp. as of December 31, 2025 and 2024, for the year ended December 31, 2025 and for the period from May 8, 2024 (date of inception) through December 31, 2024, included in this prospectus, have been so included in reliance on the report (which contains an explanatory paragraph relating to GigCapital7 Corp.’s ability to continue as a going concern as described in Note 1 to the consolidated financial statements) of BPM LLP, an independent registered public accounting firm, given on the authority of said firm as experts in auditing and accounting.</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5"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400" w:right="339" w:firstLine="340"/>
        <w:spacing w:after="0" w:line="257" w:lineRule="auto"/>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https://www.hadronenergy.com</w:t>
      </w:r>
      <w:r>
        <w:rPr>
          <w:rFonts w:ascii="Times New Roman" w:cs="Times New Roman" w:eastAsia="Times New Roman" w:hAnsi="Times New Roman"/>
          <w:sz w:val="14"/>
          <w:szCs w:val="14"/>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404"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 FINANCIAL STATEMENTS</w:t>
      </w:r>
    </w:p>
    <w:p>
      <w:pPr>
        <w:spacing w:after="0" w:line="175"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4"/>
          <w:szCs w:val="14"/>
          <w:color w:val="auto"/>
        </w:rPr>
        <w:t>Audited Consolidated Financial Statements of GigCapital7, Corp. as of December 31, 2025 and 2024 and for the year ended December 31, 2025 and for the period from May 8, 2024 (Date of Inception) through December 31, 2024</w:t>
      </w:r>
    </w:p>
    <w:p>
      <w:pPr>
        <w:spacing w:after="0" w:line="143"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81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EE"/>
              </w:rPr>
              <w:t>Report of Independent Registered Public Accounting Firm (PCAOB ID: 207)</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6"/>
        </w:trPr>
        <w:tc>
          <w:tcPr>
            <w:tcW w:w="8140" w:type="dxa"/>
            <w:vAlign w:val="bottom"/>
            <w:gridSpan w:val="26"/>
            <w:vMerge w:val="continue"/>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F-2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300" w:type="dxa"/>
            <w:vAlign w:val="bottom"/>
            <w:tcBorders>
              <w:top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Consolidated Balance Sheets</w:t>
            </w:r>
          </w:p>
        </w:tc>
        <w:tc>
          <w:tcPr>
            <w:tcW w:w="3840" w:type="dxa"/>
            <w:vAlign w:val="bottom"/>
            <w:gridSpan w:val="9"/>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Consolidated Statement of Operations and Comprehensive Income</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F-4</w:t>
            </w:r>
          </w:p>
        </w:tc>
        <w:tc>
          <w:tcPr>
            <w:tcW w:w="0" w:type="dxa"/>
            <w:vAlign w:val="bottom"/>
          </w:tcPr>
          <w:p>
            <w:pPr>
              <w:spacing w:after="0"/>
              <w:rPr>
                <w:sz w:val="1"/>
                <w:szCs w:val="1"/>
                <w:color w:val="auto"/>
              </w:rPr>
            </w:pPr>
          </w:p>
        </w:tc>
      </w:tr>
      <w:tr>
        <w:trPr>
          <w:trHeight w:val="147"/>
        </w:trPr>
        <w:tc>
          <w:tcPr>
            <w:tcW w:w="3700" w:type="dxa"/>
            <w:vAlign w:val="bottom"/>
            <w:tcBorders>
              <w:top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Consolidated Statement of Shareholders’ Equity (Deficit)</w:t>
            </w:r>
          </w:p>
        </w:tc>
        <w:tc>
          <w:tcPr>
            <w:tcW w:w="4440" w:type="dxa"/>
            <w:vAlign w:val="bottom"/>
            <w:gridSpan w:val="11"/>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F-5</w:t>
            </w:r>
          </w:p>
        </w:tc>
        <w:tc>
          <w:tcPr>
            <w:tcW w:w="0" w:type="dxa"/>
            <w:vAlign w:val="bottom"/>
          </w:tcPr>
          <w:p>
            <w:pPr>
              <w:spacing w:after="0"/>
              <w:rPr>
                <w:sz w:val="1"/>
                <w:szCs w:val="1"/>
                <w:color w:val="auto"/>
              </w:rPr>
            </w:pPr>
          </w:p>
        </w:tc>
      </w:tr>
      <w:tr>
        <w:trPr>
          <w:trHeight w:val="147"/>
        </w:trPr>
        <w:tc>
          <w:tcPr>
            <w:tcW w:w="216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8"/>
              </w:rPr>
              <w:t>Consolidated Statement of Cash Flows</w:t>
            </w:r>
          </w:p>
        </w:tc>
        <w:tc>
          <w:tcPr>
            <w:tcW w:w="1020" w:type="dxa"/>
            <w:vAlign w:val="bottom"/>
            <w:tcBorders>
              <w:top w:val="single" w:sz="8" w:color="0000EE"/>
            </w:tcBorders>
            <w:gridSpan w:val="6"/>
          </w:tcPr>
          <w:p>
            <w:pPr>
              <w:spacing w:after="0"/>
              <w:rPr>
                <w:sz w:val="12"/>
                <w:szCs w:val="12"/>
                <w:color w:val="auto"/>
              </w:rPr>
            </w:pPr>
          </w:p>
        </w:tc>
        <w:tc>
          <w:tcPr>
            <w:tcW w:w="4960" w:type="dxa"/>
            <w:vAlign w:val="bottom"/>
            <w:gridSpan w:val="14"/>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F-6</w:t>
            </w:r>
          </w:p>
        </w:tc>
        <w:tc>
          <w:tcPr>
            <w:tcW w:w="0" w:type="dxa"/>
            <w:vAlign w:val="bottom"/>
          </w:tcPr>
          <w:p>
            <w:pPr>
              <w:spacing w:after="0"/>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F-7</w:t>
            </w:r>
          </w:p>
        </w:tc>
        <w:tc>
          <w:tcPr>
            <w:tcW w:w="0" w:type="dxa"/>
            <w:vAlign w:val="bottom"/>
          </w:tcPr>
          <w:p>
            <w:pPr>
              <w:spacing w:after="0"/>
              <w:rPr>
                <w:sz w:val="1"/>
                <w:szCs w:val="1"/>
                <w:color w:val="auto"/>
              </w:rPr>
            </w:pPr>
          </w:p>
        </w:tc>
      </w:tr>
      <w:tr>
        <w:trPr>
          <w:trHeight w:val="314"/>
        </w:trPr>
        <w:tc>
          <w:tcPr>
            <w:tcW w:w="24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auto"/>
              </w:rPr>
              <w:t xml:space="preserve">Condensed </w:t>
            </w:r>
            <w:r>
              <w:rPr>
                <w:rFonts w:ascii="Times New Roman" w:cs="Times New Roman" w:eastAsia="Times New Roman" w:hAnsi="Times New Roman"/>
                <w:sz w:val="14"/>
                <w:szCs w:val="14"/>
                <w:color w:val="0000EE"/>
              </w:rPr>
              <w:t>Consolidated Balance Sheets</w:t>
            </w:r>
          </w:p>
        </w:tc>
        <w:tc>
          <w:tcPr>
            <w:tcW w:w="5720" w:type="dxa"/>
            <w:vAlign w:val="bottom"/>
            <w:gridSpan w:val="1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F-20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auto"/>
              </w:rPr>
              <w:t xml:space="preserve">Condensed </w:t>
            </w:r>
            <w:r>
              <w:rPr>
                <w:rFonts w:ascii="Times New Roman" w:cs="Times New Roman" w:eastAsia="Times New Roman" w:hAnsi="Times New Roman"/>
                <w:sz w:val="14"/>
                <w:szCs w:val="14"/>
                <w:color w:val="0000EE"/>
              </w:rPr>
              <w:t>Consolidated Statement of Operations and Comprehensive Income</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auto"/>
              </w:rPr>
              <w:t xml:space="preserve">Condensed </w:t>
            </w:r>
            <w:r>
              <w:rPr>
                <w:rFonts w:ascii="Times New Roman" w:cs="Times New Roman" w:eastAsia="Times New Roman" w:hAnsi="Times New Roman"/>
                <w:sz w:val="14"/>
                <w:szCs w:val="14"/>
                <w:color w:val="0000EE"/>
              </w:rPr>
              <w:t>Consolidated Statement of Shareholders’ Equity (Deficit)</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F-22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auto"/>
              </w:rPr>
              <w:t xml:space="preserve">Condensed </w:t>
            </w:r>
            <w:r>
              <w:rPr>
                <w:rFonts w:ascii="Times New Roman" w:cs="Times New Roman" w:eastAsia="Times New Roman" w:hAnsi="Times New Roman"/>
                <w:sz w:val="14"/>
                <w:szCs w:val="14"/>
                <w:color w:val="0000EE"/>
              </w:rPr>
              <w:t>Consolidated Statement of Cash Flows</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8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8"/>
              </w:rPr>
              <w:t>Notes to Condensed Consolidated Financial Statements</w:t>
            </w:r>
          </w:p>
        </w:tc>
        <w:tc>
          <w:tcPr>
            <w:tcW w:w="5060" w:type="dxa"/>
            <w:vAlign w:val="bottom"/>
            <w:gridSpan w:val="15"/>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F-24</w:t>
            </w:r>
          </w:p>
        </w:tc>
        <w:tc>
          <w:tcPr>
            <w:tcW w:w="0" w:type="dxa"/>
            <w:vAlign w:val="bottom"/>
          </w:tcPr>
          <w:p>
            <w:pPr>
              <w:spacing w:after="0"/>
              <w:rPr>
                <w:sz w:val="1"/>
                <w:szCs w:val="1"/>
                <w:color w:val="auto"/>
              </w:rPr>
            </w:pPr>
          </w:p>
        </w:tc>
      </w:tr>
      <w:tr>
        <w:trPr>
          <w:trHeight w:val="5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60" w:type="dxa"/>
            <w:vAlign w:val="bottom"/>
            <w:gridSpan w:val="17"/>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w w:val="98"/>
              </w:rPr>
              <w:t>HADRON ENERGY, INC. FINANCIAL STATEMENTS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1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6"/>
        </w:trPr>
        <w:tc>
          <w:tcPr>
            <w:tcW w:w="8140" w:type="dxa"/>
            <w:vAlign w:val="bottom"/>
            <w:gridSpan w:val="26"/>
            <w:vMerge w:val="continue"/>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F-39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Balance Sheets as of December 31, 2025 and December 31, 2024</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F-40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660" w:type="dxa"/>
            <w:vAlign w:val="bottom"/>
            <w:tcBorders>
              <w:bottom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4"/>
                <w:szCs w:val="14"/>
                <w:color w:val="0000EE"/>
                <w:w w:val="99"/>
              </w:rPr>
              <w:t>Statements of Operations and Comprehensive Loss for the year ended December 31, 2025 and the period from July 8, 2024 (inception) to</w:t>
            </w:r>
          </w:p>
        </w:tc>
        <w:tc>
          <w:tcPr>
            <w:tcW w:w="48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802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December 31, 2024</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60" w:type="dxa"/>
            <w:vAlign w:val="bottom"/>
            <w:tcBorders>
              <w:bottom w:val="single" w:sz="8" w:color="0000EE"/>
            </w:tcBorders>
            <w:gridSpan w:val="25"/>
          </w:tcPr>
          <w:p>
            <w:pPr>
              <w:spacing w:after="0" w:line="147" w:lineRule="exact"/>
              <w:rPr>
                <w:sz w:val="20"/>
                <w:szCs w:val="20"/>
                <w:color w:val="auto"/>
              </w:rPr>
            </w:pPr>
            <w:r>
              <w:rPr>
                <w:rFonts w:ascii="Times New Roman" w:cs="Times New Roman" w:eastAsia="Times New Roman" w:hAnsi="Times New Roman"/>
                <w:sz w:val="14"/>
                <w:szCs w:val="14"/>
                <w:color w:val="0000EE"/>
                <w:w w:val="98"/>
              </w:rPr>
              <w:t>Statement of Stockholders’ Deficit for the year ended December 31, 2025 and the period from July 8, 2024 (inception) to December 31, 2024</w:t>
            </w:r>
          </w:p>
        </w:tc>
        <w:tc>
          <w:tcPr>
            <w:tcW w:w="28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F-42</w:t>
            </w:r>
          </w:p>
        </w:tc>
        <w:tc>
          <w:tcPr>
            <w:tcW w:w="0" w:type="dxa"/>
            <w:vAlign w:val="bottom"/>
          </w:tcPr>
          <w:p>
            <w:pPr>
              <w:spacing w:after="0"/>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Statement of Cash Flows for the year ended December 31, 2025 the period from July 8, 2024 (inception) to December 31, 2024</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F-43</w:t>
            </w:r>
          </w:p>
        </w:tc>
        <w:tc>
          <w:tcPr>
            <w:tcW w:w="0" w:type="dxa"/>
            <w:vAlign w:val="bottom"/>
          </w:tcPr>
          <w:p>
            <w:pPr>
              <w:spacing w:after="0"/>
              <w:rPr>
                <w:sz w:val="1"/>
                <w:szCs w:val="1"/>
                <w:color w:val="auto"/>
              </w:rPr>
            </w:pPr>
          </w:p>
        </w:tc>
      </w:tr>
      <w:tr>
        <w:trPr>
          <w:trHeight w:val="147"/>
        </w:trPr>
        <w:tc>
          <w:tcPr>
            <w:tcW w:w="186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Notes to the Financial Statements</w:t>
            </w:r>
          </w:p>
        </w:tc>
        <w:tc>
          <w:tcPr>
            <w:tcW w:w="5220" w:type="dxa"/>
            <w:vAlign w:val="bottom"/>
            <w:tcBorders>
              <w:top w:val="single" w:sz="8" w:color="0000EE"/>
            </w:tcBorders>
            <w:gridSpan w:val="17"/>
          </w:tcPr>
          <w:p>
            <w:pPr>
              <w:spacing w:after="0"/>
              <w:rPr>
                <w:sz w:val="12"/>
                <w:szCs w:val="12"/>
                <w:color w:val="auto"/>
              </w:rPr>
            </w:pPr>
          </w:p>
        </w:tc>
        <w:tc>
          <w:tcPr>
            <w:tcW w:w="1060" w:type="dxa"/>
            <w:vAlign w:val="bottom"/>
            <w:gridSpan w:val="4"/>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F-44</w:t>
            </w:r>
          </w:p>
        </w:tc>
        <w:tc>
          <w:tcPr>
            <w:tcW w:w="0" w:type="dxa"/>
            <w:vAlign w:val="bottom"/>
          </w:tcPr>
          <w:p>
            <w:pPr>
              <w:spacing w:after="0"/>
              <w:rPr>
                <w:sz w:val="1"/>
                <w:szCs w:val="1"/>
                <w:color w:val="auto"/>
              </w:rPr>
            </w:pPr>
          </w:p>
        </w:tc>
      </w:tr>
      <w:tr>
        <w:trPr>
          <w:trHeight w:val="314"/>
        </w:trPr>
        <w:tc>
          <w:tcPr>
            <w:tcW w:w="8140" w:type="dxa"/>
            <w:vAlign w:val="bottom"/>
            <w:gridSpan w:val="26"/>
          </w:tcPr>
          <w:p>
            <w:pPr>
              <w:spacing w:after="0"/>
              <w:rPr>
                <w:sz w:val="20"/>
                <w:szCs w:val="20"/>
                <w:color w:val="auto"/>
              </w:rPr>
            </w:pPr>
            <w:r>
              <w:rPr>
                <w:rFonts w:ascii="Times New Roman" w:cs="Times New Roman" w:eastAsia="Times New Roman" w:hAnsi="Times New Roman"/>
                <w:sz w:val="14"/>
                <w:szCs w:val="14"/>
                <w:color w:val="0000EE"/>
              </w:rPr>
              <w:t>Unaudited Condensed Balance Sheets as of March 31, 2026 and December 31, 2025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F-56</w:t>
            </w:r>
          </w:p>
        </w:tc>
        <w:tc>
          <w:tcPr>
            <w:tcW w:w="0" w:type="dxa"/>
            <w:vAlign w:val="bottom"/>
          </w:tcPr>
          <w:p>
            <w:pPr>
              <w:spacing w:after="0"/>
              <w:rPr>
                <w:sz w:val="1"/>
                <w:szCs w:val="1"/>
                <w:color w:val="auto"/>
              </w:rPr>
            </w:pP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2200" w:type="dxa"/>
            <w:vAlign w:val="bottom"/>
            <w:gridSpan w:val="10"/>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640" w:type="dxa"/>
            <w:vAlign w:val="bottom"/>
            <w:tcBorders>
              <w:bottom w:val="single" w:sz="8" w:color="0000EE"/>
            </w:tcBorders>
            <w:gridSpan w:val="23"/>
          </w:tcPr>
          <w:p>
            <w:pPr>
              <w:spacing w:after="0" w:line="147" w:lineRule="exact"/>
              <w:rPr>
                <w:sz w:val="20"/>
                <w:szCs w:val="20"/>
                <w:color w:val="auto"/>
              </w:rPr>
            </w:pPr>
            <w:r>
              <w:rPr>
                <w:rFonts w:ascii="Times New Roman" w:cs="Times New Roman" w:eastAsia="Times New Roman" w:hAnsi="Times New Roman"/>
                <w:sz w:val="14"/>
                <w:szCs w:val="14"/>
                <w:color w:val="0000EE"/>
                <w:w w:val="98"/>
              </w:rPr>
              <w:t>Unaudited Condensed Statements of Operations and Comprehensive Income (Loss) for the three months ended March 31, 2026 and 2025</w:t>
            </w:r>
          </w:p>
        </w:tc>
        <w:tc>
          <w:tcPr>
            <w:tcW w:w="500" w:type="dxa"/>
            <w:vAlign w:val="bottom"/>
            <w:gridSpan w:val="3"/>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F-57</w:t>
            </w:r>
          </w:p>
        </w:tc>
        <w:tc>
          <w:tcPr>
            <w:tcW w:w="0" w:type="dxa"/>
            <w:vAlign w:val="bottom"/>
          </w:tcPr>
          <w:p>
            <w:pPr>
              <w:spacing w:after="0"/>
              <w:rPr>
                <w:sz w:val="1"/>
                <w:szCs w:val="1"/>
                <w:color w:val="auto"/>
              </w:rPr>
            </w:pPr>
          </w:p>
        </w:tc>
      </w:tr>
      <w:tr>
        <w:trPr>
          <w:trHeight w:val="147"/>
        </w:trPr>
        <w:tc>
          <w:tcPr>
            <w:tcW w:w="6240" w:type="dxa"/>
            <w:vAlign w:val="bottom"/>
            <w:tcBorders>
              <w:bottom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w w:val="98"/>
              </w:rPr>
              <w:t>Unaudited Condensed Statements of Stockholders’ Deficit for the three months ended March 31, 2026 and 2025</w:t>
            </w:r>
          </w:p>
        </w:tc>
        <w:tc>
          <w:tcPr>
            <w:tcW w:w="1900" w:type="dxa"/>
            <w:vAlign w:val="bottom"/>
            <w:gridSpan w:val="5"/>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F-58</w:t>
            </w:r>
          </w:p>
        </w:tc>
        <w:tc>
          <w:tcPr>
            <w:tcW w:w="0" w:type="dxa"/>
            <w:vAlign w:val="bottom"/>
          </w:tcPr>
          <w:p>
            <w:pPr>
              <w:spacing w:after="0"/>
              <w:rPr>
                <w:sz w:val="1"/>
                <w:szCs w:val="1"/>
                <w:color w:val="auto"/>
              </w:rPr>
            </w:pPr>
          </w:p>
        </w:tc>
      </w:tr>
      <w:tr>
        <w:trPr>
          <w:trHeight w:val="147"/>
        </w:trPr>
        <w:tc>
          <w:tcPr>
            <w:tcW w:w="570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w w:val="98"/>
              </w:rPr>
              <w:t>Unaudited Condensed Statements of Cash Flows for the three months ended March 31, 2026 and 2025</w:t>
            </w:r>
          </w:p>
        </w:tc>
        <w:tc>
          <w:tcPr>
            <w:tcW w:w="2440" w:type="dxa"/>
            <w:vAlign w:val="bottom"/>
            <w:gridSpan w:val="6"/>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F-59</w:t>
            </w:r>
          </w:p>
        </w:tc>
        <w:tc>
          <w:tcPr>
            <w:tcW w:w="0" w:type="dxa"/>
            <w:vAlign w:val="bottom"/>
          </w:tcPr>
          <w:p>
            <w:pPr>
              <w:spacing w:after="0"/>
              <w:rPr>
                <w:sz w:val="1"/>
                <w:szCs w:val="1"/>
                <w:color w:val="auto"/>
              </w:rPr>
            </w:pPr>
          </w:p>
        </w:tc>
      </w:tr>
      <w:tr>
        <w:trPr>
          <w:trHeight w:val="147"/>
        </w:trPr>
        <w:tc>
          <w:tcPr>
            <w:tcW w:w="8140" w:type="dxa"/>
            <w:vAlign w:val="bottom"/>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Notes to the Unaudited Financial Statements</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F-60</w:t>
            </w:r>
          </w:p>
        </w:tc>
        <w:tc>
          <w:tcPr>
            <w:tcW w:w="0" w:type="dxa"/>
            <w:vAlign w:val="bottom"/>
          </w:tcPr>
          <w:p>
            <w:pPr>
              <w:spacing w:after="0"/>
              <w:rPr>
                <w:sz w:val="1"/>
                <w:szCs w:val="1"/>
                <w:color w:val="auto"/>
              </w:rPr>
            </w:pPr>
          </w:p>
        </w:tc>
      </w:tr>
      <w:tr>
        <w:trPr>
          <w:trHeight w:val="293"/>
        </w:trPr>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00" w:type="dxa"/>
            <w:vAlign w:val="bottom"/>
            <w:gridSpan w:val="10"/>
          </w:tcPr>
          <w:p>
            <w:pPr>
              <w:jc w:val="center"/>
              <w:ind w:right="3500"/>
              <w:spacing w:after="0"/>
              <w:rPr>
                <w:sz w:val="20"/>
                <w:szCs w:val="20"/>
                <w:color w:val="auto"/>
              </w:rPr>
            </w:pPr>
            <w:r>
              <w:rPr>
                <w:rFonts w:ascii="Times New Roman" w:cs="Times New Roman" w:eastAsia="Times New Roman" w:hAnsi="Times New Roman"/>
                <w:sz w:val="14"/>
                <w:szCs w:val="14"/>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4"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the Board of Directors and</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Shareholders of GigCapital7 Corp.</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91"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GigCapital7 Corp. (a Cayman Islands exempted company) (the “Company”) as of December 31, 2025 and 2024, and the related consolidated statements of operations and comprehensive income, shareholders’ equity (deficit), and cash flows for the year ended December 31, 2025 and the period from May 8, 2024 (date of inception) through December 31,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 ended December 31, 2025 and the period from May 8, 2024 (date of inception) through December 31, 2024, in conformity with accounting principles generally accepted in the United States of America.</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Going Concern Uncertainty</w:t>
      </w:r>
    </w:p>
    <w:p>
      <w:pPr>
        <w:spacing w:after="0" w:line="91"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GigCapital7 Corp. will continue as a going concern. As discussed in Note 1 to the consolidated financial statements, the Company has no present revenue, its business plan is dependent on the completion of a business combination and the Company’s cash and working capital as of December 31, 2025 are not sufficient to complete its planned activities for the upcoming year. These conditions raise substantial doubt about the Company’s ability to continue as a going concern. Management’s plans regarding these matters are also described in Note 1. The consolidated financial statements do not include any adjustments that might result from the outcome of this uncertainty.</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1"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 BPM LLP</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March 6, 2026</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404"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4"/>
        </w:trPr>
        <w:tc>
          <w:tcPr>
            <w:tcW w:w="64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1"/>
                <w:szCs w:val="11"/>
                <w:color w:val="auto"/>
              </w:rPr>
            </w:pPr>
          </w:p>
        </w:tc>
      </w:tr>
      <w:tr>
        <w:trPr>
          <w:trHeight w:val="147"/>
        </w:trPr>
        <w:tc>
          <w:tcPr>
            <w:tcW w:w="6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89,362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1,344,228</w:t>
            </w:r>
          </w:p>
        </w:tc>
      </w:tr>
      <w:tr>
        <w:trPr>
          <w:trHeight w:val="167"/>
        </w:trPr>
        <w:tc>
          <w:tcPr>
            <w:tcW w:w="6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151,344</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207,680</w:t>
            </w:r>
          </w:p>
        </w:tc>
      </w:tr>
      <w:tr>
        <w:trPr>
          <w:trHeight w:val="167"/>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240,706</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1,551,908</w:t>
            </w: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Cash and marketable securities held in Trust Account</w:t>
            </w: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211,637,310</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203,188,704</w:t>
            </w:r>
          </w:p>
        </w:tc>
      </w:tr>
      <w:tr>
        <w:trPr>
          <w:trHeight w:val="167"/>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85,984</w:t>
            </w: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211,878,016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204,826,596</w:t>
            </w:r>
          </w:p>
        </w:tc>
      </w:tr>
      <w:tr>
        <w:trPr>
          <w:trHeight w:val="167"/>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ORDINARY SHARES AND SHAREHOLDERS’ EQUITY (DEFICIT)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170,775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25,439</w:t>
            </w:r>
          </w:p>
        </w:tc>
      </w:tr>
      <w:tr>
        <w:trPr>
          <w:trHeight w:val="167"/>
        </w:trPr>
        <w:tc>
          <w:tcPr>
            <w:tcW w:w="6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Related party payable</w:t>
            </w: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4,053</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34,048</w:t>
            </w:r>
          </w:p>
        </w:tc>
      </w:tr>
      <w:tr>
        <w:trPr>
          <w:trHeight w:val="167"/>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legal services</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1,818,095</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123,464</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114,000</w:t>
            </w:r>
          </w:p>
        </w:tc>
      </w:tr>
      <w:tr>
        <w:trPr>
          <w:trHeight w:val="167"/>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2,116,387</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173,487</w:t>
            </w: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1,524,790</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241,735</w:t>
            </w:r>
          </w:p>
        </w:tc>
      </w:tr>
      <w:tr>
        <w:trPr>
          <w:trHeight w:val="167"/>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3,641,177</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415,222</w:t>
            </w: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 (Note 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2"/>
        </w:trPr>
        <w:tc>
          <w:tcPr>
            <w:tcW w:w="64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Class A ordinary shares subject to possible redemption, par value of $0.0001 per share 200,000,000 shares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7"/>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authorized; 20,000,000 shares at a redemption value of $10.58 per share and $10.15 per share as of</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2"/>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211,537,310</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203,088,704</w:t>
            </w: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2"/>
        </w:trPr>
        <w:tc>
          <w:tcPr>
            <w:tcW w:w="644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Preferred shares, par value of $0.0001 per share; 1,000,000 shares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2"/>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authorized; none issued or outstanding</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52"/>
        </w:trPr>
        <w:tc>
          <w:tcPr>
            <w:tcW w:w="644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Class A ordinary shares, par value of $0.0001 per share; 200,000,000 shares authorized; none issued or</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2"/>
        </w:trPr>
        <w:tc>
          <w:tcPr>
            <w:tcW w:w="64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outstanding (excludes 20,000,000 shares subject to possible redemption)</w:t>
            </w: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52"/>
        </w:trPr>
        <w:tc>
          <w:tcPr>
            <w:tcW w:w="644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Class B ordinary shares, par value of $0.0001 per share; 50,000,000 shares authorized; 13,333,333 shares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2"/>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issued and outstanding as of December 31, 2025 and 2024</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1,333</w:t>
            </w:r>
          </w:p>
        </w:tc>
      </w:tr>
      <w:tr>
        <w:trPr>
          <w:trHeight w:val="167"/>
        </w:trPr>
        <w:tc>
          <w:tcPr>
            <w:tcW w:w="6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(3,301,804)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1,321,337</w:t>
            </w:r>
          </w:p>
        </w:tc>
      </w:tr>
      <w:tr>
        <w:trPr>
          <w:trHeight w:val="167"/>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 (deficit)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(3,300,471)</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1,322,670</w:t>
            </w:r>
          </w:p>
        </w:tc>
      </w:tr>
      <w:tr>
        <w:trPr>
          <w:trHeight w:val="150"/>
        </w:trPr>
        <w:tc>
          <w:tcPr>
            <w:tcW w:w="64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TOTAL LIABILITIES, REDEEMABLE ORDINARY SHARES AND SHAREHOLDERS’ EQUITY</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4"/>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211,878,016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204,826,596</w:t>
            </w:r>
          </w:p>
        </w:tc>
      </w:tr>
    </w:tbl>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404"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May 8, 2024</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(Inception)</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through</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9"/>
                <w:szCs w:val="9"/>
                <w:color w:val="auto"/>
              </w:rPr>
            </w:pPr>
          </w:p>
        </w:tc>
        <w:tc>
          <w:tcPr>
            <w:tcW w:w="1040" w:type="dxa"/>
            <w:vAlign w:val="bottom"/>
            <w:gridSpan w:val="3"/>
          </w:tcPr>
          <w:p>
            <w:pPr>
              <w:jc w:val="center"/>
              <w:ind w:right="3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78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66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3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3,340,796</w:t>
            </w:r>
          </w:p>
        </w:tc>
        <w:tc>
          <w:tcPr>
            <w:tcW w:w="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628,761</w:t>
            </w:r>
          </w:p>
        </w:tc>
        <w:tc>
          <w:tcPr>
            <w:tcW w:w="0" w:type="dxa"/>
            <w:vAlign w:val="bottom"/>
          </w:tcPr>
          <w:p>
            <w:pPr>
              <w:spacing w:after="0"/>
              <w:rPr>
                <w:sz w:val="1"/>
                <w:szCs w:val="1"/>
                <w:color w:val="auto"/>
              </w:rPr>
            </w:pPr>
          </w:p>
        </w:tc>
      </w:tr>
      <w:tr>
        <w:trPr>
          <w:trHeight w:val="167"/>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w w:val="97"/>
              </w:rPr>
              <w:t>(3,340,796)</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(628,761)</w:t>
            </w:r>
          </w:p>
        </w:tc>
        <w:tc>
          <w:tcPr>
            <w:tcW w:w="0" w:type="dxa"/>
            <w:vAlign w:val="bottom"/>
          </w:tcPr>
          <w:p>
            <w:pPr>
              <w:spacing w:after="0"/>
              <w:rPr>
                <w:sz w:val="1"/>
                <w:szCs w:val="1"/>
                <w:color w:val="auto"/>
              </w:rPr>
            </w:pP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w w:val="97"/>
              </w:rPr>
              <w:t>(1,283,055)</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(183,675)</w:t>
            </w:r>
          </w:p>
        </w:tc>
        <w:tc>
          <w:tcPr>
            <w:tcW w:w="0" w:type="dxa"/>
            <w:vAlign w:val="bottom"/>
          </w:tcPr>
          <w:p>
            <w:pPr>
              <w:spacing w:after="0"/>
              <w:rPr>
                <w:sz w:val="1"/>
                <w:szCs w:val="1"/>
                <w:color w:val="auto"/>
              </w:rPr>
            </w:pPr>
          </w:p>
        </w:tc>
      </w:tr>
      <w:tr>
        <w:trPr>
          <w:trHeight w:val="167"/>
        </w:trPr>
        <w:tc>
          <w:tcPr>
            <w:tcW w:w="6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710</w:t>
            </w:r>
          </w:p>
        </w:tc>
        <w:tc>
          <w:tcPr>
            <w:tcW w:w="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52"/>
        </w:trPr>
        <w:tc>
          <w:tcPr>
            <w:tcW w:w="668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Interest and dividend income on marketable securities held in Trust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Account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8,448,606</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3,188,704</w:t>
            </w:r>
          </w:p>
        </w:tc>
        <w:tc>
          <w:tcPr>
            <w:tcW w:w="0" w:type="dxa"/>
            <w:vAlign w:val="bottom"/>
          </w:tcPr>
          <w:p>
            <w:pPr>
              <w:spacing w:after="0"/>
              <w:rPr>
                <w:sz w:val="1"/>
                <w:szCs w:val="1"/>
                <w:color w:val="auto"/>
              </w:rPr>
            </w:pP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3,825,465</w:t>
            </w:r>
          </w:p>
        </w:tc>
        <w:tc>
          <w:tcPr>
            <w:tcW w:w="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2,378,292</w:t>
            </w:r>
          </w:p>
        </w:tc>
        <w:tc>
          <w:tcPr>
            <w:tcW w:w="0" w:type="dxa"/>
            <w:vAlign w:val="bottom"/>
          </w:tcPr>
          <w:p>
            <w:pPr>
              <w:spacing w:after="0"/>
              <w:rPr>
                <w:sz w:val="1"/>
                <w:szCs w:val="1"/>
                <w:color w:val="auto"/>
              </w:rPr>
            </w:pPr>
          </w:p>
        </w:tc>
      </w:tr>
      <w:tr>
        <w:trPr>
          <w:trHeight w:val="16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3,825,465</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2,378,292</w:t>
            </w:r>
          </w:p>
        </w:tc>
        <w:tc>
          <w:tcPr>
            <w:tcW w:w="0" w:type="dxa"/>
            <w:vAlign w:val="bottom"/>
          </w:tcPr>
          <w:p>
            <w:pPr>
              <w:spacing w:after="0"/>
              <w:rPr>
                <w:sz w:val="1"/>
                <w:szCs w:val="1"/>
                <w:color w:val="auto"/>
              </w:rPr>
            </w:pPr>
          </w:p>
        </w:tc>
      </w:tr>
      <w:tr>
        <w:trPr>
          <w:trHeight w:val="152"/>
        </w:trPr>
        <w:tc>
          <w:tcPr>
            <w:tcW w:w="66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income attributable to Class A ordinary shares subject to possible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2,295,279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1,087,567</w:t>
            </w:r>
          </w:p>
        </w:tc>
        <w:tc>
          <w:tcPr>
            <w:tcW w:w="0" w:type="dxa"/>
            <w:vAlign w:val="bottom"/>
          </w:tcPr>
          <w:p>
            <w:pPr>
              <w:spacing w:after="0"/>
              <w:rPr>
                <w:sz w:val="1"/>
                <w:szCs w:val="1"/>
                <w:color w:val="auto"/>
              </w:rPr>
            </w:pPr>
          </w:p>
        </w:tc>
      </w:tr>
      <w:tr>
        <w:trPr>
          <w:trHeight w:val="152"/>
        </w:trPr>
        <w:tc>
          <w:tcPr>
            <w:tcW w:w="6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Basic and diluted weighted-average shares outstanding, Class A ordinary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subject to possible redemption</w:t>
            </w:r>
          </w:p>
        </w:tc>
        <w:tc>
          <w:tcPr>
            <w:tcW w:w="8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5"/>
              </w:rPr>
              <w:t>20,000,000</w:t>
            </w:r>
          </w:p>
        </w:tc>
        <w:tc>
          <w:tcPr>
            <w:tcW w:w="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10,420,168</w:t>
            </w:r>
          </w:p>
        </w:tc>
        <w:tc>
          <w:tcPr>
            <w:tcW w:w="0" w:type="dxa"/>
            <w:vAlign w:val="bottom"/>
          </w:tcPr>
          <w:p>
            <w:pPr>
              <w:spacing w:after="0"/>
              <w:rPr>
                <w:sz w:val="1"/>
                <w:szCs w:val="1"/>
                <w:color w:val="auto"/>
              </w:rPr>
            </w:pPr>
          </w:p>
        </w:tc>
      </w:tr>
      <w:tr>
        <w:trPr>
          <w:trHeight w:val="150"/>
        </w:trPr>
        <w:tc>
          <w:tcPr>
            <w:tcW w:w="66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Basic and diluted net income per share, Class A ordinary shares subject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 possible redemption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0.11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67"/>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Class B non-redeemable ordinary shares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1,530,186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1,290,725</w:t>
            </w:r>
          </w:p>
        </w:tc>
        <w:tc>
          <w:tcPr>
            <w:tcW w:w="0" w:type="dxa"/>
            <w:vAlign w:val="bottom"/>
          </w:tcPr>
          <w:p>
            <w:pPr>
              <w:spacing w:after="0"/>
              <w:rPr>
                <w:sz w:val="1"/>
                <w:szCs w:val="1"/>
                <w:color w:val="auto"/>
              </w:rPr>
            </w:pPr>
          </w:p>
        </w:tc>
      </w:tr>
      <w:tr>
        <w:trPr>
          <w:trHeight w:val="16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weighted-average Class B non-redeemable ordinary shares outstanding</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5"/>
              </w:rPr>
              <w:t>13,333,333</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12,366,661</w:t>
            </w:r>
          </w:p>
        </w:tc>
        <w:tc>
          <w:tcPr>
            <w:tcW w:w="0" w:type="dxa"/>
            <w:vAlign w:val="bottom"/>
          </w:tcPr>
          <w:p>
            <w:pPr>
              <w:spacing w:after="0"/>
              <w:rPr>
                <w:sz w:val="1"/>
                <w:szCs w:val="1"/>
                <w:color w:val="auto"/>
              </w:rPr>
            </w:pPr>
          </w:p>
        </w:tc>
      </w:tr>
      <w:tr>
        <w:trPr>
          <w:trHeight w:val="184"/>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and diluted net income per share, Class B non-redeemable ordinary shares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0.11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404"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 (Deficit)</w:t>
      </w:r>
    </w:p>
    <w:p>
      <w:pPr>
        <w:spacing w:after="0" w:line="174"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4000" w:type="dxa"/>
            <w:vAlign w:val="bottom"/>
          </w:tcPr>
          <w:p>
            <w:pPr>
              <w:spacing w:after="0"/>
              <w:rPr>
                <w:sz w:val="12"/>
                <w:szCs w:val="12"/>
                <w:color w:val="auto"/>
              </w:rPr>
            </w:pPr>
          </w:p>
        </w:tc>
        <w:tc>
          <w:tcPr>
            <w:tcW w:w="1660" w:type="dxa"/>
            <w:vAlign w:val="bottom"/>
            <w:gridSpan w:val="6"/>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Period from May 8, 2024 (Inception) through</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vMerge w:val="restart"/>
          </w:tcPr>
          <w:p>
            <w:pPr>
              <w:jc w:val="right"/>
              <w:ind w:right="420"/>
              <w:spacing w:after="0" w:line="85"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60" w:type="dxa"/>
            <w:vAlign w:val="bottom"/>
          </w:tcPr>
          <w:p>
            <w:pPr>
              <w:spacing w:after="0" w:line="20" w:lineRule="exact"/>
              <w:rPr>
                <w:sz w:val="1"/>
                <w:szCs w:val="1"/>
                <w:color w:val="auto"/>
              </w:rPr>
            </w:pPr>
          </w:p>
        </w:tc>
        <w:tc>
          <w:tcPr>
            <w:tcW w:w="780" w:type="dxa"/>
            <w:vAlign w:val="bottom"/>
            <w:gridSpan w:val="2"/>
            <w:vMerge w:val="restart"/>
          </w:tcPr>
          <w:p>
            <w:pPr>
              <w:jc w:val="center"/>
              <w:ind w:right="240"/>
              <w:spacing w:after="0" w:line="85" w:lineRule="exact"/>
              <w:rPr>
                <w:sz w:val="20"/>
                <w:szCs w:val="20"/>
                <w:color w:val="auto"/>
              </w:rPr>
            </w:pPr>
            <w:r>
              <w:rPr>
                <w:rFonts w:ascii="Times New Roman" w:cs="Times New Roman" w:eastAsia="Times New Roman" w:hAnsi="Times New Roman"/>
                <w:sz w:val="9"/>
                <w:szCs w:val="9"/>
                <w:b w:val="1"/>
                <w:bCs w:val="1"/>
                <w:color w:val="auto"/>
              </w:rPr>
              <w:t>Earnings</w:t>
            </w:r>
          </w:p>
        </w:tc>
        <w:tc>
          <w:tcPr>
            <w:tcW w:w="120" w:type="dxa"/>
            <w:vAlign w:val="bottom"/>
          </w:tcPr>
          <w:p>
            <w:pPr>
              <w:spacing w:after="0" w:line="20" w:lineRule="exact"/>
              <w:rPr>
                <w:sz w:val="1"/>
                <w:szCs w:val="1"/>
                <w:color w:val="auto"/>
              </w:rPr>
            </w:pPr>
          </w:p>
        </w:tc>
        <w:tc>
          <w:tcPr>
            <w:tcW w:w="840" w:type="dxa"/>
            <w:vAlign w:val="bottom"/>
            <w:gridSpan w:val="3"/>
            <w:vMerge w:val="restart"/>
          </w:tcPr>
          <w:p>
            <w:pPr>
              <w:jc w:val="center"/>
              <w:ind w:right="80"/>
              <w:spacing w:after="0" w:line="85" w:lineRule="exact"/>
              <w:rPr>
                <w:sz w:val="20"/>
                <w:szCs w:val="20"/>
                <w:color w:val="auto"/>
              </w:rPr>
            </w:pPr>
            <w:r>
              <w:rPr>
                <w:rFonts w:ascii="Times New Roman" w:cs="Times New Roman" w:eastAsia="Times New Roman" w:hAnsi="Times New Roman"/>
                <w:sz w:val="9"/>
                <w:szCs w:val="9"/>
                <w:b w:val="1"/>
                <w:bCs w:val="1"/>
                <w:color w:val="auto"/>
              </w:rPr>
              <w:t>Shareholders’</w:t>
            </w:r>
          </w:p>
        </w:tc>
        <w:tc>
          <w:tcPr>
            <w:tcW w:w="0" w:type="dxa"/>
            <w:vAlign w:val="bottom"/>
          </w:tcPr>
          <w:p>
            <w:pPr>
              <w:spacing w:after="0"/>
              <w:rPr>
                <w:sz w:val="1"/>
                <w:szCs w:val="1"/>
                <w:color w:val="auto"/>
              </w:rPr>
            </w:pPr>
          </w:p>
        </w:tc>
      </w:tr>
      <w:tr>
        <w:trPr>
          <w:trHeight w:val="44"/>
        </w:trPr>
        <w:tc>
          <w:tcPr>
            <w:tcW w:w="40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4000" w:type="dxa"/>
            <w:vAlign w:val="bottom"/>
            <w:vMerge w:val="continue"/>
          </w:tcPr>
          <w:p>
            <w:pPr>
              <w:spacing w:after="0"/>
              <w:rPr>
                <w:sz w:val="9"/>
                <w:szCs w:val="9"/>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9"/>
                <w:szCs w:val="9"/>
                <w:color w:val="auto"/>
              </w:rPr>
            </w:pPr>
          </w:p>
        </w:tc>
        <w:tc>
          <w:tcPr>
            <w:tcW w:w="980" w:type="dxa"/>
            <w:vAlign w:val="bottom"/>
            <w:gridSpan w:val="2"/>
          </w:tcPr>
          <w:p>
            <w:pPr>
              <w:jc w:val="right"/>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Paid-In</w:t>
            </w:r>
          </w:p>
        </w:tc>
        <w:tc>
          <w:tcPr>
            <w:tcW w:w="840" w:type="dxa"/>
            <w:vAlign w:val="bottom"/>
            <w:gridSpan w:val="3"/>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4"/>
        </w:trPr>
        <w:tc>
          <w:tcPr>
            <w:tcW w:w="4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7"/>
        </w:trPr>
        <w:tc>
          <w:tcPr>
            <w:tcW w:w="40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as of May 8, 2024 (Inception)</w:t>
            </w: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B ordinary shares to Founder and consultant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17,300,000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1,730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101,270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103,000</w:t>
            </w: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Surrender of Class B ordinary shares by Founder</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(6,792,754)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(679)</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679</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B ordinary shares in private placement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2,826,087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85"/>
              </w:rPr>
              <w:t>282</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3,249,718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3,250,000</w:t>
            </w: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public warrants at issuance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18,460,769</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18,460,769</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Allocated value of issuance costs to public warrants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(111,538)</w:t>
            </w:r>
          </w:p>
        </w:tc>
        <w:tc>
          <w:tcPr>
            <w:tcW w:w="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(111,538)</w:t>
            </w: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6"/>
              </w:rPr>
              <w:t>(22,757,853)</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(22,757,853)</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Reclass of negative additional paid-in capital to retained earnings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1,056,955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7"/>
              </w:rPr>
              <w:t>(1,056,955)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2,378,292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2,378,292</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13,333,333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1,333</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1,321,337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1,322,670</w:t>
            </w: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(8,448,606)</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(8,448,606)</w:t>
            </w:r>
          </w:p>
        </w:tc>
        <w:tc>
          <w:tcPr>
            <w:tcW w:w="0" w:type="dxa"/>
            <w:vAlign w:val="bottom"/>
          </w:tcPr>
          <w:p>
            <w:pPr>
              <w:spacing w:after="0"/>
              <w:rPr>
                <w:sz w:val="1"/>
                <w:szCs w:val="1"/>
                <w:color w:val="auto"/>
              </w:rPr>
            </w:pPr>
          </w:p>
        </w:tc>
      </w:tr>
      <w:tr>
        <w:trPr>
          <w:trHeight w:val="115"/>
        </w:trPr>
        <w:tc>
          <w:tcPr>
            <w:tcW w:w="40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Reclass of negative additional paid-in capital to retained earnings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8,448,606</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7"/>
              </w:rPr>
              <w:t>(8,448,606)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3,825,465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3,825,465</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13,333,333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1,333</w:t>
            </w:r>
          </w:p>
        </w:tc>
        <w:tc>
          <w:tcPr>
            <w:tcW w:w="3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7"/>
              </w:rPr>
              <w:t>(3,301,804)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(3,300,471)</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404"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5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2"/>
              </w:rPr>
              <w:t>Year ended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May 8, 2024</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(Inception)</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through</w:t>
            </w:r>
          </w:p>
        </w:tc>
        <w:tc>
          <w:tcPr>
            <w:tcW w:w="0" w:type="dxa"/>
            <w:vAlign w:val="bottom"/>
          </w:tcPr>
          <w:p>
            <w:pPr>
              <w:spacing w:after="0"/>
              <w:rPr>
                <w:sz w:val="1"/>
                <w:szCs w:val="1"/>
                <w:color w:val="auto"/>
              </w:rPr>
            </w:pPr>
          </w:p>
        </w:tc>
      </w:tr>
      <w:tr>
        <w:trPr>
          <w:trHeight w:val="134"/>
        </w:trPr>
        <w:tc>
          <w:tcPr>
            <w:tcW w:w="5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47"/>
        </w:trPr>
        <w:tc>
          <w:tcPr>
            <w:tcW w:w="57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6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3,825,465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2,378,292</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1,283,055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183,675</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and dividends earned on cash and marketable securities held in Trust Account</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4"/>
              </w:rPr>
              <w:t>(8,448,606)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(3,188,704)</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56,336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(207,680)</w:t>
            </w:r>
          </w:p>
        </w:tc>
        <w:tc>
          <w:tcPr>
            <w:tcW w:w="0" w:type="dxa"/>
            <w:vAlign w:val="bottom"/>
          </w:tcPr>
          <w:p>
            <w:pPr>
              <w:spacing w:after="0"/>
              <w:rPr>
                <w:sz w:val="1"/>
                <w:szCs w:val="1"/>
                <w:color w:val="auto"/>
              </w:rPr>
            </w:pPr>
          </w:p>
        </w:tc>
      </w:tr>
      <w:tr>
        <w:trPr>
          <w:trHeight w:val="167"/>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145,336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25,439</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Related party payable</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(29,995)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34,048</w:t>
            </w:r>
          </w:p>
        </w:tc>
        <w:tc>
          <w:tcPr>
            <w:tcW w:w="0" w:type="dxa"/>
            <w:vAlign w:val="bottom"/>
          </w:tcPr>
          <w:p>
            <w:pPr>
              <w:spacing w:after="0"/>
              <w:rPr>
                <w:sz w:val="1"/>
                <w:szCs w:val="1"/>
                <w:color w:val="auto"/>
              </w:rPr>
            </w:pPr>
          </w:p>
        </w:tc>
      </w:tr>
      <w:tr>
        <w:trPr>
          <w:trHeight w:val="167"/>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legal services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1,818,095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84,464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39,000</w:t>
            </w:r>
          </w:p>
        </w:tc>
        <w:tc>
          <w:tcPr>
            <w:tcW w:w="0" w:type="dxa"/>
            <w:vAlign w:val="bottom"/>
          </w:tcPr>
          <w:p>
            <w:pPr>
              <w:spacing w:after="0"/>
              <w:rPr>
                <w:sz w:val="1"/>
                <w:szCs w:val="1"/>
                <w:color w:val="auto"/>
              </w:rPr>
            </w:pPr>
          </w:p>
        </w:tc>
      </w:tr>
      <w:tr>
        <w:trPr>
          <w:trHeight w:val="167"/>
        </w:trPr>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85,984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(85,984)</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4"/>
              </w:rPr>
              <w:t>(1,179,866)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(821,914)</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of cash in Trust Account</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(200,000,000)</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(200,000,000)</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Class B ordinary shares to founder and consultant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103,000</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public units, net of underwriting discount paid</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199,400,000</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sale of private placement warrants to Founder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58,060</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Class B ordinary shares in a private placement</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3,250,000</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Payment of offering costs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(75,000)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(644,918)</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202,166,142</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4"/>
              </w:rPr>
              <w:t>(1,254,866)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1,344,228</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at beginning of period</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1,344,228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Cash at end of period</w:t>
            </w:r>
          </w:p>
        </w:tc>
        <w:tc>
          <w:tcPr>
            <w:tcW w:w="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89,362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1,344,228</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non-cash disclosure:</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Offering costs included in accounts payable, related party payable and accrued liabilities</w:t>
            </w:r>
          </w:p>
        </w:tc>
        <w:tc>
          <w:tcPr>
            <w:tcW w:w="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8,448,606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22,757,853</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404"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 DESCRIPTION OF ORGANIZATION AND BUSINESS OPERATIONS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General</w:t>
      </w:r>
    </w:p>
    <w:p>
      <w:pPr>
        <w:spacing w:after="0" w:line="91" w:lineRule="exact"/>
        <w:rPr>
          <w:sz w:val="20"/>
          <w:szCs w:val="20"/>
          <w:color w:val="auto"/>
        </w:rPr>
      </w:pPr>
    </w:p>
    <w:p>
      <w:pPr>
        <w:ind w:left="1400" w:right="319" w:firstLine="340"/>
        <w:spacing w:after="0" w:line="285" w:lineRule="auto"/>
        <w:rPr>
          <w:sz w:val="20"/>
          <w:szCs w:val="20"/>
          <w:color w:val="auto"/>
        </w:rPr>
      </w:pPr>
      <w:r>
        <w:rPr>
          <w:rFonts w:ascii="Times New Roman" w:cs="Times New Roman" w:eastAsia="Times New Roman" w:hAnsi="Times New Roman"/>
          <w:sz w:val="13"/>
          <w:szCs w:val="13"/>
          <w:color w:val="auto"/>
        </w:rPr>
        <w:t>GigCapital7 Corp. (the “Company” or “GigCapital7”) was incorporated as a Cayman Islands exempted company on May 8, 2024.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w:t>
      </w:r>
    </w:p>
    <w:p>
      <w:pPr>
        <w:spacing w:after="0" w:line="124" w:lineRule="exact"/>
        <w:rPr>
          <w:sz w:val="20"/>
          <w:szCs w:val="20"/>
          <w:color w:val="auto"/>
        </w:rPr>
      </w:pPr>
    </w:p>
    <w:p>
      <w:pPr>
        <w:ind w:left="1400" w:right="439" w:firstLine="340"/>
        <w:spacing w:after="0" w:line="256" w:lineRule="auto"/>
        <w:rPr>
          <w:sz w:val="20"/>
          <w:szCs w:val="20"/>
          <w:color w:val="auto"/>
        </w:rPr>
      </w:pPr>
      <w:r>
        <w:rPr>
          <w:rFonts w:ascii="Times New Roman" w:cs="Times New Roman" w:eastAsia="Times New Roman" w:hAnsi="Times New Roman"/>
          <w:sz w:val="14"/>
          <w:szCs w:val="14"/>
          <w:color w:val="auto"/>
        </w:rPr>
        <w:t>As of December 31, 2025, the Company had not commenced any operations. All activity for the period from May 8, 2024 (date of inception) through December 31, 2025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generates non-operating income in the form of interest and dividend income on cash, cash equivalents and marketable securities from the proceeds derived from the Offering. The Company has selected December 31 as its fiscal year end.</w:t>
      </w:r>
    </w:p>
    <w:p>
      <w:pPr>
        <w:spacing w:after="0" w:line="121"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On August 28, 2024, the Securities and Exchange Commission (the “SEC”) declared the Company’s initial Registration Statement on Form S-1 (File No. 333-280015), in connection with the Offering of $200.0 million, effective.</w:t>
      </w:r>
    </w:p>
    <w:p>
      <w:pPr>
        <w:spacing w:after="0" w:line="126"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The Company entered into an underwriting agreement with Craft Capital Management LLC and EF Hutton LLC (collectively, the “Underwriters”) on August 28, 2024 to conduct the Offering of 20,000,000 units (the “public units”) in the amount of $200.0 million in gross proceeds, with a 45-day option provided to the Underwriters to purchase up to 3,000,000 additional public units solely to cover over-allotments, if any, in the amount of up to $30.0 million in additional gross proceeds. Each public unit consists of one Class A ordinary share of the Company (a “public share”), $0.0001 par value, and one redeemable warrant (a “public warrant”). Each public warrant is exercisable for one Class A ordinary share at a price of $11.50 per full share.</w:t>
      </w:r>
    </w:p>
    <w:p>
      <w:pPr>
        <w:spacing w:after="0" w:line="145"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On August 30, 2024, the Company consummated the Offering of 20,000,000 public units. The public units were sold at a price of $10.00 per public unit, generating gross proceeds to the Company of $200,000,000.</w:t>
      </w:r>
    </w:p>
    <w:p>
      <w:pPr>
        <w:spacing w:after="0" w:line="116"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As further discussed in Note 4, simultaneously with the closing of the Offering, the Company consummated the private placement to certain non-managing investors of 2,826,087 Class B ordinary shares (the “private placement shares”) at a price of $1.15 per share (the “private placement”). The private placement generated aggregate gross proceeds of $3,250,000.</w:t>
      </w:r>
    </w:p>
    <w:p>
      <w:pPr>
        <w:spacing w:after="0" w:line="136"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As further discussed in Note 5, simultaneously with the closing of the Offering, the Company consummated the private placement to the Company’s sponsor, GigAcquisitions7 Corp., a Cayman Islands exempted company (the “Founder” or “Sponsor”), of 3,719,000 warrants (the “private placement warrants”) at a price of $0.01561 per private placement warrant (the “warrant private placement”). Each private placement warrant entitles the holder thereof to purchase one Class A ordinary share at $11.50 per share, subject to adjustment. The warrant private placement generated aggregate gross proceeds of $58,060.</w:t>
      </w:r>
    </w:p>
    <w:p>
      <w:pPr>
        <w:spacing w:after="0" w:line="142"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Following the closing of the Offering, net proceeds in the amount of $200,000,000 from the sale of the public units in the Offering were placed in a trust account (“Trust Account”) (discussed below).</w:t>
      </w:r>
    </w:p>
    <w:p>
      <w:pPr>
        <w:spacing w:after="0" w:line="126"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Transaction costs amounted to $1,319,918, consisting of $600,000 of underwriting fees and $1,019,918 of offering costs, partially offset by the reimbursement of $300,000 of offering expenses by the Underwriters. The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404"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Company’s remaining cash after payment of the offering costs is held outside of the Trust Account for working capital purposes.</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Trust Account</w:t>
      </w:r>
    </w:p>
    <w:p>
      <w:pPr>
        <w:spacing w:after="0" w:line="91"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spacing w:after="0" w:line="142" w:lineRule="exact"/>
        <w:rPr>
          <w:sz w:val="20"/>
          <w:szCs w:val="20"/>
          <w:color w:val="auto"/>
        </w:rPr>
      </w:pPr>
    </w:p>
    <w:p>
      <w:pPr>
        <w:ind w:left="1400" w:right="379" w:firstLine="340"/>
        <w:spacing w:after="0" w:line="253" w:lineRule="auto"/>
        <w:rPr>
          <w:sz w:val="20"/>
          <w:szCs w:val="20"/>
          <w:color w:val="auto"/>
        </w:rPr>
      </w:pPr>
      <w:r>
        <w:rPr>
          <w:rFonts w:ascii="Times New Roman" w:cs="Times New Roman" w:eastAsia="Times New Roman" w:hAnsi="Times New Roman"/>
          <w:sz w:val="14"/>
          <w:szCs w:val="14"/>
          <w:color w:val="auto"/>
        </w:rPr>
        <w:t>The Company’s amended and restated memorandum and articles of association provides that, other than the withdrawal of interest and dividends to pay taxes none of the funds held in the Trust Account will be released until the earlier of: (1) the completion of the Business Combination; (2) the redemption of 100% of the outstanding public shares if the Company has not completed an initial Business Combination within 21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Company has 21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and dividends, but less taxes payable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initial shareholders entered into agreements with the Company, pursuant to which they agreed: (1) to waive their redemption rights with respect to their founder shares, private placement shares and any Class A ordinary shares issuable upon conversion thereof in connection with the consummation of the Company’s initial Business Combination or a tender offer conducted prior to a Business Combination or in connection with it; and (2) to waive their rights to liquidating distributions from the Trust Account with respect to their founder shares and private placement shares if the Company fails to complete its initial Business Combination within 21 months from the closing of the Offering, although they will be entitled to liquidating distributions from the Trust Account with respect to any public shares they hold if the Company fails to complete its initial Business Combination within the prescribed time frame.</w:t>
      </w:r>
    </w:p>
    <w:p>
      <w:pPr>
        <w:spacing w:after="0" w:line="148"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In the event of such distribution, it is possible that the per share value of the residual assets remaining available for distribution (including Trust Account assets) will be less than the initial public offering price per unit in the Offering.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As of December 31, 2025, the Company had $89,362 in cash and a working capital deficit of $1,875,681.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404"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319" w:lineRule="auto"/>
        <w:rPr>
          <w:sz w:val="20"/>
          <w:szCs w:val="20"/>
          <w:color w:val="auto"/>
        </w:rPr>
      </w:pPr>
      <w:r>
        <w:rPr>
          <w:rFonts w:ascii="Times New Roman" w:cs="Times New Roman" w:eastAsia="Times New Roman" w:hAnsi="Times New Roman"/>
          <w:sz w:val="13"/>
          <w:szCs w:val="13"/>
          <w:color w:val="auto"/>
        </w:rPr>
        <w:t>concern. There is no assurance that the Company’s plans to consummate a Business Combination will be successful or successful within the target business acquisition period. The consolidated financial statements do not include any adjustments that might result from the outcome of this uncertainty.</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 BUSINESS COMBINATION AND RELATED AGREEMENT</w:t>
      </w:r>
    </w:p>
    <w:p>
      <w:pPr>
        <w:spacing w:after="0" w:line="91" w:lineRule="exact"/>
        <w:rPr>
          <w:sz w:val="20"/>
          <w:szCs w:val="20"/>
          <w:color w:val="auto"/>
        </w:rPr>
      </w:pPr>
    </w:p>
    <w:p>
      <w:pPr>
        <w:ind w:left="1400" w:right="299" w:firstLine="340"/>
        <w:spacing w:after="0" w:line="276" w:lineRule="auto"/>
        <w:rPr>
          <w:sz w:val="20"/>
          <w:szCs w:val="20"/>
          <w:color w:val="auto"/>
        </w:rPr>
      </w:pPr>
      <w:r>
        <w:rPr>
          <w:rFonts w:ascii="Times New Roman" w:cs="Times New Roman" w:eastAsia="Times New Roman" w:hAnsi="Times New Roman"/>
          <w:sz w:val="13"/>
          <w:szCs w:val="13"/>
          <w:color w:val="auto"/>
        </w:rPr>
        <w:t>On September 27, 2025, the Company (which will transfer by way of continuation and domesticate as a Delaware corporation prior to the Closing (as defined below)), entered into a Business Combination Agreement (the “Business Combination Agreement”), dated as of September 27, 2025, by and among the Company, MMR Merger Sub, Inc., a Delaware corporation and a direct wholly owned subsidiary of the Company (“Merger Sub”), and Hadron Energy, Inc., a Delaware corporation (“Hadron Energy”), pursuant to which, among other things and subject to the terms and conditions contained therein, Merger Sub will merge with and into Hadron Energy (the “Merger”), with Hadron Energy continuing as the surviving company (Hadron Energy, in its capacity as the surviving corporation of the Merger, is sometimes referred to as the “Surviving Company”). The Business Combination Agreement and the transaction was approved by the Company’s board of directors and the board of directors of Hadron Energy.</w:t>
      </w:r>
    </w:p>
    <w:p>
      <w:pPr>
        <w:spacing w:after="0" w:line="131" w:lineRule="exact"/>
        <w:rPr>
          <w:sz w:val="20"/>
          <w:szCs w:val="20"/>
          <w:color w:val="auto"/>
        </w:rPr>
      </w:pPr>
    </w:p>
    <w:p>
      <w:pPr>
        <w:ind w:left="1400" w:right="679" w:firstLine="340"/>
        <w:spacing w:after="0" w:line="279" w:lineRule="auto"/>
        <w:rPr>
          <w:sz w:val="20"/>
          <w:szCs w:val="20"/>
          <w:color w:val="auto"/>
        </w:rPr>
      </w:pPr>
      <w:r>
        <w:rPr>
          <w:rFonts w:ascii="Times New Roman" w:cs="Times New Roman" w:eastAsia="Times New Roman" w:hAnsi="Times New Roman"/>
          <w:sz w:val="14"/>
          <w:szCs w:val="14"/>
          <w:color w:val="auto"/>
        </w:rPr>
        <w:t>Following the closing of the Merger (the “Closing”), the Company, which will be renamed “Hadron Energy, Inc.,” will be referred to as the “Combined Company.”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Domestication</w:t>
      </w:r>
    </w:p>
    <w:p>
      <w:pPr>
        <w:spacing w:after="0" w:line="91" w:lineRule="exact"/>
        <w:rPr>
          <w:sz w:val="20"/>
          <w:szCs w:val="20"/>
          <w:color w:val="auto"/>
        </w:rPr>
      </w:pPr>
    </w:p>
    <w:p>
      <w:pPr>
        <w:ind w:left="1400" w:right="459" w:firstLine="340"/>
        <w:spacing w:after="0" w:line="256" w:lineRule="auto"/>
        <w:rPr>
          <w:sz w:val="20"/>
          <w:szCs w:val="20"/>
          <w:color w:val="auto"/>
        </w:rPr>
      </w:pPr>
      <w:r>
        <w:rPr>
          <w:rFonts w:ascii="Times New Roman" w:cs="Times New Roman" w:eastAsia="Times New Roman" w:hAnsi="Times New Roman"/>
          <w:sz w:val="14"/>
          <w:szCs w:val="14"/>
          <w:color w:val="auto"/>
        </w:rPr>
        <w:t>At least two (2) days prior to the Closing Date (as defined below), subject to the satisfaction or waiver of the conditions of the Business Combination Agreement, the Company will transfer by way of continuation from the Cayman Islands to the State of Delaware and domesticate as a Delaware corporation (“Domesticated GigCapital7”) in accordance with Section 388 of the General Corporation Law of the State of Delaware, as amended (the “DGCL”), and Part 12 of the Companies Act (as revised) of the Cayman Islands (the “Cayman Companies Act,” and such continuation and domestication, the “Domestication”).</w:t>
      </w:r>
    </w:p>
    <w:p>
      <w:pPr>
        <w:spacing w:after="0" w:line="142" w:lineRule="exact"/>
        <w:rPr>
          <w:sz w:val="20"/>
          <w:szCs w:val="20"/>
          <w:color w:val="auto"/>
        </w:rPr>
      </w:pPr>
    </w:p>
    <w:p>
      <w:pPr>
        <w:ind w:left="1400" w:right="259" w:firstLine="340"/>
        <w:spacing w:after="0" w:line="273" w:lineRule="auto"/>
        <w:rPr>
          <w:sz w:val="20"/>
          <w:szCs w:val="20"/>
          <w:color w:val="auto"/>
        </w:rPr>
      </w:pPr>
      <w:r>
        <w:rPr>
          <w:rFonts w:ascii="Times New Roman" w:cs="Times New Roman" w:eastAsia="Times New Roman" w:hAnsi="Times New Roman"/>
          <w:sz w:val="13"/>
          <w:szCs w:val="13"/>
          <w:color w:val="auto"/>
        </w:rPr>
        <w:t>By virtue of the Domestication upon its effectiveness, (a) each then issued and outstanding Class A ordinary share of GigCapital7 (each a “Class A Ordinary Share”) (other than any Class A Ordinary Share included in the Cayman Purchaser Units (as defined in the Business Combination Agreement)) shall convert automatically, on a one-for-one basis, into one (1) share of common stock of Domesticated GigCapital7 (the “Domesticated Purchaser Common Stock”); (b) each then issued and outstanding Class B ordinary share of GigCapital7 (each a “Class B Ordinary Share”) shall convert automatically, on a one-for-one basis, into one (1) share of Class B common stock of Domesticated GigCapital7 (the “Domesticated Purchaser Class B Common Stock”); (c) each then issued and outstanding warrant of the Company (other than any Cayman Purchaser Public Warrants (as defined in the Business Combination Agreement) included in the Cayman Purchaser Units) (each a “Cayman Purchaser Warrant”) shall convert automatically into a warrant to acquire one (1) share of Domesticated Purchaser Common Stock (each a “Domesticated Purchaser Warrant”), pursuant to the Warrant Agreement (as defined in the Business Combination Agreement); and (d) each then issued and outstanding Cayman Purchaser Units shall be cancelled and will thereafter entitle the holder thereof to one (1) share of Domesticated Purchaser Common Stock and one (1) Domesticated Purchaser Warrant, in each case without any action on the part of the Company, Merger Sub, Hadron Energy or any holder of securities of any of the foregoing.</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Merger and Consideration</w:t>
      </w:r>
    </w:p>
    <w:p>
      <w:pPr>
        <w:spacing w:after="0" w:line="91"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404"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Subject to, and in accordance with the terms and conditions of the Business Combination Agreement, at the Effective Time:</w:t>
      </w:r>
    </w:p>
    <w:p>
      <w:pPr>
        <w:spacing w:after="0" w:line="100" w:lineRule="exact"/>
        <w:rPr>
          <w:sz w:val="20"/>
          <w:szCs w:val="20"/>
          <w:color w:val="auto"/>
        </w:rPr>
      </w:pPr>
    </w:p>
    <w:p>
      <w:pPr>
        <w:ind w:left="1720" w:right="279" w:hanging="330"/>
        <w:spacing w:after="0" w:line="253" w:lineRule="auto"/>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issued and outstanding share of common stock of Hadron Energy (the “Hadron Energy Common Stock”), except for (a) shares held by the Company or Merger Sub (or any subsidiaries of the Company), (b) shares held by Hadron Energy as treasury stock, if any (each share covered in subclause (a) and (b), an “Excluded Share”), (c) shares held by stockholders who have properly exercised and not withdrawn appraisal rights under Delaware law (the “Dissenting Shares”), and (d) shares of the Hadron Energy Common Stock issued pursuant to an award of restricted stock that is, as of immediately prior to the Closing Date, subject to a substantial risk of forfeiture and is not transferable (the “Hadron Energy Restricted Shares”), will be cancelled and converted into the right to receive the Per Share Merger Consideration (as defined below), as set forth in the Business Combination Agreement;</w:t>
      </w:r>
    </w:p>
    <w:p>
      <w:pPr>
        <w:spacing w:after="0" w:line="73" w:lineRule="exact"/>
        <w:rPr>
          <w:rFonts w:ascii="Times New Roman" w:cs="Times New Roman" w:eastAsia="Times New Roman" w:hAnsi="Times New Roman"/>
          <w:sz w:val="14"/>
          <w:szCs w:val="14"/>
          <w:color w:val="auto"/>
        </w:rPr>
      </w:pPr>
    </w:p>
    <w:p>
      <w:pPr>
        <w:ind w:left="1720" w:right="519" w:hanging="330"/>
        <w:spacing w:after="0" w:line="279" w:lineRule="auto"/>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Excluded Share shall be automatically cancelled and retired without any conversion thereof and shall cease to exist, and no consideration shall be delivered in exchange therefor;</w:t>
      </w:r>
    </w:p>
    <w:p>
      <w:pPr>
        <w:spacing w:after="0" w:line="53" w:lineRule="exact"/>
        <w:rPr>
          <w:rFonts w:ascii="Times New Roman" w:cs="Times New Roman" w:eastAsia="Times New Roman" w:hAnsi="Times New Roman"/>
          <w:sz w:val="14"/>
          <w:szCs w:val="14"/>
          <w:color w:val="auto"/>
        </w:rPr>
      </w:pPr>
    </w:p>
    <w:p>
      <w:pPr>
        <w:ind w:left="1720" w:right="299" w:hanging="330"/>
        <w:spacing w:after="0" w:line="272" w:lineRule="auto"/>
        <w:tabs>
          <w:tab w:leader="none" w:pos="172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option to purchase shares of the Hadron Energy Common Stock (the “Hadron Energy Option”) that is outstanding immediately prior to the Effective Time will be automatically assumed by Domesticated GigCapital7 and converted into an option to purchase a number of shares of Domesticated Purchaser Common Stock (such option, an “Exchanged Option”), equal to the product (rounded down to the nearest whole number) of (x) the number of shares of the Hadron Energy Common Stock subject to such Hadron Energy Option immediately prior to the Effective Time and (y) the Exchange Ratio (as defined below), at an exercise price per share (rounded up to the nearest whole cent) equal to the quotient of</w:t>
      </w:r>
    </w:p>
    <w:p>
      <w:pPr>
        <w:spacing w:after="0" w:line="2" w:lineRule="exact"/>
        <w:rPr>
          <w:rFonts w:ascii="Times New Roman" w:cs="Times New Roman" w:eastAsia="Times New Roman" w:hAnsi="Times New Roman"/>
          <w:sz w:val="13"/>
          <w:szCs w:val="13"/>
          <w:color w:val="auto"/>
        </w:rPr>
      </w:pPr>
    </w:p>
    <w:p>
      <w:pPr>
        <w:ind w:left="17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the exercise price per share of such Hadron Energy Option immediately prior to the Effective Time divided by (B) the Exchange Ratio; and</w:t>
      </w:r>
    </w:p>
    <w:p>
      <w:pPr>
        <w:spacing w:after="0" w:line="84" w:lineRule="exact"/>
        <w:rPr>
          <w:rFonts w:ascii="Times New Roman" w:cs="Times New Roman" w:eastAsia="Times New Roman" w:hAnsi="Times New Roman"/>
          <w:sz w:val="13"/>
          <w:szCs w:val="13"/>
          <w:color w:val="auto"/>
        </w:rPr>
      </w:pPr>
    </w:p>
    <w:p>
      <w:pPr>
        <w:ind w:left="1720" w:right="279" w:hanging="330"/>
        <w:spacing w:after="0" w:line="256" w:lineRule="auto"/>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the Hadron Energy Restricted Shares (the “Hadron Energy Restricted Share Award”) that is outstanding immediately prior to the Effective Time will be automatically assumed by Domesticated GigCapital7 such that each Hadron Energy Restricted Share Award will be converted into an award for a number of restricted shares of Domesticated Purchaser Common Stock (such award, an “Exchanged RSA”), equal to the product (rounded down to the nearest whole number) of (x) the number of shares of Hadron Energy Restricted Shares and (y) the Exchange Ratio.</w:t>
      </w:r>
    </w:p>
    <w:p>
      <w:pPr>
        <w:spacing w:after="0" w:line="142"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Additionally, the outstanding Hadron Energy Simple Agreements for Future Equity (“SAFEs”) will automatically convert, immediately prior to the Effective Time, into a number of shares of Hadron Energy Common Stock determined in accordance with the terms of such Hadron Energy SAFE. Post-conversion, such shares will be treated as Hadron Energy Common Stock and receive the consideration described above for Hadron Energy Common Stock at the Effective Time.</w:t>
      </w:r>
    </w:p>
    <w:p>
      <w:pPr>
        <w:spacing w:after="0" w:line="139" w:lineRule="exact"/>
        <w:rPr>
          <w:sz w:val="20"/>
          <w:szCs w:val="20"/>
          <w:color w:val="auto"/>
        </w:rPr>
      </w:pPr>
    </w:p>
    <w:p>
      <w:pPr>
        <w:ind w:left="1400" w:right="319" w:firstLine="340"/>
        <w:spacing w:after="0" w:line="275" w:lineRule="auto"/>
        <w:rPr>
          <w:sz w:val="20"/>
          <w:szCs w:val="20"/>
          <w:color w:val="auto"/>
        </w:rPr>
      </w:pPr>
      <w:r>
        <w:rPr>
          <w:rFonts w:ascii="Times New Roman" w:cs="Times New Roman" w:eastAsia="Times New Roman" w:hAnsi="Times New Roman"/>
          <w:sz w:val="13"/>
          <w:szCs w:val="13"/>
          <w:color w:val="auto"/>
        </w:rPr>
        <w:t>The “Per Share Merger Consideration” in respect of each share of Hadron Energy Common Stock (other than Excluded Shares, Dissenting Shares and Hadron Energy Restricted Shares) that is issued and outstanding, or deemed to be issued and outstanding, immediately prior to the Effective Time, shall be a number of shares of Domesticated Purchaser Common Stock equal to the Exchange Ratio. The “Exchange Ratio” means the quotient of:</w:t>
      </w:r>
    </w:p>
    <w:p>
      <w:pPr>
        <w:spacing w:after="0" w:line="2" w:lineRule="exact"/>
        <w:rPr>
          <w:sz w:val="20"/>
          <w:szCs w:val="20"/>
          <w:color w:val="auto"/>
        </w:rPr>
      </w:pPr>
    </w:p>
    <w:p>
      <w:pPr>
        <w:ind w:left="1400" w:right="319" w:hanging="10"/>
        <w:spacing w:after="0" w:line="248" w:lineRule="auto"/>
        <w:tabs>
          <w:tab w:leader="none" w:pos="158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Merger Consideration; divided by (b) the Hadron Energy Fully Diluted Capital. The “Aggregate Merger Consideration” means the number of shares of Domesticated Purchaser Common Stock equal to the difference of: (a) the Aggregate Domesticated Purchaser Common Stock; minus (b) 13,333,333 shares of Domesticated Purchaser Common Stock; provided, however, that if Hadron Energy has any indebtedness outstanding as of the closing of the Merger, the Aggregate Merger Consideration shall be further reduced by a number of shares of Domesticated Purchaser Common Stock equal to the amount of such indebtedness divided by $10.59 (the “Per Share Price”) (rounded down to the nearest whole share). The “Aggregate Domesticated Purchaser Common Stock” means the number of shares of Domesticated Purchaser Common Stock equal to the quotient of:</w:t>
      </w:r>
    </w:p>
    <w:p>
      <w:pPr>
        <w:spacing w:after="0" w:line="2" w:lineRule="exact"/>
        <w:rPr>
          <w:rFonts w:ascii="Times New Roman" w:cs="Times New Roman" w:eastAsia="Times New Roman" w:hAnsi="Times New Roman"/>
          <w:sz w:val="14"/>
          <w:szCs w:val="14"/>
          <w:color w:val="auto"/>
        </w:rPr>
      </w:pPr>
    </w:p>
    <w:p>
      <w:pPr>
        <w:jc w:val="both"/>
        <w:ind w:left="1400" w:right="779" w:hanging="10"/>
        <w:spacing w:after="0" w:line="253" w:lineRule="auto"/>
        <w:tabs>
          <w:tab w:leader="none" w:pos="158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$1,200,200,000; divided by (b) the Per Share Price. The “Hadron Energy Fully Diluted Capital” means the sum (without duplication) of the aggregate number of (a) shares of Hadron Energy Common Stock (other than Hadron Energy Restricted Shares) that are issued and outstanding immediately prior to the Effective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404"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59" w:lineRule="auto"/>
        <w:rPr>
          <w:sz w:val="20"/>
          <w:szCs w:val="20"/>
          <w:color w:val="auto"/>
        </w:rPr>
      </w:pPr>
      <w:r>
        <w:rPr>
          <w:rFonts w:ascii="Times New Roman" w:cs="Times New Roman" w:eastAsia="Times New Roman" w:hAnsi="Times New Roman"/>
          <w:sz w:val="14"/>
          <w:szCs w:val="14"/>
          <w:color w:val="auto"/>
        </w:rPr>
        <w:t>Time assuming and after giving effect to the conversion of all Hadron Energy SAFEs, (b) Hadron Energy Restricted Shares that are issued and outstanding immediately prior to the Effective Time, and (c) all shares of Hadron Energy Common Stock issuable upon the full exercise of all Hadron Energy Options outstanding as of immediately prior to the Effective Time (calculated using the treasury method of accounting on a cashless exercise basis).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Sponsor Share Conversion</w:t>
      </w:r>
    </w:p>
    <w:p>
      <w:pPr>
        <w:spacing w:after="0" w:line="91" w:lineRule="exact"/>
        <w:rPr>
          <w:sz w:val="20"/>
          <w:szCs w:val="20"/>
          <w:color w:val="auto"/>
        </w:rPr>
      </w:pPr>
    </w:p>
    <w:p>
      <w:pPr>
        <w:jc w:val="both"/>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At the Effective Time, by virtue of the Merger and the applicable provisions of the certificate of incorporation of Domesticated GigCapital7 (the “Domesticated Purchaser Charter”), each share of Domesticated Purchaser Class B Common Stock then issued and outstanding shall be automatically cancelled and extinguished and converted into one (1) share of Domesticated Purchaser Common Stock.</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Redemption</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GigCapital7 will provide an opportunity to the holders of its public shares to have their public shares redeemed on the terms and conditions set forth in the Business Combination Agreement and the Cayman Purchaser Articles (the “Redemption”). Subject to receipt of the approval of the Business Combination Agreement by the GigCapital7 shareholders, GigCapital7 will carry out the Redemption at the Effective Time in accordance with the Cayman Purchaser Articles and the Domesticated Purchaser Charter.</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Closing</w:t>
      </w:r>
    </w:p>
    <w:p>
      <w:pPr>
        <w:spacing w:after="0" w:line="91"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Closing will occur as promptly as practicable, but in no event later than three (3) business days, after the satisfaction or, if permissible, waiver of the conditions set forth in the Business Combination Agreement, or at such other date, time, or place as GigCapital7 and Hadron Energy may agree. The date of such Closing is referred to as the “Closing Date.”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Stock Exchange Listing</w:t>
      </w:r>
    </w:p>
    <w:p>
      <w:pPr>
        <w:spacing w:after="0" w:line="91" w:lineRule="exact"/>
        <w:rPr>
          <w:sz w:val="20"/>
          <w:szCs w:val="20"/>
          <w:color w:val="auto"/>
        </w:rPr>
      </w:pPr>
    </w:p>
    <w:p>
      <w:pPr>
        <w:jc w:val="both"/>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public units, public shares and public warrants of the Company, are currently listed on the Nasdaq Stock Market LLC (the “Nasdaq”) under the symbols “GIGGU,” “GIG” and “GIGGW,” respectively. From and after the Closing, the Combined Company intends to list on Nasdaq or the New York Stock Exchange, as applicable, only the Domesticated Purchaser Common Stock and the Domesticated Purchaser Warrants.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3. SUMMARY OF SIGNIFICANT ACCOUNTING POLICIES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1"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The accompanying consolidated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consolidated financial position as of December 31, 2025, and the results of operations and cash flows for the periods presented.</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91"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wholly-owned subsidiary. All intercompany balances and transactions are eliminated in consolidation.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91" w:lineRule="exact"/>
        <w:rPr>
          <w:sz w:val="20"/>
          <w:szCs w:val="20"/>
          <w:color w:val="auto"/>
        </w:rPr>
      </w:pPr>
    </w:p>
    <w:p>
      <w:pPr>
        <w:ind w:left="1400" w:right="679"/>
        <w:spacing w:after="0" w:line="279" w:lineRule="auto"/>
        <w:rPr>
          <w:sz w:val="20"/>
          <w:szCs w:val="20"/>
          <w:color w:val="auto"/>
        </w:rPr>
      </w:pPr>
      <w:r>
        <w:rPr>
          <w:rFonts w:ascii="Times New Roman" w:cs="Times New Roman" w:eastAsia="Times New Roman" w:hAnsi="Times New Roman"/>
          <w:sz w:val="14"/>
          <w:szCs w:val="14"/>
          <w:color w:val="auto"/>
        </w:rPr>
        <w:t>Section 102(b)(1) of the JOBS Act exempts emerging growth companies from being required to comply with new or revised financial accounting standards until private companies (that is, those that have not had a</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404"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Net Income Per Ordinary Share</w:t>
      </w:r>
    </w:p>
    <w:p>
      <w:pPr>
        <w:spacing w:after="0" w:line="91" w:lineRule="exact"/>
        <w:rPr>
          <w:sz w:val="20"/>
          <w:szCs w:val="20"/>
          <w:color w:val="auto"/>
        </w:rPr>
      </w:pPr>
    </w:p>
    <w:p>
      <w:pPr>
        <w:ind w:left="1400" w:right="319" w:firstLine="340"/>
        <w:spacing w:after="0" w:line="252"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Accounting Standards Codification (“ASC”) Topic 260, “Earnings Per Share.” Net income per share is computed by dividing net income by the weighted-average number of shares of ordinary shares outstanding during the period. The weighted-average ordinary shares are reduced for the effect of the Class B ordinary shares that are subject to forfeiture. The Company’s consolidated statements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The Company’s public warrants (see Note 4) and private placement warrants (see Note 5) could, potentially, be exercised or converted into Class A ordinary shares and then share in the earnings of the Company. However, these warrants were excluded when calculating diluted income per share as the contingencies associated with the warrants had not been satisfied as of the end of the reporting periods presented. As a result, diluted income per share is the same as basic income per share for the periods presented.</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1" w:lineRule="exact"/>
        <w:rPr>
          <w:sz w:val="20"/>
          <w:szCs w:val="20"/>
          <w:color w:val="auto"/>
        </w:rPr>
      </w:pPr>
    </w:p>
    <w:p>
      <w:pPr>
        <w:jc w:val="both"/>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Cash and Marketable Securities Held in Trust Account</w:t>
      </w:r>
    </w:p>
    <w:p>
      <w:pPr>
        <w:spacing w:after="0" w:line="91"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As of December 31, 2025 and 2024, the assets held in the Trust Account consisted of money market funds investing in U.S. Treasury securities and cash. The Company’s investments held in the Trust Account are classified as trading securities. Trading securities are presented on the consolidated balance sheets at fair value at the end of each reporting period. Gains and losses resulting from the change in fair value of these securities are included in investment income on marketable securities held in the Trust Account in the accompanying consolidated statements of operations and comprehensive income. The estimated fair values of investments held in the Trust Account are determined using available market information.</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1"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Offering Costs</w:t>
      </w:r>
    </w:p>
    <w:p>
      <w:pPr>
        <w:spacing w:after="0" w:line="91" w:lineRule="exact"/>
        <w:rPr>
          <w:sz w:val="20"/>
          <w:szCs w:val="20"/>
          <w:color w:val="auto"/>
        </w:rPr>
      </w:pPr>
    </w:p>
    <w:p>
      <w:pPr>
        <w:ind w:left="1400" w:right="719"/>
        <w:spacing w:after="0" w:line="279" w:lineRule="auto"/>
        <w:rPr>
          <w:sz w:val="20"/>
          <w:szCs w:val="20"/>
          <w:color w:val="auto"/>
        </w:rPr>
      </w:pPr>
      <w:r>
        <w:rPr>
          <w:rFonts w:ascii="Times New Roman" w:cs="Times New Roman" w:eastAsia="Times New Roman" w:hAnsi="Times New Roman"/>
          <w:sz w:val="14"/>
          <w:szCs w:val="14"/>
          <w:color w:val="auto"/>
        </w:rPr>
        <w:t>The Company complies with the requirements of ASC 340-10-S99-1 and the SEC’s Staff Accounting Bulletin (“SAB”) Topic 5A - “Expenses of Offering.” Offering costs in the amount of $1,319,918 consist principally of</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404"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64" w:lineRule="auto"/>
        <w:rPr>
          <w:sz w:val="20"/>
          <w:szCs w:val="20"/>
          <w:color w:val="auto"/>
        </w:rPr>
      </w:pPr>
      <w:r>
        <w:rPr>
          <w:rFonts w:ascii="Times New Roman" w:cs="Times New Roman" w:eastAsia="Times New Roman" w:hAnsi="Times New Roman"/>
          <w:sz w:val="14"/>
          <w:szCs w:val="14"/>
          <w:color w:val="auto"/>
        </w:rPr>
        <w:t>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warrants were charged to shareholders’ equity upon the completion of the Offering.</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 Subject to Possible Redemption</w:t>
      </w:r>
    </w:p>
    <w:p>
      <w:pPr>
        <w:spacing w:after="0" w:line="91"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December 31, 2025 and 2024, Class A ordinary shares subject to possible redemption are presented at redemption value as temporary equity, outside of the shareholders’ equity (deficit) section of the Company’s consolidated balance sheets. Immediately upon the closing of the Offering, the Company recognized the accretion from initial book value to redemption amount value. The change in the carrying value of redeemable ordinary shares resulted in charges against additional paid-in capital. As of December 31, 2025 and 2024, 20,000,000 Class A ordinary shares were issued and outstanding and subject to possible redemption.</w:t>
      </w:r>
    </w:p>
    <w:p>
      <w:pPr>
        <w:spacing w:after="0" w:line="147" w:lineRule="exact"/>
        <w:rPr>
          <w:sz w:val="20"/>
          <w:szCs w:val="20"/>
          <w:color w:val="auto"/>
        </w:rPr>
      </w:pPr>
    </w:p>
    <w:p>
      <w:pPr>
        <w:ind w:left="1400" w:right="519" w:firstLine="340"/>
        <w:spacing w:after="0" w:line="279" w:lineRule="auto"/>
        <w:rPr>
          <w:sz w:val="20"/>
          <w:szCs w:val="20"/>
          <w:color w:val="auto"/>
        </w:rPr>
      </w:pPr>
      <w:r>
        <w:rPr>
          <w:rFonts w:ascii="Times New Roman" w:cs="Times New Roman" w:eastAsia="Times New Roman" w:hAnsi="Times New Roman"/>
          <w:sz w:val="14"/>
          <w:szCs w:val="14"/>
          <w:color w:val="auto"/>
        </w:rPr>
        <w:t>As of December 31, 2025 and 2024, the Class A ordinary shares subject to possible redemption reflected on the consolidated balance sheet are reconciled in the following table:</w:t>
      </w:r>
    </w:p>
    <w:p>
      <w:pPr>
        <w:spacing w:after="0" w:line="162" w:lineRule="exact"/>
        <w:rPr>
          <w:sz w:val="20"/>
          <w:szCs w:val="20"/>
          <w:color w:val="auto"/>
        </w:rPr>
      </w:pPr>
    </w:p>
    <w:tbl>
      <w:tblPr>
        <w:tblLayout w:type="fixed"/>
        <w:tblInd w:w="2760" w:type="dxa"/>
        <w:tblCellMar>
          <w:top w:w="0" w:type="dxa"/>
          <w:left w:w="0" w:type="dxa"/>
          <w:bottom w:w="0" w:type="dxa"/>
          <w:right w:w="0" w:type="dxa"/>
        </w:tblCellMar>
      </w:tblPr>
      <w:tr>
        <w:trPr>
          <w:trHeight w:val="167"/>
        </w:trPr>
        <w:tc>
          <w:tcPr>
            <w:tcW w:w="4520" w:type="dxa"/>
            <w:vAlign w:val="bottom"/>
            <w:shd w:val="clear" w:color="auto" w:fill="CCEEFF"/>
          </w:tcPr>
          <w:p>
            <w:pPr>
              <w:jc w:val="center"/>
              <w:ind w:right="3611"/>
              <w:spacing w:after="0"/>
              <w:rPr>
                <w:sz w:val="20"/>
                <w:szCs w:val="20"/>
                <w:color w:val="auto"/>
              </w:rPr>
            </w:pPr>
            <w:r>
              <w:rPr>
                <w:rFonts w:ascii="Times New Roman" w:cs="Times New Roman" w:eastAsia="Times New Roman" w:hAnsi="Times New Roman"/>
                <w:sz w:val="14"/>
                <w:szCs w:val="14"/>
                <w:color w:val="auto"/>
                <w:w w:val="97"/>
              </w:rPr>
              <w:t>Gross proceeds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200,000,000</w:t>
            </w:r>
          </w:p>
        </w:tc>
      </w:tr>
      <w:tr>
        <w:trPr>
          <w:trHeight w:val="167"/>
        </w:trPr>
        <w:tc>
          <w:tcPr>
            <w:tcW w:w="4520" w:type="dxa"/>
            <w:vAlign w:val="bottom"/>
          </w:tcPr>
          <w:p>
            <w:pPr>
              <w:jc w:val="center"/>
              <w:ind w:right="3611"/>
              <w:spacing w:after="0"/>
              <w:rPr>
                <w:sz w:val="20"/>
                <w:szCs w:val="20"/>
                <w:color w:val="auto"/>
              </w:rPr>
            </w:pPr>
            <w:r>
              <w:rPr>
                <w:rFonts w:ascii="Times New Roman" w:cs="Times New Roman" w:eastAsia="Times New Roman" w:hAnsi="Times New Roman"/>
                <w:sz w:val="14"/>
                <w:szCs w:val="14"/>
                <w:color w:val="auto"/>
                <w:w w:val="94"/>
              </w:rPr>
              <w:t>Less: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Fair value of public warrants at issuance</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(18,460,769)</w:t>
            </w:r>
          </w:p>
        </w:tc>
      </w:tr>
      <w:tr>
        <w:trPr>
          <w:trHeight w:val="167"/>
        </w:trPr>
        <w:tc>
          <w:tcPr>
            <w:tcW w:w="4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Ordinary share issuance costs</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(1,208,380)</w:t>
            </w:r>
          </w:p>
        </w:tc>
      </w:tr>
      <w:tr>
        <w:trPr>
          <w:trHeight w:val="167"/>
        </w:trPr>
        <w:tc>
          <w:tcPr>
            <w:tcW w:w="4520" w:type="dxa"/>
            <w:vAlign w:val="bottom"/>
            <w:shd w:val="clear" w:color="auto" w:fill="CCEEFF"/>
          </w:tcPr>
          <w:p>
            <w:pPr>
              <w:jc w:val="center"/>
              <w:ind w:right="3611"/>
              <w:spacing w:after="0"/>
              <w:rPr>
                <w:sz w:val="20"/>
                <w:szCs w:val="20"/>
                <w:color w:val="auto"/>
              </w:rPr>
            </w:pPr>
            <w:r>
              <w:rPr>
                <w:rFonts w:ascii="Times New Roman" w:cs="Times New Roman" w:eastAsia="Times New Roman" w:hAnsi="Times New Roman"/>
                <w:sz w:val="14"/>
                <w:szCs w:val="14"/>
                <w:color w:val="auto"/>
                <w:w w:val="99"/>
              </w:rPr>
              <w:t>Plus:</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2"/>
        </w:trPr>
        <w:tc>
          <w:tcPr>
            <w:tcW w:w="4520" w:type="dxa"/>
            <w:vAlign w:val="bottom"/>
          </w:tcPr>
          <w:p>
            <w:pPr>
              <w:ind w:left="560"/>
              <w:spacing w:after="0" w:line="152" w:lineRule="exact"/>
              <w:rPr>
                <w:sz w:val="20"/>
                <w:szCs w:val="20"/>
                <w:color w:val="auto"/>
              </w:rPr>
            </w:pPr>
            <w:r>
              <w:rPr>
                <w:rFonts w:ascii="Times New Roman" w:cs="Times New Roman" w:eastAsia="Times New Roman" w:hAnsi="Times New Roman"/>
                <w:sz w:val="14"/>
                <w:szCs w:val="14"/>
                <w:color w:val="auto"/>
              </w:rPr>
              <w:t>Accretion of carrying value to redemption value—period from</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2"/>
        </w:trPr>
        <w:tc>
          <w:tcPr>
            <w:tcW w:w="45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May 8, 2024 (inception) through December 31, 2024</w:t>
            </w:r>
          </w:p>
        </w:tc>
        <w:tc>
          <w:tcPr>
            <w:tcW w:w="420" w:type="dxa"/>
            <w:vAlign w:val="bottom"/>
          </w:tcPr>
          <w:p>
            <w:pPr>
              <w:spacing w:after="0"/>
              <w:rPr>
                <w:sz w:val="15"/>
                <w:szCs w:val="15"/>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22,757,853</w:t>
            </w:r>
          </w:p>
        </w:tc>
      </w:tr>
      <w:tr>
        <w:trPr>
          <w:trHeight w:val="16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ordinary shares subject to possible redemption, December 31, 2024</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203,088,704</w:t>
            </w:r>
          </w:p>
        </w:tc>
      </w:tr>
      <w:tr>
        <w:trPr>
          <w:trHeight w:val="167"/>
        </w:trPr>
        <w:tc>
          <w:tcPr>
            <w:tcW w:w="4520" w:type="dxa"/>
            <w:vAlign w:val="bottom"/>
          </w:tcPr>
          <w:p>
            <w:pPr>
              <w:jc w:val="center"/>
              <w:ind w:right="3611"/>
              <w:spacing w:after="0"/>
              <w:rPr>
                <w:sz w:val="20"/>
                <w:szCs w:val="20"/>
                <w:color w:val="auto"/>
              </w:rPr>
            </w:pPr>
            <w:r>
              <w:rPr>
                <w:rFonts w:ascii="Times New Roman" w:cs="Times New Roman" w:eastAsia="Times New Roman" w:hAnsi="Times New Roman"/>
                <w:sz w:val="14"/>
                <w:szCs w:val="14"/>
                <w:color w:val="auto"/>
                <w:w w:val="99"/>
              </w:rPr>
              <w:t>Plus: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2"/>
        </w:trPr>
        <w:tc>
          <w:tcPr>
            <w:tcW w:w="4520" w:type="dxa"/>
            <w:vAlign w:val="bottom"/>
            <w:shd w:val="clear" w:color="auto" w:fill="CCEEFF"/>
          </w:tcPr>
          <w:p>
            <w:pPr>
              <w:ind w:left="560"/>
              <w:spacing w:after="0" w:line="152" w:lineRule="exact"/>
              <w:rPr>
                <w:sz w:val="20"/>
                <w:szCs w:val="20"/>
                <w:color w:val="auto"/>
              </w:rPr>
            </w:pPr>
            <w:r>
              <w:rPr>
                <w:rFonts w:ascii="Times New Roman" w:cs="Times New Roman" w:eastAsia="Times New Roman" w:hAnsi="Times New Roman"/>
                <w:sz w:val="14"/>
                <w:szCs w:val="14"/>
                <w:color w:val="auto"/>
              </w:rPr>
              <w:t>Accretion of carrying value to redemption value—year ended</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82"/>
        </w:trPr>
        <w:tc>
          <w:tcPr>
            <w:tcW w:w="4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December 31, 2025</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8,448,606</w:t>
            </w:r>
          </w:p>
        </w:tc>
      </w:t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subject to possible redemption, December 31, 2025</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211,537,310</w:t>
            </w:r>
          </w:p>
        </w:tc>
      </w:tr>
    </w:tbl>
    <w:p>
      <w:pPr>
        <w:spacing w:after="0" w:line="1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fair value of the Company’s assets and liabilities approximates the carrying amounts represented in the consolidated balance sheets.</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1" w:lineRule="exact"/>
        <w:rPr>
          <w:sz w:val="20"/>
          <w:szCs w:val="20"/>
          <w:color w:val="auto"/>
        </w:rPr>
      </w:pPr>
    </w:p>
    <w:p>
      <w:pPr>
        <w:ind w:left="1400" w:right="499" w:firstLine="340"/>
        <w:spacing w:after="0" w:line="293" w:lineRule="auto"/>
        <w:rPr>
          <w:sz w:val="20"/>
          <w:szCs w:val="20"/>
          <w:color w:val="auto"/>
        </w:rPr>
      </w:pPr>
      <w:r>
        <w:rPr>
          <w:rFonts w:ascii="Times New Roman" w:cs="Times New Roman" w:eastAsia="Times New Roman" w:hAnsi="Times New Roman"/>
          <w:sz w:val="13"/>
          <w:szCs w:val="13"/>
          <w:color w:val="auto"/>
        </w:rPr>
        <w:t>The preparation of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1"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404"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36"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The CODM assesses performance for the single segment and decides how to allocate resources based on net income that also is reported on the consolidated statements of operations and comprehensive income. The key measures of segment profit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89" w:lineRule="exact"/>
        <w:rPr>
          <w:sz w:val="20"/>
          <w:szCs w:val="20"/>
          <w:color w:val="auto"/>
        </w:rPr>
      </w:pPr>
    </w:p>
    <w:p>
      <w:pPr>
        <w:ind w:left="1400" w:right="319" w:firstLine="340"/>
        <w:spacing w:after="0" w:line="255" w:lineRule="auto"/>
        <w:rPr>
          <w:sz w:val="20"/>
          <w:szCs w:val="20"/>
          <w:color w:val="auto"/>
        </w:rPr>
      </w:pPr>
      <w:r>
        <w:rPr>
          <w:rFonts w:ascii="Times New Roman" w:cs="Times New Roman" w:eastAsia="Times New Roman" w:hAnsi="Times New Roman"/>
          <w:sz w:val="14"/>
          <w:szCs w:val="14"/>
          <w:color w:val="auto"/>
        </w:rPr>
        <w:t>The Company follows the asset and liability method of accounting for income taxes under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43"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w:t>
      </w:r>
    </w:p>
    <w:p>
      <w:pPr>
        <w:spacing w:after="0" w:line="142" w:lineRule="exact"/>
        <w:rPr>
          <w:sz w:val="20"/>
          <w:szCs w:val="20"/>
          <w:color w:val="auto"/>
        </w:rPr>
      </w:pPr>
    </w:p>
    <w:p>
      <w:pPr>
        <w:jc w:val="both"/>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w:t>
      </w:r>
    </w:p>
    <w:p>
      <w:pPr>
        <w:spacing w:after="0" w:line="91"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The Company accounts for warrants for ordinary shares of the Company that are not indexed to its own shares as liabilities at fair value on the consolidated balance sheets. The warrants are subject to remeasurement at each balance sheet date and any change in fair value is recognized as a component of other income (expense) on the consolidated statements of operations and comprehensive income. The Company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1" w:lineRule="exact"/>
        <w:rPr>
          <w:sz w:val="20"/>
          <w:szCs w:val="20"/>
          <w:color w:val="auto"/>
        </w:rPr>
      </w:pPr>
    </w:p>
    <w:p>
      <w:pPr>
        <w:ind w:left="1400" w:right="559" w:firstLine="340"/>
        <w:spacing w:after="0" w:line="279" w:lineRule="auto"/>
        <w:rPr>
          <w:sz w:val="20"/>
          <w:szCs w:val="20"/>
          <w:color w:val="auto"/>
        </w:rPr>
      </w:pPr>
      <w:r>
        <w:rPr>
          <w:rFonts w:ascii="Times New Roman" w:cs="Times New Roman" w:eastAsia="Times New Roman" w:hAnsi="Times New Roman"/>
          <w:sz w:val="14"/>
          <w:szCs w:val="14"/>
          <w:color w:val="auto"/>
        </w:rPr>
        <w:t>The Company does not believe that any recently issued, but not yet effective, accounting pronouncements, if currently adopted, would have a material effect on the Company’s consolidated financial statements.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405"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 OFFERING</w:t>
      </w:r>
    </w:p>
    <w:p>
      <w:pPr>
        <w:spacing w:after="0" w:line="91"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On August 30, 2024, the Company completed the Offering whereby the Company sold 20,000,000 public units at a price of $10.00 per public unit. Each public unit consists of one public share, $0.0001 par value, and one public warrant. The public warrants will only be exercisable for whole shares at $11.50 per share. Under the terms of the warrant agreement, the Company has agreed to use its best efforts to file a new registration statement under the Securities Act, following the completion of the Company’s initial Business Combination.</w:t>
      </w:r>
    </w:p>
    <w:p>
      <w:pPr>
        <w:spacing w:after="0" w:line="139"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the Company will, upon exercise, round down to the nearest whole number the number of Class A ordinary shares to be issued to the public warrant holder. Each public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following the closing of the Offering, the public warrants will expire worthless at the end of such period. If the Company is unable to deliver registered ordinary shares to the holder upon exercise of the public warrants during the exercise period, there will be no net cash settlement of these public warrants and the public warrants will expire worthless, unless they may be exercised on a cashless basis in the circumstances described in the warrant agreement. Once the public warrants become exercisable, the Company may redeem the outstanding public warrants in whole and not in part at a price of $0.01 per public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public warrant holders.</w:t>
      </w:r>
    </w:p>
    <w:p>
      <w:pPr>
        <w:spacing w:after="0" w:line="148"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The Company granted the Underwriters a 45-day option to purchase up to 3,000,000 additional public units to cover any over-allotments, at the initial public offering price. The option expired on October 12, 2024 without the purchase of additional public units by the Underwriters.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Company paid an underwriting discount of $0.03 per public unit to the Underwriters at the closing of the Offering on August 30, 2024.</w:t>
      </w:r>
    </w:p>
    <w:p>
      <w:pPr>
        <w:spacing w:after="0" w:line="173" w:lineRule="exact"/>
        <w:rPr>
          <w:sz w:val="20"/>
          <w:szCs w:val="20"/>
          <w:color w:val="auto"/>
        </w:rPr>
      </w:pPr>
    </w:p>
    <w:p>
      <w:pPr>
        <w:ind w:left="1400" w:right="379" w:firstLine="340"/>
        <w:spacing w:after="0" w:line="256" w:lineRule="auto"/>
        <w:rPr>
          <w:sz w:val="20"/>
          <w:szCs w:val="20"/>
          <w:color w:val="auto"/>
        </w:rPr>
      </w:pPr>
      <w:r>
        <w:rPr>
          <w:rFonts w:ascii="Times New Roman" w:cs="Times New Roman" w:eastAsia="Times New Roman" w:hAnsi="Times New Roman"/>
          <w:sz w:val="14"/>
          <w:szCs w:val="14"/>
          <w:color w:val="auto"/>
        </w:rPr>
        <w:t>Simultaneously with the closing of the Offering certain non-managing investors purchased an aggregate of 2,826,087 Class B ordinary shares from the Company at the price of $1.15 per share. The private placement shares along with the founder shares and shares held by the consultant collectively represent 40% of the outstanding ordinary shares at the completion of the Offering (excluding any shares underlying the private placement warrants further described in Note 5). The private placement proceeds will be used to pay for business, legal and accounting due diligence expenses on acquisition targets and continuing general and administration expenses.</w:t>
      </w:r>
    </w:p>
    <w:p>
      <w:pPr>
        <w:spacing w:after="0" w:line="142" w:lineRule="exact"/>
        <w:rPr>
          <w:sz w:val="20"/>
          <w:szCs w:val="20"/>
          <w:color w:val="auto"/>
        </w:rPr>
      </w:pPr>
    </w:p>
    <w:p>
      <w:pPr>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On September 6, 2024, the Company announced that the holders of the Company’s public units may elect to separately trade the securities underlying such public units which commenced on September 11, 2024. Any public units not separated will continue to trade on the Nasdaq under the symbol “GIGGU”. Any underlying ordinary shares and warrants that are separated will trade on the Nasdaq under the symbols “GIG,” and “GIGGW,” respectively.</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5. RELATED PARTY TRANSACTIONS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Founder Shares</w:t>
      </w:r>
    </w:p>
    <w:p>
      <w:pPr>
        <w:spacing w:after="0" w:line="91" w:lineRule="exact"/>
        <w:rPr>
          <w:sz w:val="20"/>
          <w:szCs w:val="20"/>
          <w:color w:val="auto"/>
        </w:rPr>
      </w:pPr>
    </w:p>
    <w:p>
      <w:pPr>
        <w:jc w:val="both"/>
        <w:ind w:left="1400" w:right="779" w:firstLine="340"/>
        <w:spacing w:after="0" w:line="264" w:lineRule="auto"/>
        <w:rPr>
          <w:sz w:val="20"/>
          <w:szCs w:val="20"/>
          <w:color w:val="auto"/>
        </w:rPr>
      </w:pPr>
      <w:r>
        <w:rPr>
          <w:rFonts w:ascii="Times New Roman" w:cs="Times New Roman" w:eastAsia="Times New Roman" w:hAnsi="Times New Roman"/>
          <w:sz w:val="14"/>
          <w:szCs w:val="14"/>
          <w:color w:val="auto"/>
        </w:rPr>
        <w:t>During the period from May 8, 2024 (date of inception) to May 31, 2024, the Founder purchased 17,000,000 Class B ordinary shares (the “Founder Shares”) for an aggregate purchase price of $100,000, or $0.00588235 per share. Following the May 31, 2024 purchase, the Sponsor surrendered 4,792,754 Class B ordinary shares for no</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404"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6" w:lineRule="auto"/>
        <w:rPr>
          <w:sz w:val="20"/>
          <w:szCs w:val="20"/>
          <w:color w:val="auto"/>
        </w:rPr>
      </w:pPr>
      <w:r>
        <w:rPr>
          <w:rFonts w:ascii="Times New Roman" w:cs="Times New Roman" w:eastAsia="Times New Roman" w:hAnsi="Times New Roman"/>
          <w:sz w:val="14"/>
          <w:szCs w:val="14"/>
          <w:color w:val="auto"/>
        </w:rPr>
        <w:t>consideration. The Founder Shares are identical to the Class A ordinary shares included in the public units sold in the Offering except that the Founder Shares are subject to certain transfer restrictions, as described in more detail below. The Founder agreed to forfeit up to 2,000,000 Founder Shares to the extent that the over-allotment option is not exercised in full or in part by the Underwriters. As the Underwriters did not exercise the over-allotment option prior to its expiration, the Founder forfeited 2,000,000 Founder Shares on October 25, 2024, such that the Founder, the consultant and non-managing investors own 40% of the Company’s issued and outstanding Class A and Class B ordinary shares after the Offering.</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w:t>
      </w:r>
    </w:p>
    <w:p>
      <w:pPr>
        <w:spacing w:after="0" w:line="91" w:lineRule="exact"/>
        <w:rPr>
          <w:sz w:val="20"/>
          <w:szCs w:val="20"/>
          <w:color w:val="auto"/>
        </w:rPr>
      </w:pPr>
    </w:p>
    <w:p>
      <w:pPr>
        <w:ind w:left="1400" w:right="259" w:firstLine="340"/>
        <w:spacing w:after="0" w:line="250" w:lineRule="auto"/>
        <w:rPr>
          <w:sz w:val="20"/>
          <w:szCs w:val="20"/>
          <w:color w:val="auto"/>
        </w:rPr>
      </w:pPr>
      <w:r>
        <w:rPr>
          <w:rFonts w:ascii="Times New Roman" w:cs="Times New Roman" w:eastAsia="Times New Roman" w:hAnsi="Times New Roman"/>
          <w:sz w:val="14"/>
          <w:szCs w:val="14"/>
          <w:color w:val="auto"/>
        </w:rPr>
        <w:t>Simultaneously with the closing of the Offering, the Founder purchased warrants to purchase an aggregate of 3,719,000 Class A ordinary shares at a price of $0.01561 per warrant. The private placement warrants will only be exercisable for whole Class A ordinary shares at $11.50 per share. Under the terms of the warrant agreement, the Company has agreed to use its best efforts to file a new registration statement under the Securities Act, following the completion of the Company’s initial Business Combination. No fractional shares will be issued upon exercise of the private placement warrants. If, upon exercise of the private placement warrants, a holder would be entitled to receive a fractional interest in a share, the Company will, upon exercise, round down to the nearest whole number the number of shares to be issued to the private placement warrant holder. Each private placement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allotted to complete the initial Business Combination, the private placement warrants will expire at the end of such period. If the Company is unable to deliver registered ordinary shares to the holder upon exercise of the private placement warrants during the exercise period, there will be no net cash settlement of these private placement warrants and the private placement warrants will expire worthless, unless they may be exercised on a cashless basis in the circumstances described in the private placement warrant agreement. Once the private placement warrants become exercisable, the Company may redeem the outstanding private placement warrants in whole and not in part at a price of $0.01 per private placement warrant upon a minimum of 30 days’ prior written notice of redemption, only if the private placement warrants have been transferred and in the event that the last sale price of the Company’s ordinary shares equals or exceeds $18.00 per share for any 20 trading days within the 30-trading day period ending on the third trading day before the Company sends the notice of redemption to the private placement warrant holders.</w:t>
      </w:r>
    </w:p>
    <w:p>
      <w:pPr>
        <w:spacing w:after="0" w:line="152"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The Company’s Founder has agreed not to transfer, assign or sell any of their respective Founder Shares, private placement warrants, ordinary shares or other securities underlying such private placement warrants that they may hold until the date that is (i) in the case of the Founder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warrants and ordinary shares or other securities underlying such private placement warrants, until 30 days after the completion of the Company’s initial Business Combination.</w:t>
      </w:r>
    </w:p>
    <w:p>
      <w:pPr>
        <w:spacing w:after="0" w:line="145"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If the Company does not complete a Business Combination, then a portion of the proceeds from the sale of the private placement warrants will be part of the liquidating distribution to the public shareholders.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91" w:lineRule="exact"/>
        <w:rPr>
          <w:sz w:val="20"/>
          <w:szCs w:val="20"/>
          <w:color w:val="auto"/>
        </w:rPr>
      </w:pPr>
    </w:p>
    <w:p>
      <w:pPr>
        <w:ind w:left="1400" w:right="519" w:firstLine="340"/>
        <w:spacing w:after="0" w:line="279" w:lineRule="auto"/>
        <w:rPr>
          <w:sz w:val="20"/>
          <w:szCs w:val="20"/>
          <w:color w:val="auto"/>
        </w:rPr>
      </w:pPr>
      <w:r>
        <w:rPr>
          <w:rFonts w:ascii="Times New Roman" w:cs="Times New Roman" w:eastAsia="Times New Roman" w:hAnsi="Times New Roman"/>
          <w:sz w:val="14"/>
          <w:szCs w:val="14"/>
          <w:color w:val="auto"/>
        </w:rPr>
        <w:t>The Company’s initial shareholders and their permitted transferees are entitled to registration rights pursuant to a registration rights agreement signed on August 28, 2024. These holders will be entitled to make up</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404"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59" w:lineRule="auto"/>
        <w:rPr>
          <w:sz w:val="20"/>
          <w:szCs w:val="20"/>
          <w:color w:val="auto"/>
        </w:rPr>
      </w:pPr>
      <w:r>
        <w:rPr>
          <w:rFonts w:ascii="Times New Roman" w:cs="Times New Roman" w:eastAsia="Times New Roman" w:hAnsi="Times New Roman"/>
          <w:sz w:val="14"/>
          <w:szCs w:val="14"/>
          <w:color w:val="auto"/>
        </w:rPr>
        <w:t>to two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 and Other Agreements</w:t>
      </w:r>
    </w:p>
    <w:p>
      <w:pPr>
        <w:spacing w:after="0" w:line="91" w:lineRule="exact"/>
        <w:rPr>
          <w:sz w:val="20"/>
          <w:szCs w:val="20"/>
          <w:color w:val="auto"/>
        </w:rPr>
      </w:pPr>
    </w:p>
    <w:p>
      <w:pPr>
        <w:jc w:val="both"/>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The Company has agreed to pay $30,000 a month for office space, administrative services and secretarial support to an affiliate of the Founder, GigManagement, LLC. Services commenced on August 28, 2024, the date the securities were first listed on the Nasdaq, and will terminate upon the earlier of the consummation by the Company of a Business Combination or the liquidation of the Company.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6. SHAREHOLDERS’ EQUITY</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Preferred Shares</w:t>
      </w:r>
    </w:p>
    <w:p>
      <w:pPr>
        <w:spacing w:after="0" w:line="91" w:lineRule="exact"/>
        <w:rPr>
          <w:sz w:val="20"/>
          <w:szCs w:val="20"/>
          <w:color w:val="auto"/>
        </w:rPr>
      </w:pPr>
    </w:p>
    <w:p>
      <w:pPr>
        <w:ind w:left="1400" w:right="539" w:firstLine="340"/>
        <w:spacing w:after="0" w:line="319" w:lineRule="auto"/>
        <w:rPr>
          <w:sz w:val="20"/>
          <w:szCs w:val="20"/>
          <w:color w:val="auto"/>
        </w:rPr>
      </w:pPr>
      <w:r>
        <w:rPr>
          <w:rFonts w:ascii="Times New Roman" w:cs="Times New Roman" w:eastAsia="Times New Roman" w:hAnsi="Times New Roman"/>
          <w:sz w:val="13"/>
          <w:szCs w:val="13"/>
          <w:color w:val="auto"/>
        </w:rPr>
        <w:t>The Company is authorized to issue 1,000,000 preferred shares with such designations, voting and other rights and preferences as may be determined from time to time by the Board of Directors. As of December 31, 2025 and 2024, there were no preferred shares issued and outstanding.</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A Ordinary Shares</w:t>
      </w:r>
    </w:p>
    <w:p>
      <w:pPr>
        <w:spacing w:after="0" w:line="91" w:lineRule="exact"/>
        <w:rPr>
          <w:sz w:val="20"/>
          <w:szCs w:val="20"/>
          <w:color w:val="auto"/>
        </w:rPr>
      </w:pPr>
    </w:p>
    <w:p>
      <w:pPr>
        <w:ind w:left="1400" w:right="739" w:firstLine="340"/>
        <w:spacing w:after="0" w:line="279" w:lineRule="auto"/>
        <w:rPr>
          <w:sz w:val="20"/>
          <w:szCs w:val="20"/>
          <w:color w:val="auto"/>
        </w:rPr>
      </w:pPr>
      <w:r>
        <w:rPr>
          <w:rFonts w:ascii="Times New Roman" w:cs="Times New Roman" w:eastAsia="Times New Roman" w:hAnsi="Times New Roman"/>
          <w:sz w:val="14"/>
          <w:szCs w:val="14"/>
          <w:color w:val="auto"/>
        </w:rPr>
        <w:t>The Company is authorized to issue 200,000,000 Class A ordinary shares with a par value of $0.0001 per share. As of December 31, 2025 and 2024, there were 20,000,000 Class A ordinary shares subject to possible redemption issued and outstanding.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B Ordinary Shares</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The Company is authorized to issue 50,000,000 Class B ordinary shares with a par value of $0.0001 per share. At formation on May 8, 2024, the Sponsor acquired one Class B ordinary share for a purchase price of $0.0001. Subsequently on May 31, 2024, the Sponsor purchased 16,999,999 Class B ordinary shares for an aggregate purchase price of $100,000, or $0.00588235 per share, of which 2,000,000 Class B ordinary shares were forfeited on October 25, 2024 following the Underwriters’ decision not to exercise the over-allotment option. On May 31, 2024, July 29, 2024 and August 28, 2024, the Sponsor surrendered 300,000, 659,417 and 3,833,337 Class B ordinary shares, respectively, for no consideration. On June 6, 2024, the Company issued 300,000 Class B ordinary shares to a consultant for consulting services in connection with the Offering for a purchase price of $0.01 per share, or an aggregate purchase price of $3,000. As of December 31, 2025 and 2024, there were 13,333,333 Class B ordinary shares issued and outstanding.</w:t>
      </w:r>
    </w:p>
    <w:p>
      <w:pPr>
        <w:sectPr>
          <w:pgSz w:w="11900" w:h="16838" w:orient="portrait"/>
          <w:cols w:equalWidth="0" w:num="1">
            <w:col w:w="10159"/>
          </w:cols>
          <w:pgMar w:left="300" w:top="404" w:right="1440" w:bottom="1440" w:gutter="0" w:footer="0" w:header="0"/>
        </w:sectPr>
      </w:pPr>
    </w:p>
    <w:bookmarkStart w:id="152" w:name="page153"/>
    <w:bookmarkEnd w:id="152"/>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Warrants (Public Warrants and Private Placement Warrants)</w:t>
      </w:r>
    </w:p>
    <w:p>
      <w:pPr>
        <w:spacing w:after="0" w:line="91" w:lineRule="exact"/>
        <w:rPr>
          <w:sz w:val="20"/>
          <w:szCs w:val="20"/>
          <w:color w:val="auto"/>
        </w:rPr>
      </w:pPr>
    </w:p>
    <w:p>
      <w:pPr>
        <w:ind w:left="260" w:right="299"/>
        <w:spacing w:after="0" w:line="252" w:lineRule="auto"/>
        <w:rPr>
          <w:sz w:val="20"/>
          <w:szCs w:val="20"/>
          <w:color w:val="auto"/>
        </w:rPr>
      </w:pPr>
      <w:r>
        <w:rPr>
          <w:rFonts w:ascii="Times New Roman" w:cs="Times New Roman" w:eastAsia="Times New Roman" w:hAnsi="Times New Roman"/>
          <w:sz w:val="14"/>
          <w:szCs w:val="14"/>
          <w:color w:val="auto"/>
        </w:rPr>
        <w:t>Warrants are exercisable for $11.50 per share, and the exercise price and number of warrant shares issuable on exercise of the warrants may be adjusted in certain circumstances including in the event of a share dividend, extraordinary dividend or recapitalization, reorganization, merger or consolidation of the Company. 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Founder or its affiliates, without taking into account any Founder Shares held by it prior to such issuance), (y) the aggregate gross proceeds from such issuances represent more than 65% of the total equity proceeds, and interest thereon, available for the funding of the Company’s initial Business Combination on the date of the consummation of its initial Business Combination (net of redemptions), and (z) the volume weighted-average trading price of the Company’s public shares during the 20 trading-day period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9019"/>
          </w:cols>
          <w:pgMar w:left="1440" w:top="123"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64" w:lineRule="auto"/>
        <w:rPr>
          <w:sz w:val="20"/>
          <w:szCs w:val="20"/>
          <w:color w:val="auto"/>
        </w:rPr>
      </w:pPr>
      <w:r>
        <w:rPr>
          <w:rFonts w:ascii="Times New Roman" w:cs="Times New Roman" w:eastAsia="Times New Roman" w:hAnsi="Times New Roman"/>
          <w:sz w:val="14"/>
          <w:szCs w:val="14"/>
          <w:color w:val="auto"/>
        </w:rPr>
        <w:t>starting on the trading day prior to the day on which the Company consummates its initial Business Combination (such price, the “Market Value”) is below $9.20 per share, the exercise price of the warrants will be adjusted (to the nearest cent) to be equal to 115% of the greater of (i) the Market Value or (ii) the price at which the Company issues the additional Class A ordinary shares or equity-linked securities.</w:t>
      </w:r>
    </w:p>
    <w:p>
      <w:pPr>
        <w:spacing w:after="0" w:line="136"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Each warrant will become exercisable on the later of 30 days after the completion of the Company’s initial Business Combination or 12 months from the closing of the Offering and will expire five years after the completion of the Company’s initial Business Combination or earlier upon redemption. However, if the Company does not complete its initial Business Combination on or prior to the 21-month period allotted to complete the initial Business Combination, the warrants will expire at the end of such period. If the Company is unable to deliver registered Class A ordinary shares to the holder upon exercise of the warrants during the exercise period, there will be no net cash settlement of these warrants and the warrants will expire worthless, unless they may be exercised on a cashless basis in the circumstances described in the warrant agreement. Once the warrants become exercisable, the Company may redeem the outstanding warrants in whole and not in part at a price of $0.01 per warrant upon a minimum of 30 days’ prior written notice of redemption, only in the event that the last sale price of the Company’s Class A ordinary shares equals or exceeds $18.00 per share for any 20 trading days within the 30-trading day period ending on the third trading day before the Company sends the notice of redemption to the warrant holders.</w:t>
      </w:r>
    </w:p>
    <w:p>
      <w:pPr>
        <w:spacing w:after="0" w:line="145"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Under the terms of the warrant agreement, the Company has agreed to use its best efforts to file a new registration statement under the Securities Act, following the completion of the Company’s initial Business Combination, for the registration of the Class A ordinary shares issuable upon exercise of the public warrants and private placement warrants.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As of December 31, 2025 and 2024, there were 23,719,000 warrants outstanding.</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91"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62" w:lineRule="exact"/>
        <w:rPr>
          <w:sz w:val="20"/>
          <w:szCs w:val="20"/>
          <w:color w:val="auto"/>
        </w:rPr>
      </w:pPr>
    </w:p>
    <w:p>
      <w:pPr>
        <w:ind w:left="1400" w:right="939" w:firstLine="340"/>
        <w:spacing w:after="0" w:line="279" w:lineRule="auto"/>
        <w:rPr>
          <w:sz w:val="20"/>
          <w:szCs w:val="20"/>
          <w:color w:val="auto"/>
        </w:rPr>
      </w:pPr>
      <w:r>
        <w:rPr>
          <w:rFonts w:ascii="Times New Roman" w:cs="Times New Roman" w:eastAsia="Times New Roman" w:hAnsi="Times New Roman"/>
          <w:sz w:val="14"/>
          <w:szCs w:val="14"/>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6"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6" w:lineRule="exact"/>
        <w:rPr>
          <w:sz w:val="20"/>
          <w:szCs w:val="20"/>
          <w:color w:val="auto"/>
        </w:rPr>
      </w:pPr>
    </w:p>
    <w:p>
      <w:pPr>
        <w:ind w:left="1400" w:right="759" w:firstLine="340"/>
        <w:spacing w:after="0" w:line="279" w:lineRule="auto"/>
        <w:rPr>
          <w:sz w:val="20"/>
          <w:szCs w:val="20"/>
          <w:color w:val="auto"/>
        </w:rPr>
      </w:pPr>
      <w:r>
        <w:rPr>
          <w:rFonts w:ascii="Times New Roman" w:cs="Times New Roman" w:eastAsia="Times New Roman" w:hAnsi="Times New Roman"/>
          <w:sz w:val="14"/>
          <w:szCs w:val="14"/>
          <w:color w:val="auto"/>
        </w:rPr>
        <w:t>Level 3: Unobservable inputs which are supported by little or no market activity and which are significant to the fair value of the assets or liabilities.</w:t>
      </w:r>
    </w:p>
    <w:p>
      <w:pPr>
        <w:spacing w:after="0" w:line="126" w:lineRule="exact"/>
        <w:rPr>
          <w:sz w:val="20"/>
          <w:szCs w:val="20"/>
          <w:color w:val="auto"/>
        </w:rPr>
      </w:pPr>
    </w:p>
    <w:p>
      <w:pPr>
        <w:ind w:left="1400" w:right="439" w:firstLine="340"/>
        <w:spacing w:after="0" w:line="259" w:lineRule="auto"/>
        <w:rPr>
          <w:sz w:val="20"/>
          <w:szCs w:val="20"/>
          <w:color w:val="auto"/>
        </w:rPr>
      </w:pPr>
      <w:r>
        <w:rPr>
          <w:rFonts w:ascii="Times New Roman" w:cs="Times New Roman" w:eastAsia="Times New Roman" w:hAnsi="Times New Roman"/>
          <w:sz w:val="14"/>
          <w:szCs w:val="14"/>
          <w:color w:val="auto"/>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The public warrants did not start trading separately until September 11, 2024, so the Company initially determined the fair value of each warrant using a Black-Scholes option-pricing model, which requires the use of significant unobservable market values.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404"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64" w:lineRule="auto"/>
        <w:rPr>
          <w:sz w:val="20"/>
          <w:szCs w:val="20"/>
          <w:color w:val="auto"/>
        </w:rPr>
      </w:pPr>
      <w:r>
        <w:rPr>
          <w:rFonts w:ascii="Times New Roman" w:cs="Times New Roman" w:eastAsia="Times New Roman" w:hAnsi="Times New Roman"/>
          <w:sz w:val="14"/>
          <w:szCs w:val="14"/>
          <w:color w:val="auto"/>
        </w:rPr>
        <w:t>Accordingly, the private placement warrants were initially classified as Level 3 financial instruments. After the public warrants started trading separately, the Company determined that the fair value of each private placement warrant approximates the fair value of a public warrant. Accordingly, the private placement warrants are valued upon observable data and are classified as Level 2 financial instruments.</w:t>
      </w:r>
    </w:p>
    <w:p>
      <w:pPr>
        <w:spacing w:after="0" w:line="136"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that are measured at fair value on a recurring basis as of December 31, 2025 and December 31, 2024, and indicates the fair value hierarchy of the valuation inputs the Company utilized to determine such fair value:</w:t>
      </w:r>
    </w:p>
    <w:p>
      <w:pPr>
        <w:spacing w:after="0" w:line="141" w:lineRule="exact"/>
        <w:rPr>
          <w:sz w:val="20"/>
          <w:szCs w:val="20"/>
          <w:color w:val="auto"/>
        </w:rPr>
      </w:pPr>
    </w:p>
    <w:tbl>
      <w:tblPr>
        <w:tblLayout w:type="fixed"/>
        <w:tblInd w:w="2080" w:type="dxa"/>
        <w:tblCellMar>
          <w:top w:w="0" w:type="dxa"/>
          <w:left w:w="0" w:type="dxa"/>
          <w:bottom w:w="0" w:type="dxa"/>
          <w:right w:w="0" w:type="dxa"/>
        </w:tblCellMar>
      </w:tblPr>
      <w:tr>
        <w:trPr>
          <w:trHeight w:val="126"/>
        </w:trPr>
        <w:tc>
          <w:tcPr>
            <w:tcW w:w="3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Level</w:t>
            </w:r>
          </w:p>
        </w:tc>
        <w:tc>
          <w:tcPr>
            <w:tcW w:w="360" w:type="dxa"/>
            <w:vAlign w:val="bottom"/>
          </w:tcPr>
          <w:p>
            <w:pPr>
              <w:spacing w:after="0"/>
              <w:rPr>
                <w:sz w:val="11"/>
                <w:szCs w:val="11"/>
                <w:color w:val="auto"/>
              </w:rPr>
            </w:pP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80" w:type="dxa"/>
            <w:vAlign w:val="bottom"/>
          </w:tcPr>
          <w:p>
            <w:pPr>
              <w:spacing w:after="0"/>
              <w:rPr>
                <w:sz w:val="11"/>
                <w:szCs w:val="11"/>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37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Assets:</w:t>
            </w:r>
          </w:p>
        </w:tc>
        <w:tc>
          <w:tcPr>
            <w:tcW w:w="7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Cash and marketable securities held in Trust Account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211,637,310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203,188,704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1,524,790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5" w:right="1440" w:bottom="1440" w:gutter="0" w:footer="0" w:header="0"/>
        </w:sectPr>
      </w:pPr>
    </w:p>
    <w:bookmarkStart w:id="155" w:name="page156"/>
    <w:bookmarkEnd w:id="155"/>
    <w:p>
      <w:pPr>
        <w:ind w:left="600"/>
        <w:spacing w:after="0"/>
        <w:rPr>
          <w:sz w:val="20"/>
          <w:szCs w:val="20"/>
          <w:color w:val="auto"/>
        </w:rPr>
      </w:pPr>
      <w:r>
        <w:rPr>
          <w:rFonts w:ascii="Times New Roman" w:cs="Times New Roman" w:eastAsia="Times New Roman" w:hAnsi="Times New Roman"/>
          <w:sz w:val="14"/>
          <w:szCs w:val="14"/>
          <w:color w:val="auto"/>
        </w:rPr>
        <w:t>The fair value of the warrants was estimated using the following assumptions:</w:t>
      </w:r>
    </w:p>
    <w:p>
      <w:pPr>
        <w:spacing w:after="0" w:line="177"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w w:val="93"/>
              </w:rPr>
              <w:t>Upon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15"/>
        </w:trPr>
        <w:tc>
          <w:tcPr>
            <w:tcW w:w="4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September 11,</w:t>
            </w:r>
          </w:p>
        </w:tc>
        <w:tc>
          <w:tcPr>
            <w:tcW w:w="0" w:type="dxa"/>
            <w:vAlign w:val="bottom"/>
          </w:tcPr>
          <w:p>
            <w:pPr>
              <w:spacing w:after="0"/>
              <w:rPr>
                <w:sz w:val="1"/>
                <w:szCs w:val="1"/>
                <w:color w:val="auto"/>
              </w:rPr>
            </w:pPr>
          </w:p>
        </w:tc>
      </w:tr>
      <w:tr>
        <w:trPr>
          <w:trHeight w:val="134"/>
        </w:trPr>
        <w:tc>
          <w:tcPr>
            <w:tcW w:w="4480" w:type="dxa"/>
            <w:vAlign w:val="bottom"/>
          </w:tcPr>
          <w:p>
            <w:pPr>
              <w:spacing w:after="0"/>
              <w:rPr>
                <w:sz w:val="11"/>
                <w:szCs w:val="1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Issuance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4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Stock Price</w:t>
            </w:r>
          </w:p>
        </w:tc>
        <w:tc>
          <w:tcPr>
            <w:tcW w:w="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9.08</w:t>
            </w:r>
          </w:p>
        </w:tc>
        <w:tc>
          <w:tcPr>
            <w:tcW w:w="4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9.18</w:t>
            </w: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Volatility</w:t>
            </w: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free interest rate</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3.78%</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11.50</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to maturity - years</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6.75</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right="399" w:firstLine="340"/>
        <w:spacing w:after="0" w:line="279" w:lineRule="auto"/>
        <w:rPr>
          <w:sz w:val="20"/>
          <w:szCs w:val="20"/>
          <w:color w:val="auto"/>
        </w:rPr>
      </w:pPr>
      <w:r>
        <w:rPr>
          <w:rFonts w:ascii="Times New Roman" w:cs="Times New Roman" w:eastAsia="Times New Roman" w:hAnsi="Times New Roman"/>
          <w:sz w:val="14"/>
          <w:szCs w:val="14"/>
          <w:color w:val="auto"/>
        </w:rPr>
        <w:t>The change in the fair value of the Level 3 warrant liability in the period from May 8, 2024 (date of inception) through September 11, 2024, was as follows:</w:t>
      </w:r>
    </w:p>
    <w:p>
      <w:pPr>
        <w:spacing w:after="0" w:line="131"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Period from</w:t>
            </w:r>
          </w:p>
        </w:tc>
      </w:tr>
      <w:tr>
        <w:trPr>
          <w:trHeight w:val="115"/>
        </w:trPr>
        <w:tc>
          <w:tcPr>
            <w:tcW w:w="5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May 8, 2024</w:t>
            </w:r>
          </w:p>
        </w:tc>
      </w:tr>
      <w:tr>
        <w:trPr>
          <w:trHeight w:val="115"/>
        </w:trPr>
        <w:tc>
          <w:tcPr>
            <w:tcW w:w="5440" w:type="dxa"/>
            <w:vAlign w:val="bottom"/>
          </w:tcPr>
          <w:p>
            <w:pPr>
              <w:spacing w:after="0"/>
              <w:rPr>
                <w:sz w:val="9"/>
                <w:szCs w:val="9"/>
                <w:color w:val="auto"/>
              </w:rPr>
            </w:pPr>
          </w:p>
        </w:tc>
        <w:tc>
          <w:tcPr>
            <w:tcW w:w="102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(Inception) through</w:t>
            </w:r>
          </w:p>
        </w:tc>
      </w:tr>
      <w:tr>
        <w:trPr>
          <w:trHeight w:val="134"/>
        </w:trPr>
        <w:tc>
          <w:tcPr>
            <w:tcW w:w="544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September 11, 2024</w:t>
            </w:r>
          </w:p>
        </w:tc>
      </w:tr>
      <w:tr>
        <w:trPr>
          <w:trHeight w:val="168"/>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 beginning of period</w:t>
            </w:r>
          </w:p>
        </w:tc>
        <w:tc>
          <w:tcPr>
            <w:tcW w:w="12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shd w:val="clear" w:color="auto" w:fill="CCEEFF"/>
          </w:tcPr>
          <w:p>
            <w:pPr>
              <w:spacing w:after="0"/>
              <w:rPr>
                <w:sz w:val="14"/>
                <w:szCs w:val="14"/>
                <w:color w:val="auto"/>
              </w:rPr>
            </w:pPr>
          </w:p>
        </w:tc>
      </w:tr>
      <w:tr>
        <w:trPr>
          <w:trHeight w:val="167"/>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58,060</w:t>
            </w:r>
          </w:p>
        </w:tc>
      </w:tr>
      <w:tr>
        <w:trPr>
          <w:trHeight w:val="16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2,929,653</w:t>
            </w:r>
          </w:p>
        </w:tc>
      </w:tr>
      <w:tr>
        <w:trPr>
          <w:trHeight w:val="167"/>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Transfers out of level 3 to level 2</w:t>
            </w:r>
          </w:p>
        </w:tc>
        <w:tc>
          <w:tcPr>
            <w:tcW w:w="1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(2,987,713)</w:t>
            </w:r>
          </w:p>
        </w:tc>
      </w:tr>
      <w:tr>
        <w:trPr>
          <w:trHeight w:val="17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 end of period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bl>
    <w:p>
      <w:pPr>
        <w:spacing w:after="0" w:line="152" w:lineRule="exact"/>
        <w:rPr>
          <w:sz w:val="20"/>
          <w:szCs w:val="20"/>
          <w:color w:val="auto"/>
        </w:rPr>
      </w:pPr>
    </w:p>
    <w:p>
      <w:pPr>
        <w:ind w:left="260" w:right="459" w:firstLine="340"/>
        <w:spacing w:after="0" w:line="264" w:lineRule="auto"/>
        <w:rPr>
          <w:sz w:val="20"/>
          <w:szCs w:val="20"/>
          <w:color w:val="auto"/>
        </w:rPr>
      </w:pPr>
      <w:r>
        <w:rPr>
          <w:rFonts w:ascii="Times New Roman" w:cs="Times New Roman" w:eastAsia="Times New Roman" w:hAnsi="Times New Roman"/>
          <w:sz w:val="14"/>
          <w:szCs w:val="14"/>
          <w:color w:val="auto"/>
        </w:rPr>
        <w:t>The marketable securities held in the Trust Account are considered trading securities as they are generally used with the objective of generating profits on short-term differences in price and therefore, any realized and unrealized gains and losses are recorded in the consolidated statements of operations and comprehensive income for the period presented.</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8. SUBSEQUENT EVENT</w:t>
      </w:r>
    </w:p>
    <w:p>
      <w:pPr>
        <w:spacing w:after="0" w:line="91" w:lineRule="exact"/>
        <w:rPr>
          <w:sz w:val="20"/>
          <w:szCs w:val="20"/>
          <w:color w:val="auto"/>
        </w:rPr>
      </w:pPr>
    </w:p>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t>On January 30, 2026, the Company received a working capital loan from its Sponsor for a principal amount of $148,000. The working capital loan was received to provide the Company with additional working capital and was not deposited into the Trust Account. The working capital loan is convertible at the Sponsor’s election upon the consummation of the initial Business Combination. Upon such election, the working capital loan will convert, at a price of $10.00 per unit, into an aggregate of 14,800 units consisting of 14,800 shares of Domesticated GigCapital7 Common Stock and warrants to purchase 14,800 shares of Domesticated GigCapital7 Common Stock with an exercise price of $11.50 per share. The Company has relied upon Section 4(a)(2) of the Securities Act, in connection with the issuance and sale of the convertible promissory note, as it was issued to a sophisticated investor without a view to distribution and was not issued through any general solicitation or advertisement.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9019"/>
          </w:cols>
          <w:pgMar w:left="1440" w:top="125"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54,692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89,362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154,351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209,043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Cash and marketable securities held in Trust Account</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213,506,528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211,637,310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213,715,571</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211,878,016</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ORDINARY SHARES AND SHAREHOLDERS’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333,683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Convertible working capital loan—related party</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132,776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Related party payable</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 liability</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15,706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legal services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2,649,839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1,818,095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622,747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3,760,489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2,116,387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1,182,642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1,524,790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4,943,131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3,641,177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 (Note 5)</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Class A ordinary shares subject to possible redemption, par value of $0.0001 per share; 200,000,000 shares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authorized; 20,000,000 shares at a redemption value of $10.67 per share and $10.58 per share as of March 31,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 and December 31, 2025, respectively</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213,406,528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211,537,310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shares, par value of $0.0001 per share; 1,000,000 shares authorized; none issued or outstanding</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20" w:type="dxa"/>
            <w:vAlign w:val="bottom"/>
            <w:shd w:val="clear" w:color="auto" w:fill="CCEEFF"/>
          </w:tcPr>
          <w:p>
            <w:pPr>
              <w:ind w:left="240"/>
              <w:spacing w:after="0" w:line="152" w:lineRule="exact"/>
              <w:rPr>
                <w:sz w:val="20"/>
                <w:szCs w:val="20"/>
                <w:color w:val="auto"/>
              </w:rPr>
            </w:pPr>
            <w:r>
              <w:rPr>
                <w:rFonts w:ascii="Times New Roman" w:cs="Times New Roman" w:eastAsia="Times New Roman" w:hAnsi="Times New Roman"/>
                <w:sz w:val="14"/>
                <w:szCs w:val="14"/>
                <w:color w:val="auto"/>
              </w:rPr>
              <w:t>Class A ordinary shares, par value of $0.0001 per share; 200,000,000 shares authorized; none issued or</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outstanding (excludes 20,000,000 shares subject to possible redemption)</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20" w:type="dxa"/>
            <w:vAlign w:val="bottom"/>
          </w:tcPr>
          <w:p>
            <w:pPr>
              <w:ind w:left="240"/>
              <w:spacing w:after="0" w:line="152" w:lineRule="exact"/>
              <w:rPr>
                <w:sz w:val="20"/>
                <w:szCs w:val="20"/>
                <w:color w:val="auto"/>
              </w:rPr>
            </w:pPr>
            <w:r>
              <w:rPr>
                <w:rFonts w:ascii="Times New Roman" w:cs="Times New Roman" w:eastAsia="Times New Roman" w:hAnsi="Times New Roman"/>
                <w:sz w:val="14"/>
                <w:szCs w:val="14"/>
                <w:color w:val="auto"/>
              </w:rPr>
              <w:t>Class B ordinary shares, par value of $0.0001 per share; 50,000,000 shares authorized; 13,333,333 shares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issued and outstanding as of March 31, 2026 and December 31, 2025, respectively</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(4,635,421)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(3,301,804)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shareholders’ deficit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(4,634,088)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(3,300,471)</w:t>
            </w:r>
          </w:p>
        </w:tc>
        <w:tc>
          <w:tcPr>
            <w:tcW w:w="0" w:type="dxa"/>
            <w:vAlign w:val="bottom"/>
          </w:tcPr>
          <w:p>
            <w:pPr>
              <w:spacing w:after="0"/>
              <w:rPr>
                <w:sz w:val="1"/>
                <w:szCs w:val="1"/>
                <w:color w:val="auto"/>
              </w:rPr>
            </w:pPr>
          </w:p>
        </w:tc>
      </w:tr>
      <w:tr>
        <w:trPr>
          <w:trHeight w:val="168"/>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 REDEEMABLE ORDINARY SHARES AND SHAREHOLDERS’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213,715,571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211,878,016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10159"/>
          </w:cols>
          <w:pgMar w:left="300" w:top="404"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Income</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1,675,288</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0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(1,675,288)</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(371,833)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342,148</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(114,173)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14,743</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(15,225)</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and dividend income on marketable securities held in Trust Account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1,869,218</w:t>
            </w: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2,103,979</w:t>
            </w:r>
          </w:p>
        </w:tc>
        <w:tc>
          <w:tcPr>
            <w:tcW w:w="0" w:type="dxa"/>
            <w:vAlign w:val="bottom"/>
          </w:tcPr>
          <w:p>
            <w:pPr>
              <w:spacing w:after="0"/>
              <w:rPr>
                <w:sz w:val="1"/>
                <w:szCs w:val="1"/>
                <w:color w:val="auto"/>
              </w:rPr>
            </w:pPr>
          </w:p>
        </w:tc>
      </w:tr>
      <w:tr>
        <w:trPr>
          <w:trHeight w:val="168"/>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535,601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1,618,274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535,601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1,618,274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Class A ordinary shares subject to possible redemption</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321,361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970,964</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Basic and diluted weighted-average shares outstanding, Class A ordinary shares subject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 possible redemption</w:t>
            </w:r>
          </w:p>
        </w:tc>
        <w:tc>
          <w:tcPr>
            <w:tcW w:w="1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20,000,000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Basic and diluted net income per share, Class A ordinary shares subject to possible</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income attributable to Class B non-redeemable ordinary shares</w:t>
            </w: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4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214,240</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647,310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weighted-average Class B non-redeemable ordinary shares outstanding</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and diluted net income per share, Class B non-redeemable ordinary shares</w:t>
            </w: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4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404"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 (Deficit)</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3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tcPr>
          <w:p>
            <w:pPr>
              <w:jc w:val="center"/>
              <w:ind w:right="260"/>
              <w:spacing w:after="0" w:line="85" w:lineRule="exact"/>
              <w:rPr>
                <w:sz w:val="20"/>
                <w:szCs w:val="20"/>
                <w:color w:val="auto"/>
              </w:rPr>
            </w:pPr>
            <w:r>
              <w:rPr>
                <w:rFonts w:ascii="Times New Roman" w:cs="Times New Roman" w:eastAsia="Times New Roman" w:hAnsi="Times New Roman"/>
                <w:sz w:val="9"/>
                <w:szCs w:val="9"/>
                <w:b w:val="1"/>
                <w:bCs w:val="1"/>
                <w:color w:val="auto"/>
              </w:rPr>
              <w:t>Paid-In</w:t>
            </w:r>
          </w:p>
        </w:tc>
        <w:tc>
          <w:tcPr>
            <w:tcW w:w="140" w:type="dxa"/>
            <w:vAlign w:val="bottom"/>
          </w:tcPr>
          <w:p>
            <w:pPr>
              <w:spacing w:after="0"/>
              <w:rPr>
                <w:sz w:val="7"/>
                <w:szCs w:val="7"/>
                <w:color w:val="auto"/>
              </w:rPr>
            </w:pPr>
          </w:p>
        </w:tc>
        <w:tc>
          <w:tcPr>
            <w:tcW w:w="900" w:type="dxa"/>
            <w:vAlign w:val="bottom"/>
            <w:gridSpan w:val="3"/>
          </w:tcPr>
          <w:p>
            <w:pPr>
              <w:jc w:val="center"/>
              <w:ind w:right="180"/>
              <w:spacing w:after="0" w:line="85"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40" w:type="dxa"/>
            <w:vAlign w:val="bottom"/>
          </w:tcPr>
          <w:p>
            <w:pPr>
              <w:spacing w:after="0"/>
              <w:rPr>
                <w:sz w:val="7"/>
                <w:szCs w:val="7"/>
                <w:color w:val="auto"/>
              </w:rPr>
            </w:pPr>
          </w:p>
        </w:tc>
        <w:tc>
          <w:tcPr>
            <w:tcW w:w="820" w:type="dxa"/>
            <w:vAlign w:val="bottom"/>
            <w:gridSpan w:val="3"/>
          </w:tcPr>
          <w:p>
            <w:pPr>
              <w:jc w:val="right"/>
              <w:ind w:right="120"/>
              <w:spacing w:after="0" w:line="85" w:lineRule="exact"/>
              <w:rPr>
                <w:sz w:val="20"/>
                <w:szCs w:val="20"/>
                <w:color w:val="auto"/>
              </w:rPr>
            </w:pPr>
            <w:r>
              <w:rPr>
                <w:rFonts w:ascii="Times New Roman" w:cs="Times New Roman" w:eastAsia="Times New Roman" w:hAnsi="Times New Roman"/>
                <w:sz w:val="9"/>
                <w:szCs w:val="9"/>
                <w:b w:val="1"/>
                <w:bCs w:val="1"/>
                <w:color w:val="auto"/>
              </w:rPr>
              <w:t>Shareholders’</w:t>
            </w:r>
          </w:p>
        </w:tc>
        <w:tc>
          <w:tcPr>
            <w:tcW w:w="0" w:type="dxa"/>
            <w:vAlign w:val="bottom"/>
          </w:tcPr>
          <w:p>
            <w:pPr>
              <w:spacing w:after="0"/>
              <w:rPr>
                <w:sz w:val="1"/>
                <w:szCs w:val="1"/>
                <w:color w:val="auto"/>
              </w:rPr>
            </w:pPr>
          </w:p>
        </w:tc>
      </w:tr>
      <w:tr>
        <w:trPr>
          <w:trHeight w:val="123"/>
        </w:trPr>
        <w:tc>
          <w:tcPr>
            <w:tcW w:w="400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Balances as of December 31, 2025</w:t>
            </w:r>
          </w:p>
        </w:tc>
        <w:tc>
          <w:tcPr>
            <w:tcW w:w="68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4"/>
                <w:szCs w:val="14"/>
                <w:color w:val="auto"/>
                <w:w w:val="98"/>
              </w:rPr>
              <w:t>13,333,333</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w w:val="93"/>
              </w:rPr>
              <w:t>$1,333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ind w:left="400"/>
              <w:spacing w:after="0" w:line="148"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97"/>
              </w:rPr>
              <w:t>(3,301,804)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99"/>
              </w:rPr>
              <w:t>$(3,300,471)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7"/>
              </w:rPr>
              <w:t>(1,869,218)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(1,869,218)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 of negative additional paid-in capital to accumulated deficit</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1,869,218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(1,869,218)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280" w:type="dxa"/>
            <w:vAlign w:val="bottom"/>
          </w:tcPr>
          <w:p>
            <w:pPr>
              <w:spacing w:after="0"/>
              <w:rPr>
                <w:sz w:val="14"/>
                <w:szCs w:val="14"/>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13,333,333</w:t>
            </w:r>
          </w:p>
        </w:tc>
        <w:tc>
          <w:tcPr>
            <w:tcW w:w="2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1,333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(4,635,421)</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(4,634,088)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3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tcPr>
          <w:p>
            <w:pPr>
              <w:jc w:val="center"/>
              <w:ind w:right="260"/>
              <w:spacing w:after="0" w:line="85" w:lineRule="exact"/>
              <w:rPr>
                <w:sz w:val="20"/>
                <w:szCs w:val="20"/>
                <w:color w:val="auto"/>
              </w:rPr>
            </w:pPr>
            <w:r>
              <w:rPr>
                <w:rFonts w:ascii="Times New Roman" w:cs="Times New Roman" w:eastAsia="Times New Roman" w:hAnsi="Times New Roman"/>
                <w:sz w:val="9"/>
                <w:szCs w:val="9"/>
                <w:b w:val="1"/>
                <w:bCs w:val="1"/>
                <w:color w:val="auto"/>
              </w:rPr>
              <w:t>Paid-In</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center"/>
              <w:ind w:right="260"/>
              <w:spacing w:after="0" w:line="85" w:lineRule="exact"/>
              <w:rPr>
                <w:sz w:val="20"/>
                <w:szCs w:val="20"/>
                <w:color w:val="auto"/>
              </w:rPr>
            </w:pPr>
            <w:r>
              <w:rPr>
                <w:rFonts w:ascii="Times New Roman" w:cs="Times New Roman" w:eastAsia="Times New Roman" w:hAnsi="Times New Roman"/>
                <w:sz w:val="9"/>
                <w:szCs w:val="9"/>
                <w:b w:val="1"/>
                <w:bCs w:val="1"/>
                <w:color w:val="auto"/>
              </w:rPr>
              <w:t>Retained</w:t>
            </w:r>
          </w:p>
        </w:tc>
        <w:tc>
          <w:tcPr>
            <w:tcW w:w="140" w:type="dxa"/>
            <w:vAlign w:val="bottom"/>
          </w:tcPr>
          <w:p>
            <w:pPr>
              <w:spacing w:after="0"/>
              <w:rPr>
                <w:sz w:val="7"/>
                <w:szCs w:val="7"/>
                <w:color w:val="auto"/>
              </w:rPr>
            </w:pPr>
          </w:p>
        </w:tc>
        <w:tc>
          <w:tcPr>
            <w:tcW w:w="820" w:type="dxa"/>
            <w:vAlign w:val="bottom"/>
            <w:gridSpan w:val="3"/>
          </w:tcPr>
          <w:p>
            <w:pPr>
              <w:jc w:val="right"/>
              <w:ind w:right="120"/>
              <w:spacing w:after="0" w:line="85" w:lineRule="exact"/>
              <w:rPr>
                <w:sz w:val="20"/>
                <w:szCs w:val="20"/>
                <w:color w:val="auto"/>
              </w:rPr>
            </w:pPr>
            <w:r>
              <w:rPr>
                <w:rFonts w:ascii="Times New Roman" w:cs="Times New Roman" w:eastAsia="Times New Roman" w:hAnsi="Times New Roman"/>
                <w:sz w:val="9"/>
                <w:szCs w:val="9"/>
                <w:b w:val="1"/>
                <w:bCs w:val="1"/>
                <w:color w:val="auto"/>
              </w:rPr>
              <w:t>Shareholders’</w:t>
            </w:r>
          </w:p>
        </w:tc>
        <w:tc>
          <w:tcPr>
            <w:tcW w:w="0" w:type="dxa"/>
            <w:vAlign w:val="bottom"/>
          </w:tcPr>
          <w:p>
            <w:pPr>
              <w:spacing w:after="0"/>
              <w:rPr>
                <w:sz w:val="1"/>
                <w:szCs w:val="1"/>
                <w:color w:val="auto"/>
              </w:rPr>
            </w:pPr>
          </w:p>
        </w:tc>
      </w:tr>
      <w:tr>
        <w:trPr>
          <w:trHeight w:val="123"/>
        </w:trPr>
        <w:tc>
          <w:tcPr>
            <w:tcW w:w="400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Balances as of December 31, 2024</w:t>
            </w:r>
          </w:p>
        </w:tc>
        <w:tc>
          <w:tcPr>
            <w:tcW w:w="68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4"/>
                <w:szCs w:val="14"/>
                <w:color w:val="auto"/>
                <w:w w:val="98"/>
              </w:rPr>
              <w:t>13,333,333</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w w:val="93"/>
              </w:rPr>
              <w:t>$1,333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ind w:left="400"/>
              <w:spacing w:after="0" w:line="148"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1,321,337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1,322,670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7"/>
              </w:rPr>
              <w:t>(2,103,979)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(2,103,979)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 of negative additional paid-in capital to retained earnings</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2,103,979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(2,103,979)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280" w:type="dxa"/>
            <w:vAlign w:val="bottom"/>
          </w:tcPr>
          <w:p>
            <w:pPr>
              <w:spacing w:after="0"/>
              <w:rPr>
                <w:sz w:val="14"/>
                <w:szCs w:val="14"/>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1,618,274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1,618,274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as of March 31, 2025</w:t>
            </w: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13,333,333</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1,333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835,632</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836,965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405"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For the</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For The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0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78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31,</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March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535,601</w:t>
            </w:r>
          </w:p>
        </w:tc>
        <w:tc>
          <w:tcPr>
            <w:tcW w:w="3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1,618,274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Accretion of debt discount on convertible working capital loan—related party</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15,225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(14,743)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8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(342,148)</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114,173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and dividends earned on cash and marketable securities held in Trust Account</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w w:val="94"/>
              </w:rPr>
              <w:t>(1,869,218)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(2,103,979)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(3,007)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(54,678)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32,244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162,908</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36,263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Related party payable</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legal services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831,744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liabilities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499,283</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(182,670)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(417,754)</w:t>
            </w:r>
          </w:p>
        </w:tc>
        <w:tc>
          <w:tcPr>
            <w:tcW w:w="0" w:type="dxa"/>
            <w:vAlign w:val="bottom"/>
          </w:tcPr>
          <w:p>
            <w:pPr>
              <w:spacing w:after="0"/>
              <w:rPr>
                <w:sz w:val="1"/>
                <w:szCs w:val="1"/>
                <w:color w:val="auto"/>
              </w:rPr>
            </w:pPr>
          </w:p>
        </w:tc>
      </w:tr>
      <w:tr>
        <w:trPr>
          <w:trHeight w:val="168"/>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convertible working capital loan</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148,000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148,000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decrease in cash</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(34,670)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(417,754)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Cash at beginning of period</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89,362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at end of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54,692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926,474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non-cash disclosure: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derivative liability at issuance of convertible working capital loan—related party</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30,449</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00" w:type="dxa"/>
            <w:vAlign w:val="bottom"/>
            <w:gridSpan w:val="2"/>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1,869,218</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405"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GIGCAPITAL7 CORP.</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1. Basis of Presentation</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General</w:t>
      </w:r>
    </w:p>
    <w:p>
      <w:pPr>
        <w:spacing w:after="0" w:line="91" w:lineRule="exact"/>
        <w:rPr>
          <w:sz w:val="20"/>
          <w:szCs w:val="20"/>
          <w:color w:val="auto"/>
        </w:rPr>
      </w:pPr>
    </w:p>
    <w:p>
      <w:pPr>
        <w:ind w:left="1400" w:right="319" w:firstLine="340"/>
        <w:spacing w:after="0" w:line="285" w:lineRule="auto"/>
        <w:rPr>
          <w:sz w:val="20"/>
          <w:szCs w:val="20"/>
          <w:color w:val="auto"/>
        </w:rPr>
      </w:pPr>
      <w:r>
        <w:rPr>
          <w:rFonts w:ascii="Times New Roman" w:cs="Times New Roman" w:eastAsia="Times New Roman" w:hAnsi="Times New Roman"/>
          <w:sz w:val="13"/>
          <w:szCs w:val="13"/>
          <w:color w:val="auto"/>
        </w:rPr>
        <w:t>GigCapital7 Corp. (the “Company” or “GigCapital7”) was incorporated as a Cayman Islands exempted company on May 8, 2024.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w:t>
      </w:r>
    </w:p>
    <w:p>
      <w:pPr>
        <w:spacing w:after="0" w:line="124"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As of March 31, 2026, the Company had not commenced any operations. All activity for the period from May 8, 2024 (date of inception) through March 31, 2026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generates non-operating income in the form of interest and dividend income on cash, cash equivalents and marketable securities from the proceeds received from the Offering. The Company has selected December 31 as its fiscal year end.</w:t>
      </w:r>
    </w:p>
    <w:p>
      <w:pPr>
        <w:spacing w:after="0" w:line="142"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On August 28, 2024, the Securities and Exchange Commission (the “SEC”) declared the Company’s initial Registration Statement on Form S-1 (File No. 333-280015), as amended, in connection with the Offering of $200.0 million, effective.</w:t>
      </w:r>
    </w:p>
    <w:p>
      <w:pPr>
        <w:spacing w:after="0" w:line="126"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The Company entered into an underwriting agreement with Craft Capital Management LLC and EF Hutton LLC (collectively, the “Underwriters”) on August 28, 2024 to conduct the Offering of 20,000,000 units (the “public units”) in the amount of $200.0 million in gross proceeds, with a 45-day option provided to the Underwriters to purchase up to 3,000,000 additional public units solely to cover over-allotments, if any, in the amount of up to $30.0 million in additional gross proceeds. Each public unit consists of one Class A ordinary share of the Company (a “public share”), $0.0001 par value, and one redeemable warrant (a “public warrant”). Each public warrant is exercisable for one Class A ordinary share at a price of $11.50 per full share.</w:t>
      </w:r>
    </w:p>
    <w:p>
      <w:pPr>
        <w:spacing w:after="0" w:line="145"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On August 30, 2024, the Company consummated the Offering of 20,000,000 public units. The public units were sold at a price of $10.00 per public unit, generating gross proceeds to the Company of $200,000,000.</w:t>
      </w:r>
    </w:p>
    <w:p>
      <w:pPr>
        <w:spacing w:after="0" w:line="126"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As further discussed in Note 4, simultaneously with the closing of the Offering, the Company consummated the private placement to certain non-managing investors of 2,826,087 Class B ordinary shares (the “private placement shares”) at a price of $1.15 per share (the “private placement”). The private placement generated aggregate gross proceeds of $3,250,000.</w:t>
      </w:r>
    </w:p>
    <w:p>
      <w:pPr>
        <w:spacing w:after="0" w:line="136" w:lineRule="exact"/>
        <w:rPr>
          <w:sz w:val="20"/>
          <w:szCs w:val="20"/>
          <w:color w:val="auto"/>
        </w:rPr>
      </w:pPr>
    </w:p>
    <w:p>
      <w:pPr>
        <w:ind w:left="1400" w:right="459" w:firstLine="340"/>
        <w:spacing w:after="0" w:line="256" w:lineRule="auto"/>
        <w:rPr>
          <w:sz w:val="20"/>
          <w:szCs w:val="20"/>
          <w:color w:val="auto"/>
        </w:rPr>
      </w:pPr>
      <w:r>
        <w:rPr>
          <w:rFonts w:ascii="Times New Roman" w:cs="Times New Roman" w:eastAsia="Times New Roman" w:hAnsi="Times New Roman"/>
          <w:sz w:val="14"/>
          <w:szCs w:val="14"/>
          <w:color w:val="auto"/>
        </w:rPr>
        <w:t>As further discussed in Note 5, simultaneously with the closing of the Offering, the Company consummated the private placement to the Company’s sponsor, GigAcquisitions7 Corp., a Cayman Islands exempted company (the “Sponsor”), of 3,719,000 warrants (the “private placement warrants”) at a price of $0.01561 per private placement warrant (the “warrant private placement”). Each private placement warrant entitles the holder thereof to purchase one Class A ordinary share at $11.50 per share, subject to adjustment. The warrant private placement generated aggregate gross proceeds of $58,060.</w:t>
      </w:r>
    </w:p>
    <w:p>
      <w:pPr>
        <w:spacing w:after="0" w:line="142"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Following the closing of the Offering, net proceeds in the amount of $200,000,000 from the sale of the public units in the Offering were placed in a trust account (“Trust Account”) (discussed below).</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405"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Transaction costs amounted to $1,319,918, consisting of $600,000 of underwriting fees and $1,019,918 of offering costs, partially offset by the reimbursement of $300,000 of offering expenses by the Underwriters. The Company’s remaining cash after payment of the offering costs is held outside of the Trust Account for working capital purposes.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Working Capital Loan</w:t>
      </w:r>
    </w:p>
    <w:p>
      <w:pPr>
        <w:spacing w:after="0" w:line="91" w:lineRule="exact"/>
        <w:rPr>
          <w:sz w:val="20"/>
          <w:szCs w:val="20"/>
          <w:color w:val="auto"/>
        </w:rPr>
      </w:pPr>
    </w:p>
    <w:p>
      <w:pPr>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As further discussed in Note 5, on January 30, 2026, the Company received a working capital loan from its Sponsor for a principal amount of $148,000 (the “convertible loan”). The convertible loan was received to provide the Company with additional working capital and was not deposited into the Trust Account.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Trust Account</w:t>
      </w:r>
    </w:p>
    <w:p>
      <w:pPr>
        <w:spacing w:after="0" w:line="91"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spacing w:after="0" w:line="142" w:lineRule="exact"/>
        <w:rPr>
          <w:sz w:val="20"/>
          <w:szCs w:val="20"/>
          <w:color w:val="auto"/>
        </w:rPr>
      </w:pPr>
    </w:p>
    <w:p>
      <w:pPr>
        <w:ind w:left="1400" w:right="379" w:firstLine="340"/>
        <w:spacing w:after="0" w:line="253" w:lineRule="auto"/>
        <w:rPr>
          <w:sz w:val="20"/>
          <w:szCs w:val="20"/>
          <w:color w:val="auto"/>
        </w:rPr>
      </w:pPr>
      <w:r>
        <w:rPr>
          <w:rFonts w:ascii="Times New Roman" w:cs="Times New Roman" w:eastAsia="Times New Roman" w:hAnsi="Times New Roman"/>
          <w:sz w:val="14"/>
          <w:szCs w:val="14"/>
          <w:color w:val="auto"/>
        </w:rPr>
        <w:t>The Company’s amended and restated memorandum and articles of association provides that, other than the withdrawal of interest and dividends to pay taxes, none of the funds held in the Trust Account will be released until the earlier of: (1) the completion of the Business Combination; (2) the redemption of 100% of the outstanding public shares if the Company has not completed an initial Business Combination within 21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91" w:lineRule="exact"/>
        <w:rPr>
          <w:sz w:val="20"/>
          <w:szCs w:val="20"/>
          <w:color w:val="auto"/>
        </w:rPr>
      </w:pPr>
    </w:p>
    <w:p>
      <w:pPr>
        <w:ind w:left="1400" w:right="259" w:firstLine="340"/>
        <w:spacing w:after="0" w:line="251" w:lineRule="auto"/>
        <w:rPr>
          <w:sz w:val="20"/>
          <w:szCs w:val="20"/>
          <w:color w:val="auto"/>
        </w:rPr>
      </w:pPr>
      <w:r>
        <w:rPr>
          <w:rFonts w:ascii="Times New Roman" w:cs="Times New Roman" w:eastAsia="Times New Roman" w:hAnsi="Times New Roman"/>
          <w:sz w:val="14"/>
          <w:szCs w:val="14"/>
          <w:color w:val="auto"/>
        </w:rPr>
        <w:t>The Company will have 21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and dividends, but less taxes payable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initial shareholders entered into agreements with the Company, pursuant to which they agreed: (1) to waive their redemption rights with respect to their founder shares, private placement shares and any Class A ordinary shares issuable upon conversion thereof in connection with the consummation of the Company’s initial Business Combination or a tender offer conducted prior to a Business Combination or in connection with it; and (2) to waive their rights to liquidating distributions from the Trust Account with respect to their founder shares and private placement shares if the Company fails to complete its initial Business Combination within 21 months from the closing of the Offering, although they will be entitled to liquidating distributions from the Trust Account with respect to any public shares they hold if the Company fails to complete its initial Business Combination within the prescribed time frame.</w:t>
      </w:r>
    </w:p>
    <w:p>
      <w:pPr>
        <w:spacing w:after="0" w:line="148"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In the event of such distribution, it is possible that the per share value of the residual assets remaining available for distribution (including Trust Account assets) will be less than the initial public offering price per unit in the Offering.</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404"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1"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As of March 31, 2026, the Company had $54,692 in cash and a working capital deficit of $3,551,446.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unaudited condensed consolidated interim financial statements do not include any adjustments that might result from the outcome of this uncertainty.</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2. Business Combination and Related Agreement</w:t>
      </w:r>
    </w:p>
    <w:p>
      <w:pPr>
        <w:spacing w:after="0" w:line="91" w:lineRule="exact"/>
        <w:rPr>
          <w:sz w:val="20"/>
          <w:szCs w:val="20"/>
          <w:color w:val="auto"/>
        </w:rPr>
      </w:pPr>
    </w:p>
    <w:p>
      <w:pPr>
        <w:ind w:left="1400" w:right="299" w:firstLine="340"/>
        <w:spacing w:after="0" w:line="276" w:lineRule="auto"/>
        <w:rPr>
          <w:sz w:val="20"/>
          <w:szCs w:val="20"/>
          <w:color w:val="auto"/>
        </w:rPr>
      </w:pPr>
      <w:r>
        <w:rPr>
          <w:rFonts w:ascii="Times New Roman" w:cs="Times New Roman" w:eastAsia="Times New Roman" w:hAnsi="Times New Roman"/>
          <w:sz w:val="13"/>
          <w:szCs w:val="13"/>
          <w:color w:val="auto"/>
        </w:rPr>
        <w:t>On September 27, 2025, the Company (which will transfer by way of continuation and domesticate as a Delaware corporation prior to the Closing (as defined below)), entered into a Business Combination Agreement (the “Business Combination Agreement”), dated as of September 27, 2025, by and among the Company, MMR Merger Sub, Inc., a Delaware corporation and a direct wholly owned subsidiary of the Company (“Merger Sub”), and Hadron Energy, Inc., a Delaware corporation (“Hadron Energy”), pursuant to which, among other things and subject to the terms and conditions contained therein, Merger Sub will merge with and into Hadron Energy (the “Merger”), with Hadron Energy continuing as the surviving company (Hadron Energy, in its capacity as the surviving corporation of the Merger, is sometimes referred to as the “Surviving Company”). The Business Combination Agreement and the transaction was approved by the Company’s board of directors and the board of directors of Hadron Energy.</w:t>
      </w:r>
    </w:p>
    <w:p>
      <w:pPr>
        <w:spacing w:after="0" w:line="131" w:lineRule="exact"/>
        <w:rPr>
          <w:sz w:val="20"/>
          <w:szCs w:val="20"/>
          <w:color w:val="auto"/>
        </w:rPr>
      </w:pPr>
    </w:p>
    <w:p>
      <w:pPr>
        <w:ind w:left="1400" w:right="679" w:firstLine="340"/>
        <w:spacing w:after="0" w:line="279" w:lineRule="auto"/>
        <w:rPr>
          <w:sz w:val="20"/>
          <w:szCs w:val="20"/>
          <w:color w:val="auto"/>
        </w:rPr>
      </w:pPr>
      <w:r>
        <w:rPr>
          <w:rFonts w:ascii="Times New Roman" w:cs="Times New Roman" w:eastAsia="Times New Roman" w:hAnsi="Times New Roman"/>
          <w:sz w:val="14"/>
          <w:szCs w:val="14"/>
          <w:color w:val="auto"/>
        </w:rPr>
        <w:t>Following the closing of the Merger (the “Closing”), the Company, which will be renamed “Hadron Energy, Inc.,” will be referred to as the “Combined Company.”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Domestication</w:t>
      </w:r>
    </w:p>
    <w:p>
      <w:pPr>
        <w:spacing w:after="0" w:line="91" w:lineRule="exact"/>
        <w:rPr>
          <w:sz w:val="20"/>
          <w:szCs w:val="20"/>
          <w:color w:val="auto"/>
        </w:rPr>
      </w:pPr>
    </w:p>
    <w:p>
      <w:pPr>
        <w:ind w:left="1400" w:right="459" w:firstLine="340"/>
        <w:spacing w:after="0" w:line="256" w:lineRule="auto"/>
        <w:rPr>
          <w:sz w:val="20"/>
          <w:szCs w:val="20"/>
          <w:color w:val="auto"/>
        </w:rPr>
      </w:pPr>
      <w:r>
        <w:rPr>
          <w:rFonts w:ascii="Times New Roman" w:cs="Times New Roman" w:eastAsia="Times New Roman" w:hAnsi="Times New Roman"/>
          <w:sz w:val="14"/>
          <w:szCs w:val="14"/>
          <w:color w:val="auto"/>
        </w:rPr>
        <w:t>At least two (2) days prior to the Closing Date (as defined below), subject to the satisfaction or waiver of the conditions of the Business Combination Agreement, the Company will transfer by way of continuation from the Cayman Islands to the State of Delaware and domesticate as a Delaware corporation (“Domesticated GigCapital7”) in accordance with Section 388 of the General Corporation Law of the State of Delaware, as amended (the “DGCL”), and Part 12 of the Companies Act (as revised) of the Cayman Islands (the “Cayman Companies Act,” and such continuation and domestication, the “Domestication”).</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By virtue of the Domestication upon its effectiveness, (a) each then issued and outstanding Class A ordinary share of GigCapital7 (each a “Class A</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Ordinary Share”) (other than any Class A Ordinary Share included in the Cayman Purchaser Units (as defined in the Business Combination Agreement))</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shall convert automatically, on a one-for-one basis, into one (1) share of common stock of Domesticated GigCapital7 (the “Domesticated GigCapital7</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Common Stock”); (b) each then issued and outstanding Class B ordinary share of GigCapital7 (each a “Class B Ordinary Share”) shall convert</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automatically, on a one-for-one basis, into one (1) share of Class B common stock of Domesticated GigCapital7 (the “Domesticated GigCapital7</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Class B Common Stock”); (c) each then issued and outstanding warrant of the Company (other than any Cayman Purchaser Public Warrants (as defined</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the Business Combination Agreement) included in the Cayman Purchaser Units) (each a “Cayman Purchaser Warrant”) shall convert automatically</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into a warrant to acquire one (1) share of Domesticated GigCapital7 Common Stock (each a “Domesticated GigCapital7 Warrant”), pursuant to the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Warrant Agreement (as defined in the Business Combination Agreement); and (d) each then issued and outstanding Cayman Purchaser Units shall be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cancelled and will thereafter entitle the holder thereof to one (1) share of Domesticated GigCapital7 Common Stock and one (1) Domesticated</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GigCapital7 Warrant, in each case without any action on the part of the Company, Merger Sub, Hadron Energy or any holder of securities of any of the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foregoing.</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405"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Merger and Consideration</w:t>
      </w:r>
    </w:p>
    <w:p>
      <w:pPr>
        <w:spacing w:after="0" w:line="91"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1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Subject to, and in accordance with the terms and conditions of the Business Combination Agreement, at the Effective Time:</w:t>
      </w:r>
    </w:p>
    <w:p>
      <w:pPr>
        <w:spacing w:after="0" w:line="100" w:lineRule="exact"/>
        <w:rPr>
          <w:sz w:val="20"/>
          <w:szCs w:val="20"/>
          <w:color w:val="auto"/>
        </w:rPr>
      </w:pPr>
    </w:p>
    <w:p>
      <w:pPr>
        <w:ind w:left="1720" w:right="279" w:hanging="330"/>
        <w:spacing w:after="0" w:line="25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issued and outstanding share of common stock of Hadron Energy (the “Hadron Energy Common Stock”), except for (a) shares held by the Company or Merger Sub (or any subsidiaries of the Company), (b) shares held by Hadron Energy as treasury stock, if any (each share covered in subclause (a) and (b), an “Excluded Share”), (c) shares held by stockholders who have properly exercised and not withdrawn appraisal rights under Delaware law (the “Dissenting Shares”), and (d) shares of the Hadron Energy Common Stock issued pursuant to an award of restricted stock that is, as of immediately prior to the Closing Date, subject to a substantial risk of forfeiture and is not transferable (the “Hadron Energy Restricted Shares”), will be cancelled and converted into the right to receive the Per Share Merger Consideration (as defined below), as set forth in the Business Combination Agreement;</w:t>
      </w:r>
    </w:p>
    <w:p>
      <w:pPr>
        <w:spacing w:after="0" w:line="73" w:lineRule="exact"/>
        <w:rPr>
          <w:rFonts w:ascii="Times New Roman" w:cs="Times New Roman" w:eastAsia="Times New Roman" w:hAnsi="Times New Roman"/>
          <w:sz w:val="14"/>
          <w:szCs w:val="14"/>
          <w:color w:val="auto"/>
        </w:rPr>
      </w:pPr>
    </w:p>
    <w:p>
      <w:pPr>
        <w:ind w:left="1720" w:right="519" w:hanging="330"/>
        <w:spacing w:after="0" w:line="279"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Excluded Share shall be automatically cancelled and retired without any conversion thereof and shall cease to exist, and no consideration shall be delivered in exchange therefor;</w:t>
      </w:r>
    </w:p>
    <w:p>
      <w:pPr>
        <w:spacing w:after="0" w:line="53" w:lineRule="exact"/>
        <w:rPr>
          <w:rFonts w:ascii="Times New Roman" w:cs="Times New Roman" w:eastAsia="Times New Roman" w:hAnsi="Times New Roman"/>
          <w:sz w:val="14"/>
          <w:szCs w:val="14"/>
          <w:color w:val="auto"/>
        </w:rPr>
      </w:pPr>
    </w:p>
    <w:p>
      <w:pPr>
        <w:ind w:left="1720" w:right="439" w:hanging="330"/>
        <w:spacing w:after="0" w:line="25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to purchase shares of the Hadron Energy Common Stock (the “Hadron Energy Option”) that is outstanding immediately prior to the Effective Time will be automatically assumed by Domesticated GigCapital7 and converted into an option to purchase a number of shares of Domesticated GigCapital7 Common Stock (such option, an “Exchanged Option”), equal to the product (rounded down to the nearest whole number) of (x) the number of shares of the Hadron Energy Common Stock subject to such Hadron Energy Option immediately prior to the Effective Time and (y) the Exchange Ratio (as defined below), at an exercise price per share (rounded up to the nearest whole cent) equal to the quotient of (A) the exercise price per share of such Hadron Energy Option immediately prior to the Effective Time divided by (B) the Exchange Ratio; and</w:t>
      </w:r>
    </w:p>
    <w:p>
      <w:pPr>
        <w:spacing w:after="0" w:line="73" w:lineRule="exact"/>
        <w:rPr>
          <w:rFonts w:ascii="Times New Roman" w:cs="Times New Roman" w:eastAsia="Times New Roman" w:hAnsi="Times New Roman"/>
          <w:sz w:val="14"/>
          <w:szCs w:val="14"/>
          <w:color w:val="auto"/>
        </w:rPr>
      </w:pPr>
    </w:p>
    <w:p>
      <w:pPr>
        <w:ind w:left="1720" w:right="279" w:hanging="330"/>
        <w:spacing w:after="0" w:line="256"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the Hadron Energy Restricted Shares (the “Hadron Energy Restricted Share Award”) that is outstanding immediately prior to the Effective Time will be automatically assumed by Domesticated GigCapital7 such that each Hadron Energy Restricted Share Award will be converted into an award for a number of restricted shares of Domesticated GigCapital7 Common Stock (such award, an “Exchanged RSA”), equal to the product (rounded down to the nearest whole number) of (x) the number of shares of Hadron Energy Restricted Shares and (y) the Exchange Ratio.</w:t>
      </w:r>
    </w:p>
    <w:p>
      <w:pPr>
        <w:spacing w:after="0" w:line="142"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Additionally, the outstanding Hadron Energy Simple Agreements for Future Equity (“SAFEs”) will automatically convert, immediately prior to the Effective Time, into a number of shares of Hadron Energy Common Stock determined in accordance with the terms of such Hadron Energy SAFE. Post-conversion, such shares will be treated as Hadron Energy Common Stock and receive the consideration described above for Hadron Energy Common Stock at the Effective Time.</w:t>
      </w:r>
    </w:p>
    <w:p>
      <w:pPr>
        <w:spacing w:after="0" w:line="139"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The “Per Share Merger Consideration” in respect of each share of Hadron Energy Common Stock (other than Excluded Shares, Dissenting Shares and Hadron Energy Restricted Shares) that is issued and outstanding, or deemed to be issued and outstanding, immediately prior to the Effective Time, shall be a number of shares of Domesticated GigCapital7 Common Stock equal to the Exchange Ratio. The “Exchange Ratio” means the quotient of: (a) the Aggregate Merger Consideration; divided by (b) the Hadron Energy Fully Diluted Capital. The “Aggregate Merger Consideration” means the number of shares of Domesticated GigCapital7 Common Stock equal to the difference of: (a) the Aggregate Domesticated GigCapital7 Common Stock; minus (b) 13,333,333 shares of Domesticated GigCapital7 Common Stock; provided, however, that if Hadron Energy has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405"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71" w:lineRule="auto"/>
        <w:rPr>
          <w:sz w:val="20"/>
          <w:szCs w:val="20"/>
          <w:color w:val="auto"/>
        </w:rPr>
      </w:pPr>
      <w:r>
        <w:rPr>
          <w:rFonts w:ascii="Times New Roman" w:cs="Times New Roman" w:eastAsia="Times New Roman" w:hAnsi="Times New Roman"/>
          <w:sz w:val="13"/>
          <w:szCs w:val="13"/>
          <w:color w:val="auto"/>
        </w:rPr>
        <w:t>any indebtedness outstanding as of the closing of the Merger, the Aggregate Merger Consideration shall be further reduced by a number of shares of Domesticated GigCapital7 Common Stock equal to the amount of such indebtedness divided by $10.59 (the “Per Share Price”) (rounded down to the nearest whole share). The “Aggregate Domesticated GigCapital7 Common Stock” means the number of shares of Domesticated GigCapital7 Common Stock equal to the quotient of: (a) $1,200,200,000; divided by (b) the Per Share Price. The “Hadron Energy Fully Diluted Capital” means the sum (without duplication) of the aggregate number of (a) shares of Hadron Energy Common Stock (other than Hadron Energy Restricted Shares) that are issued and outstanding immediately prior to the Effective Time assuming and after giving effect to the conversion of all Hadron Energy SAFEs,</w:t>
      </w:r>
    </w:p>
    <w:p>
      <w:pPr>
        <w:spacing w:after="0" w:line="3" w:lineRule="exact"/>
        <w:rPr>
          <w:sz w:val="20"/>
          <w:szCs w:val="20"/>
          <w:color w:val="auto"/>
        </w:rPr>
      </w:pPr>
    </w:p>
    <w:p>
      <w:pPr>
        <w:ind w:left="1400" w:right="279" w:hanging="10"/>
        <w:spacing w:after="0" w:line="253" w:lineRule="auto"/>
        <w:tabs>
          <w:tab w:leader="none" w:pos="159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Hadron Energy Restricted Shares that are issued and outstanding immediately prior to the Effective Time, and (c) all shares of Hadron Energy Common Stock issuable upon the full exercise of all Hadron Energy Options outstanding as of immediately prior to the Effective Time (calculated using the treasury method of accounting on a cashless exercise basis).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Sponsor Share Conversion</w:t>
      </w:r>
    </w:p>
    <w:p>
      <w:pPr>
        <w:spacing w:after="0" w:line="91"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At the Effective Time, by virtue of the Merger and the applicable provisions of the certificate of incorporation of Domesticated GigCapital7 (the “Domesticated GigCapital7 Charter”), each share of Domesticated GigCapital7 Class B Common Stock then issued and outstanding shall be automatically cancelled and extinguished and converted into one (1) share of Domesticated GigCapital7 Common Stock.</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Redemption</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GigCapital7 will provide an opportunity to the holders of its public shares to have their public shares redeemed on the terms and conditions set forth in the Business Combination Agreement and the Cayman Purchaser Articles (the “Redemption”). Subject to receipt of the approval of the Business Combination Agreement by the GigCapital7 shareholders, GigCapital7 will carry out the Redemption at the Effective Time in accordance with the Cayman Purchaser Articles and the Domesticated GigCapital7 Charter.</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The Closing</w:t>
      </w:r>
    </w:p>
    <w:p>
      <w:pPr>
        <w:spacing w:after="0" w:line="91"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Closing will occur as promptly as practicable, but in no event later than three (3) business days, after the satisfaction or, if permissible, waiver of the conditions set forth in the Business Combination Agreement, or at such other date, time, or place as GigCapital7 and Hadron Energy may agree. The date of such Closing is referred to as the “Closing Date.”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Stock Exchange Listing</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The public units, public shares and public warrants of the Company, are currently listed on the Nasdaq Stock Market LLC (“Nasdaq”) under the symbols “GIGGU,” “GIG” and “GIGGW,” respectively. From and after the Closing, the Combined Company intends to list on Nasdaq or the New York Stock Exchange, as applicable, only the Domesticated GigCapital7 Common Stock and the Domesticated GigCapital7 Warrants.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3. Summary of Significant Accounting Policies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The accompanying unaudited condensed consolidated interim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March 31, 2026, and the results of operations and cash flows for the periods presented. Certain information and disclosures normally included in unaudited condensed consolidated financial statements prepared in accordance with GAAP have been condensed or omitted pursuant to such rules and regulations.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10159"/>
          </w:cols>
          <w:pgMar w:left="300" w:top="405"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interim financial statements should be read in conjunction with the audited consolidated financial statements and notes thereto included in the Annual Report on Form 10-K for the year ended December 31, 2025, which was filed with the SEC on March 6, 2026. The results of operations for the interim periods presented are not necessarily indicative of the results to be expected for the year ending December 31, 2026 or for any future interim periods.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91" w:lineRule="exact"/>
        <w:rPr>
          <w:sz w:val="20"/>
          <w:szCs w:val="20"/>
          <w:color w:val="auto"/>
        </w:rPr>
      </w:pPr>
    </w:p>
    <w:p>
      <w:pPr>
        <w:ind w:left="1400" w:right="739" w:firstLine="340"/>
        <w:spacing w:after="0" w:line="279"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wholly-owned subsidiary. All intercompany balances and transactions are eliminated in consolidation.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91"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Net Income Per Ordinary Share</w:t>
      </w:r>
    </w:p>
    <w:p>
      <w:pPr>
        <w:spacing w:after="0" w:line="91" w:lineRule="exact"/>
        <w:rPr>
          <w:sz w:val="20"/>
          <w:szCs w:val="20"/>
          <w:color w:val="auto"/>
        </w:rPr>
      </w:pPr>
    </w:p>
    <w:p>
      <w:pPr>
        <w:ind w:left="1400" w:right="299" w:firstLine="340"/>
        <w:spacing w:after="0" w:line="250"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Accounting Standards Codification (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consolidated statements of operations and comprehensive income include a presentation of net income per share subject to redemption in a manner similar to the two-class method of net income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The Company’s public warrants (see Note 4) and private placement warrants (see Note 5) could, potentially, be exercised or converted into Class A ordinary shares and then share in the earnings of the Company. However, these warrants were excluded when calculating diluted net income per share as the contingencies associated with the warrants had not been satisfied as of the end of the reporting periods presented. The Company also evaluated the impact of the convertible loan (see Note 5) on diluted net income per share using the if-converted method. Under this method, net income is adjusted to add back interest expense (including accretion of the debt discount) and the weighted-average shares are adjusted to assume conversion of the convertible loan from the date of issuance. For the three months ended March 31, 2026, the inclusion of the shares issuable upon conversion of the convertible loan, as well as the underlying warrants, would have been anti-dilutive. Accordingly, such potential ordinary shares have been excluded from diluted net income per share. As a result, diluted net income per share is the same as basic net income per share for the periods presented.</w:t>
      </w:r>
    </w:p>
    <w:p>
      <w:pPr>
        <w:spacing w:after="0" w:line="2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1" w:lineRule="exact"/>
        <w:rPr>
          <w:sz w:val="20"/>
          <w:szCs w:val="20"/>
          <w:color w:val="auto"/>
        </w:rPr>
      </w:pPr>
    </w:p>
    <w:p>
      <w:pPr>
        <w:jc w:val="both"/>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10159"/>
          </w:cols>
          <w:pgMar w:left="300" w:top="405"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Cash and Marketable Securities Held in Trust Account</w:t>
      </w:r>
    </w:p>
    <w:p>
      <w:pPr>
        <w:spacing w:after="0" w:line="91"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As of March 31, 2026 and December 31, 2025, the assets held in the Trust Account consisted of money market funds invested in U.S. Treasury securities and cash. The Company’s investments held in the Trust Account are classified as trading securities. Trading securities are presented on the condensed consolidated balance sheets at fair value at the end of each reporting period. Gains and losses resulting from the change in fair value of these securities are included in interest and dividend income on marketable securities held in the Trust Account in the accompanying condensed consolidated statements of operations and comprehensive income. The estimated fair values of investments held in the Trust Account are determined using available market information.</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1"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Offering Costs</w:t>
      </w:r>
    </w:p>
    <w:p>
      <w:pPr>
        <w:spacing w:after="0" w:line="91"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The Company complies with the requirements of ASC 340-10-S99-1 and the SEC’s Staff Accounting Bulletin (“SAB”) Topic 5A—“Expenses of Offering.” Offering costs in the amount of $1,319,918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warrants were charged to shareholders’ equity (deficit) upon the completion of the Offering.</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 Subject to Possible Redemption</w:t>
      </w:r>
    </w:p>
    <w:p>
      <w:pPr>
        <w:spacing w:after="0" w:line="91"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March 31, 2026 and December 31, 2025, Class A ordinary shares subject to possible redemption are presented at redemption value as temporary equity, outside of the shareholders’ equity (deficit) section of the Company’s condensed consolidated balance sheets. Immediately upon the closing of the Offering, the Company recognized the accretion from initial book value to redemption value. The change in the carrying value of redeemable ordinary shares resulted in charges against additional paid-in capital. As of March 31, 2026 and December 31, 2025, 20,000,000 Class A ordinary shares were issued and outstanding and subject to possible redemption.</w:t>
      </w:r>
    </w:p>
    <w:p>
      <w:pPr>
        <w:spacing w:after="0" w:line="147" w:lineRule="exact"/>
        <w:rPr>
          <w:sz w:val="20"/>
          <w:szCs w:val="20"/>
          <w:color w:val="auto"/>
        </w:rPr>
      </w:pPr>
    </w:p>
    <w:p>
      <w:pPr>
        <w:ind w:left="1400" w:right="259" w:firstLine="340"/>
        <w:spacing w:after="0" w:line="279" w:lineRule="auto"/>
        <w:rPr>
          <w:sz w:val="20"/>
          <w:szCs w:val="20"/>
          <w:color w:val="auto"/>
        </w:rPr>
      </w:pPr>
      <w:r>
        <w:rPr>
          <w:rFonts w:ascii="Times New Roman" w:cs="Times New Roman" w:eastAsia="Times New Roman" w:hAnsi="Times New Roman"/>
          <w:sz w:val="14"/>
          <w:szCs w:val="14"/>
          <w:color w:val="auto"/>
        </w:rPr>
        <w:t>As of March 31, 2026 and December 31, 2025, the Class A ordinary shares subject to possible redemption reflected on the condensed consolidated balance sheets are reconciled in the following table:</w:t>
      </w:r>
    </w:p>
    <w:p>
      <w:pPr>
        <w:spacing w:after="0" w:line="162" w:lineRule="exact"/>
        <w:rPr>
          <w:sz w:val="20"/>
          <w:szCs w:val="20"/>
          <w:color w:val="auto"/>
        </w:rPr>
      </w:pPr>
    </w:p>
    <w:tbl>
      <w:tblPr>
        <w:tblLayout w:type="fixed"/>
        <w:tblInd w:w="2760" w:type="dxa"/>
        <w:tblCellMar>
          <w:top w:w="0" w:type="dxa"/>
          <w:left w:w="0" w:type="dxa"/>
          <w:bottom w:w="0" w:type="dxa"/>
          <w:right w:w="0" w:type="dxa"/>
        </w:tblCellMar>
      </w:tblPr>
      <w:tr>
        <w:trPr>
          <w:trHeight w:val="16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ordinary shares subject to possible redemption, December 31, 2025</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211,537,310</w:t>
            </w:r>
          </w:p>
        </w:tc>
        <w:tc>
          <w:tcPr>
            <w:tcW w:w="0" w:type="dxa"/>
            <w:vAlign w:val="bottom"/>
          </w:tcPr>
          <w:p>
            <w:pPr>
              <w:spacing w:after="0"/>
              <w:rPr>
                <w:sz w:val="1"/>
                <w:szCs w:val="1"/>
                <w:color w:val="auto"/>
              </w:rPr>
            </w:pPr>
          </w:p>
        </w:tc>
      </w:tr>
      <w:tr>
        <w:trPr>
          <w:trHeight w:val="167"/>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Plus: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8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Accretion of carrying value to redemption value—</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1,869,218</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subject to possible redemption, March 31, 2026</w:t>
            </w: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213,406,528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2760"/>
              <w:spacing w:after="0"/>
              <w:rPr>
                <w:sz w:val="20"/>
                <w:szCs w:val="20"/>
                <w:color w:val="auto"/>
              </w:rPr>
            </w:pPr>
            <w:r>
              <w:rPr>
                <w:rFonts w:ascii="Times New Roman" w:cs="Times New Roman" w:eastAsia="Times New Roman" w:hAnsi="Times New Roman"/>
                <w:sz w:val="14"/>
                <w:szCs w:val="14"/>
                <w:color w:val="auto"/>
              </w:rPr>
              <w:t>F-30</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5"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91" w:lineRule="exact"/>
        <w:rPr>
          <w:sz w:val="20"/>
          <w:szCs w:val="20"/>
          <w:color w:val="auto"/>
        </w:rPr>
      </w:pPr>
    </w:p>
    <w:p>
      <w:pPr>
        <w:ind w:left="1400" w:right="659" w:firstLine="340"/>
        <w:spacing w:after="0" w:line="279" w:lineRule="auto"/>
        <w:rPr>
          <w:sz w:val="20"/>
          <w:szCs w:val="20"/>
          <w:color w:val="auto"/>
        </w:rPr>
      </w:pPr>
      <w:r>
        <w:rPr>
          <w:rFonts w:ascii="Times New Roman" w:cs="Times New Roman" w:eastAsia="Times New Roman" w:hAnsi="Times New Roman"/>
          <w:sz w:val="14"/>
          <w:szCs w:val="14"/>
          <w:color w:val="auto"/>
        </w:rPr>
        <w:t>The fair value of the Company’s assets and liabilities approximates the carrying amounts represented in the condensed consolidated balance sheets.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1"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1"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36"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36"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The CODM assesses performance for the single segment and decides how to allocate resources based on net income (loss) that also is reported on the condensed consolidated statements of operations and comprehensive income. The key measures of segment profit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89"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The Company follows the asset and liability method of accounting for income taxes under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43" w:lineRule="exact"/>
        <w:rPr>
          <w:sz w:val="20"/>
          <w:szCs w:val="20"/>
          <w:color w:val="auto"/>
        </w:rPr>
      </w:pPr>
    </w:p>
    <w:p>
      <w:pPr>
        <w:ind w:left="1400" w:right="279" w:firstLine="340"/>
        <w:spacing w:after="0" w:line="280" w:lineRule="auto"/>
        <w:rPr>
          <w:sz w:val="20"/>
          <w:szCs w:val="20"/>
          <w:color w:val="auto"/>
        </w:rPr>
      </w:pPr>
      <w:r>
        <w:rPr>
          <w:rFonts w:ascii="Times New Roman" w:cs="Times New Roman" w:eastAsia="Times New Roman" w:hAnsi="Times New Roman"/>
          <w:sz w:val="13"/>
          <w:szCs w:val="13"/>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2026 and December 31, 2025. The Company is currently not aware of any issues under review that could result in significant payments, accruals or material deviation from its position.</w:t>
      </w:r>
    </w:p>
    <w:p>
      <w:pPr>
        <w:spacing w:after="0" w:line="129"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The Company is considered to be an exempted Cayman Islands company with no connection to any other taxable jurisdiction and is presently not subject to income taxes or income tax filing requirements in the Cayman</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10159"/>
          </w:cols>
          <w:pgMar w:left="300" w:top="405"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Islands, and the Company believes it is presently not subject to income taxes or income tax filing requirements in the United States.</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Convertible Working Capital Loan - Related Party</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The Company evaluated the embedded conversion feature in the convertible loan under ASC 815, “Derivatives and Hedging” and determined that the feature does not qualify for the scope exception for contracts indexed to the Company’s own stock. Specifically, the conversion feature includes a warrant component that is not indexed solely to the Company’s own stock.</w:t>
      </w:r>
    </w:p>
    <w:p>
      <w:pPr>
        <w:spacing w:after="0" w:line="136" w:lineRule="exact"/>
        <w:rPr>
          <w:sz w:val="20"/>
          <w:szCs w:val="20"/>
          <w:color w:val="auto"/>
        </w:rPr>
      </w:pPr>
    </w:p>
    <w:p>
      <w:pPr>
        <w:ind w:left="1400" w:right="319"/>
        <w:spacing w:after="0" w:line="280" w:lineRule="auto"/>
        <w:rPr>
          <w:sz w:val="20"/>
          <w:szCs w:val="20"/>
          <w:color w:val="auto"/>
        </w:rPr>
      </w:pPr>
      <w:r>
        <w:rPr>
          <w:rFonts w:ascii="Times New Roman" w:cs="Times New Roman" w:eastAsia="Times New Roman" w:hAnsi="Times New Roman"/>
          <w:sz w:val="13"/>
          <w:szCs w:val="13"/>
          <w:color w:val="auto"/>
        </w:rPr>
        <w:t>Accordingly, the Company bifurcated the embedded conversion feature and accounted for it as a derivative liability. The derivative liability is measured at fair value at inception and at each reporting date, with changes in fair value recognized in the condensed consolidated statements of operations and comprehensive income. At issuance, the Company recorded the derivative liability at its fair value of $30,449, resulting in a corresponding debt discount. The carrying value of the convertible loan is accreted to its face value over its expected term. Given the short-term nature of the convertible loan, the Company has applied a straight-line method to accrete the debt discount, which approximates the effective interest method.</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w:t>
      </w:r>
    </w:p>
    <w:p>
      <w:pPr>
        <w:spacing w:after="0" w:line="91"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The Company accounts for warrants for ordinary shares of the Company that are not indexed to its own shares as liabilities at fair value on the condensed consolidated balance sheets. The warrants are subject to remeasurement at each balance sheet date and any change in fair value is recognized as a component of other income (expense) on the condensed consolidated statements of operations and comprehensive income. The Company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1" w:lineRule="exact"/>
        <w:rPr>
          <w:sz w:val="20"/>
          <w:szCs w:val="20"/>
          <w:color w:val="auto"/>
        </w:rPr>
      </w:pPr>
    </w:p>
    <w:p>
      <w:pPr>
        <w:ind w:left="1400" w:right="559" w:firstLine="340"/>
        <w:spacing w:after="0" w:line="279" w:lineRule="auto"/>
        <w:rPr>
          <w:sz w:val="20"/>
          <w:szCs w:val="20"/>
          <w:color w:val="auto"/>
        </w:rPr>
      </w:pPr>
      <w:r>
        <w:rPr>
          <w:rFonts w:ascii="Times New Roman" w:cs="Times New Roman" w:eastAsia="Times New Roman" w:hAnsi="Times New Roman"/>
          <w:sz w:val="14"/>
          <w:szCs w:val="14"/>
          <w:color w:val="auto"/>
        </w:rPr>
        <w:t>The Company does not believe that any recently issued, but not yet effective, accounting pronouncements, if currently adopted, would have a material effect on the Company’s condensed consolidated financial statements.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4. Offering</w:t>
      </w:r>
    </w:p>
    <w:p>
      <w:pPr>
        <w:spacing w:after="0" w:line="91"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On August 30, 2024, the Company completed the Offering whereby the Company sold 20,000,000 public units at a price of $10.00 per public unit. Each public unit consists of one public share, $0.0001 par value, and one public warrant. The public warrants will only be exercisable for whole shares at $11.50 per share. Under the terms of the warrant agreement, the Company has agreed to use its best efforts to file a new registration statement under the Securities Act, following the completion of the Company’s initial Business Combination.</w:t>
      </w:r>
    </w:p>
    <w:p>
      <w:pPr>
        <w:spacing w:after="0" w:line="139"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the Company will, upon exercise, round down to the nearest whole number the number of Class A ordinary shares to be issued to the public warrant holder. Each public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following the closing of the Offering, the public warrants will expire worthless at the end of such period. If the Company is unable to deliver registered ordinary shares to the holder upon exercise of the public warrants during the exercise period, there will be no net cash settlement of these public warrants and the public warrants will expire worthless, unless they may be exercised on a cashless basis in the circumstances described in the warrant</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405"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79"/>
        <w:spacing w:after="0" w:line="259" w:lineRule="auto"/>
        <w:rPr>
          <w:sz w:val="20"/>
          <w:szCs w:val="20"/>
          <w:color w:val="auto"/>
        </w:rPr>
      </w:pPr>
      <w:r>
        <w:rPr>
          <w:rFonts w:ascii="Times New Roman" w:cs="Times New Roman" w:eastAsia="Times New Roman" w:hAnsi="Times New Roman"/>
          <w:sz w:val="14"/>
          <w:szCs w:val="14"/>
          <w:color w:val="auto"/>
        </w:rPr>
        <w:t>agreement. Once the public warrants become exercisable, the Company may redeem the outstanding public warrants in whole and not in part at a price of $0.01 per public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public warrant holders.</w:t>
      </w:r>
    </w:p>
    <w:p>
      <w:pPr>
        <w:spacing w:after="0" w:line="139"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The Company granted the Underwriters a 45-day option to purchase up to 3,000,000 additional public units to cover any over-allotments, at the initial public offering price. The option expired on October 12, 2024 without the purchase of additional public units by the Underwriters.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Company paid an underwriting discount of $0.03 per public unit to the Underwriters at the closing of the Offering on August 30, 2024.</w:t>
      </w:r>
    </w:p>
    <w:p>
      <w:pPr>
        <w:spacing w:after="0" w:line="173" w:lineRule="exact"/>
        <w:rPr>
          <w:sz w:val="20"/>
          <w:szCs w:val="20"/>
          <w:color w:val="auto"/>
        </w:rPr>
      </w:pPr>
    </w:p>
    <w:p>
      <w:pPr>
        <w:ind w:left="1400" w:right="379" w:firstLine="340"/>
        <w:spacing w:after="0" w:line="256" w:lineRule="auto"/>
        <w:rPr>
          <w:sz w:val="20"/>
          <w:szCs w:val="20"/>
          <w:color w:val="auto"/>
        </w:rPr>
      </w:pPr>
      <w:r>
        <w:rPr>
          <w:rFonts w:ascii="Times New Roman" w:cs="Times New Roman" w:eastAsia="Times New Roman" w:hAnsi="Times New Roman"/>
          <w:sz w:val="14"/>
          <w:szCs w:val="14"/>
          <w:color w:val="auto"/>
        </w:rPr>
        <w:t>Simultaneously with the closing of the Offering certain non-managing investors purchased an aggregate of 2,826,087 Class B ordinary shares from the Company at the price of $1.15 per share. The private placement shares along with the founder shares and shares held by the consultant collectively represent 40% of the outstanding ordinary shares at the completion of the Offering (excluding any shares underlying the private placement warrants further described in Note 5). The private placement proceeds will be used to pay for business, legal and accounting due diligence expenses on acquisition targets and continuing general and administration expenses.</w:t>
      </w:r>
    </w:p>
    <w:p>
      <w:pPr>
        <w:spacing w:after="0" w:line="142" w:lineRule="exact"/>
        <w:rPr>
          <w:sz w:val="20"/>
          <w:szCs w:val="20"/>
          <w:color w:val="auto"/>
        </w:rPr>
      </w:pPr>
    </w:p>
    <w:p>
      <w:pPr>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On September 6, 2024, the Company announced that the holders of the Company’s public units may elect to separately trade the securities underlying such public units which commenced on September 11, 2024. Any public units not separated will continue to trade on the Nasdaq under the symbol “GIGGU”. Any underlying ordinary shares and warrants that are separated will trade on the Nasdaq under the symbols “GIG,” and “GIGGW”, respectively.</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5. Related Party Transactions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Founder Shares</w:t>
      </w:r>
    </w:p>
    <w:p>
      <w:pPr>
        <w:spacing w:after="0" w:line="91" w:lineRule="exact"/>
        <w:rPr>
          <w:sz w:val="20"/>
          <w:szCs w:val="20"/>
          <w:color w:val="auto"/>
        </w:rPr>
      </w:pPr>
    </w:p>
    <w:p>
      <w:pPr>
        <w:ind w:left="1400" w:right="359" w:firstLine="340"/>
        <w:spacing w:after="0" w:line="253" w:lineRule="auto"/>
        <w:rPr>
          <w:sz w:val="20"/>
          <w:szCs w:val="20"/>
          <w:color w:val="auto"/>
        </w:rPr>
      </w:pPr>
      <w:r>
        <w:rPr>
          <w:rFonts w:ascii="Times New Roman" w:cs="Times New Roman" w:eastAsia="Times New Roman" w:hAnsi="Times New Roman"/>
          <w:sz w:val="14"/>
          <w:szCs w:val="14"/>
          <w:color w:val="auto"/>
        </w:rPr>
        <w:t>During the period from May 8, 2024 (date of inception) to May 31, 2024, the Sponsor purchased 17,000,000 Class B ordinary shares (the “Founder Shares”) for an aggregate purchase price of $100,000, or $0.00588235 per share. Following the May 31, 2024 purchase, the Sponsor surrendered 4,792,754 Class B ordinary shares for no consideration. The Founder Shares are identical to the Class A ordinary shares included in the public units sold in the Offering except that the Founder Shares are subject to certain transfer restrictions, as described in more detail below. The Sponsor agreed to forfeit up to 2,000,000 Founder Shares to the extent that the over-allotment option is not exercised in full or in part by the Underwriters. As the Underwriters did not exercise the over-allotment option prior to its expiration, the Sponsor forfeited 2,000,000 Founder Shares on October 25, 2024, such that the Sponsor, the consultant and non-managing investors own 40% of the Company’s issued and outstanding Class A and Class B ordinary shares after the Offering.</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Simultaneously with the closing of the Offering, the Sponsor purchased warrants to purchase an aggregate of 3,719,000 Class A ordinary shares at a price of $0.01561 per warrant. The private placement warrants will only be exercisable for whole Class A ordinary shares at $11.50 per share. Under the terms of the warrant agreement, the Company has agreed to use its best efforts to file a new registration statement under the Securities Act, following the completion of the Company’s initial Business Combination. No fractional shares will be issued upon exercise of the private placement warrants. If, upon exercise of the private placement warrants, a holder would be entitled to receive a fractional interest in a share, the Company will, upon exercise, round down to the nearest whole number the number of shares to be issued to the private placement warrant holder. Each private placement warrant will become exercisable on the later of 30 days after the consummation of the</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0159"/>
          </w:cols>
          <w:pgMar w:left="300" w:top="405"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allotted to complete the initial Business Combination, the private placement warrants will expire at the end of such period. If the Company is unable to deliver registered ordinary shares to the holder upon exercise of the private placement warrants during the exercise period, there will be no net cash settlement of these private placement warrants and the private placement warrants will expire worthless, unless they may be exercised on a cashless basis in the circumstances described in the private placement warrant agreement. Once the private placement warrants become exercisable, the Company may redeem the outstanding private placement warrants in whole and not in part at a price of $0.01 per private placement warrant upon a minimum of 30 days’ prior written notice of redemption, only if the private placement warrants have been transferred and in the event that the last sale price of the Company’s ordinary shares equals or exceeds $18.00 per share for any 20 trading days within the 30-trading day period ending on the third trading day before the Company sends the notice of redemption to the private placement warrant holders.</w:t>
      </w:r>
    </w:p>
    <w:p>
      <w:pPr>
        <w:spacing w:after="0" w:line="145"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The Company’s Sponsor has agreed not to transfer, assign or sell any of their respective Founder Shares, private placement warrants, ordinary shares or other securities underlying such private placement warrants that they may hold until the date that is (i) in the case of the Founder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warrants and ordinary shares or other securities underlying such private placement warrants, until 30 days after the completion of the Company’s initial Business Combination.</w:t>
      </w:r>
    </w:p>
    <w:p>
      <w:pPr>
        <w:spacing w:after="0" w:line="145"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If the Company does not complete a Business Combination, then a portion of the proceeds from the sale of the private placement warrants will be part of the liquidating distribution to the public shareholders.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91"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The Company’s initial shareholders and their permitted transferees are entitled to registration rights pursuant to a registration rights agreement signed on August 28, 2024. These holders will be entitled to make up to two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 and Other Agreements</w:t>
      </w:r>
    </w:p>
    <w:p>
      <w:pPr>
        <w:spacing w:after="0" w:line="91" w:lineRule="exact"/>
        <w:rPr>
          <w:sz w:val="20"/>
          <w:szCs w:val="20"/>
          <w:color w:val="auto"/>
        </w:rPr>
      </w:pPr>
    </w:p>
    <w:p>
      <w:pPr>
        <w:jc w:val="both"/>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The Company has agreed to pay $30,000 a month for office space, administrative services and secretarial support to an affiliate of the Sponsor, GigManagement, LLC. Services commenced on August 28, 2024, the date the securities were first listed on the Nasdaq, and will terminate upon the earlier of the consummation by the Company of a Business Combination or the liquidation of the Company.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Convertible Working Capital Loan</w:t>
      </w:r>
    </w:p>
    <w:p>
      <w:pPr>
        <w:spacing w:after="0" w:line="91" w:lineRule="exact"/>
        <w:rPr>
          <w:sz w:val="20"/>
          <w:szCs w:val="20"/>
          <w:color w:val="auto"/>
        </w:rPr>
      </w:pPr>
    </w:p>
    <w:p>
      <w:pPr>
        <w:ind w:left="1400" w:right="679"/>
        <w:spacing w:after="0" w:line="279" w:lineRule="auto"/>
        <w:rPr>
          <w:sz w:val="20"/>
          <w:szCs w:val="20"/>
          <w:color w:val="auto"/>
        </w:rPr>
      </w:pPr>
      <w:r>
        <w:rPr>
          <w:rFonts w:ascii="Times New Roman" w:cs="Times New Roman" w:eastAsia="Times New Roman" w:hAnsi="Times New Roman"/>
          <w:sz w:val="14"/>
          <w:szCs w:val="14"/>
          <w:color w:val="auto"/>
        </w:rPr>
        <w:t>On January 30, 2026, the Company entered into a convertible loan with its Sponsor for a principal amount of $148,000. The convertible loan was received to provide the Company with additional working capital and was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405"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not deposited into the Trust Account. The convertible loan bears no interest and is convertible at the Sponsor’s election upon the consummation of the initial Business Combination. Upon such election, the convertible loan will convert, at a price of $10.00 per unit, into an aggregate of 14,800 units consisting of 14,800 shares of Domesticated GigCapital7 Common Stock and warrants to purchase 14,800 shares of Domesticated GigCapital7 Common Stock with an exercise price of $11.50 per share. The Company expects the convertible loan to be settled upon completion of a Business Combination, which is currently estimated to occur by the end of May 2026. The Company has relied upon Section 4(a)(2) of the Securities Act, in connection with the issuance and sale of the convertible loan, as it was issued to a sophisticated investor without a view to distribution and was not issued through any general solicitation or advertisement.</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6. Shareholders’ Equity (Deficit)</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Preferred Shares</w:t>
      </w:r>
    </w:p>
    <w:p>
      <w:pPr>
        <w:spacing w:after="0" w:line="91" w:lineRule="exact"/>
        <w:rPr>
          <w:sz w:val="20"/>
          <w:szCs w:val="20"/>
          <w:color w:val="auto"/>
        </w:rPr>
      </w:pPr>
    </w:p>
    <w:p>
      <w:pPr>
        <w:ind w:left="1400" w:right="659" w:firstLine="340"/>
        <w:spacing w:after="0" w:line="264" w:lineRule="auto"/>
        <w:rPr>
          <w:sz w:val="20"/>
          <w:szCs w:val="20"/>
          <w:color w:val="auto"/>
        </w:rPr>
      </w:pPr>
      <w:r>
        <w:rPr>
          <w:rFonts w:ascii="Times New Roman" w:cs="Times New Roman" w:eastAsia="Times New Roman" w:hAnsi="Times New Roman"/>
          <w:sz w:val="14"/>
          <w:szCs w:val="14"/>
          <w:color w:val="auto"/>
        </w:rPr>
        <w:t>The Company is authorized to issue 1,000,000 preferred shares with such designations, voting and other rights and preferences as may be determined from time to time by the Board of Directors. As of March 31, 2026 and December 31, 2025, there were no preferred shares issued and outstanding.</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A Ordinary Shares</w:t>
      </w:r>
    </w:p>
    <w:p>
      <w:pPr>
        <w:spacing w:after="0" w:line="91" w:lineRule="exact"/>
        <w:rPr>
          <w:sz w:val="20"/>
          <w:szCs w:val="20"/>
          <w:color w:val="auto"/>
        </w:rPr>
      </w:pPr>
    </w:p>
    <w:p>
      <w:pPr>
        <w:ind w:left="1400" w:right="719" w:firstLine="340"/>
        <w:spacing w:after="0" w:line="279" w:lineRule="auto"/>
        <w:rPr>
          <w:sz w:val="20"/>
          <w:szCs w:val="20"/>
          <w:color w:val="auto"/>
        </w:rPr>
      </w:pPr>
      <w:r>
        <w:rPr>
          <w:rFonts w:ascii="Times New Roman" w:cs="Times New Roman" w:eastAsia="Times New Roman" w:hAnsi="Times New Roman"/>
          <w:sz w:val="14"/>
          <w:szCs w:val="14"/>
          <w:color w:val="auto"/>
        </w:rPr>
        <w:t>The Company is authorized to issue 200,000,000 Class A ordinary shares with a par value of $0.0001 per share. As of March 31, 2026 and December 31, 2025, there were 20,000,000 Class A ordinary shares subject to possible redemption issued and outstanding.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B Ordinary Shares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Company is authorized to issue 50,000,000 Class B ordinary shares with a par value of $0.0001 per share. At formation on May 8, 2024,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Sponsor acquired one Class B ordinary share for a purchase price of $0.0001. Subsequently on May 31, 2024, the Sponsor purchased 16,999,999</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Class B ordinary shares for an aggregate purchase price of $100,000, or $0.00588235 per share, of which 2,000,000 Class B ordinary shares were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forfeited on October 25, 2024 following the Underwriters’ decision not to exercise the over-allotment option. On May 31, 2024, July 29, 2024 and</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August 28, 2024, the Sponsor surrendered 300,000, 659,417 and 3,833,337 Class B ordinary shares, respectively, for no consideration. On June 6, 2024,</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 issued 300,000 Class B ordinary shares to a consultant for consulting services in connection with the Offering for a purchase price of</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$0.01 per share, or an aggregate purchase price of $3,000. As of March 31, 2026 and December 31, 2025, there were 13,333,333 Class B ordinary shares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issued and outstanding.</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Warrants (Public Warrants and Private Placement Warrants)</w:t>
      </w:r>
    </w:p>
    <w:p>
      <w:pPr>
        <w:spacing w:after="0" w:line="91"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Warrants will be exercisable for $11.50 per share, and the exercise price and number of warrant shares issuable on exercise of the warrants may be adjusted in certain circumstances including in the event of a share dividend, extraordinary dividend or recapitalization, reorganization, merger or consolidation of the Company. 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Sponsor or its affiliates, without taking into account any Founder Shares held by it prior to such issuance), (y) the aggregate gross proceeds from such issuances represent more than 65% of the total equity proceeds, and interest thereon, available for the funding of the Company’s initial Business Combination on the date of the consummation of its initial Business Combination (net of redemptions), and (z) the volume weighted-average trading price of the Company’s public shares during the 20 trading-day period starting on the trading day prior to the day on which the Company consummates its initial Business Combination (such price, the “Market</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405"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559"/>
        <w:spacing w:after="0" w:line="279" w:lineRule="auto"/>
        <w:rPr>
          <w:sz w:val="20"/>
          <w:szCs w:val="20"/>
          <w:color w:val="auto"/>
        </w:rPr>
      </w:pPr>
      <w:r>
        <w:rPr>
          <w:rFonts w:ascii="Times New Roman" w:cs="Times New Roman" w:eastAsia="Times New Roman" w:hAnsi="Times New Roman"/>
          <w:sz w:val="14"/>
          <w:szCs w:val="14"/>
          <w:color w:val="auto"/>
        </w:rPr>
        <w:t>Value”) is below $9.20 per share, the exercise price of the warrants will be adjusted (to the nearest cent) to be equal to 115% of the greater of (i) the Market Value or (ii) the price at which the Company issues the additional Class A ordinary shares or equity-linked securities.</w:t>
      </w:r>
    </w:p>
    <w:p>
      <w:pPr>
        <w:spacing w:after="0" w:line="126"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Each warrant will become exercisable on the later of 30 days after the completion of the Company’s initial Business Combination or 12 months from the closing of the Offering and will expire five years after the completion of the Company’s initial Business Combination or earlier upon redemption. However, if the Company does not complete its initial Business Combination on or prior to the 21-month period allotted to complete the initial Business Combination, the warrants will expire at the end of such period. If the Company is unable to deliver registered Class A ordinary shares to the holder upon exercise of the warrants during the exercise period, there will be no net cash settlement of these warrants and the warrants will expire worthless, unless they may be exercised on a cashless basis in the circumstances described in the warrant agreement. Once the warrants become exercisable, the Company may redeem the outstanding warrants in whole and not in part at a price of $0.01 per warrant upon a minimum of 30 days’ prior written notice of redemption, only in the event that the last sale price of the Company’s Class A ordinary shares equals or exceeds $18.00 per share for any 20 trading days within the 30-trading day period ending on the third trading day before the Company sends the notice of redemption to the warrant holders.</w:t>
      </w:r>
    </w:p>
    <w:p>
      <w:pPr>
        <w:spacing w:after="0" w:line="145"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Under the terms of the warrant agreement, the Company has agreed to use its best efforts to file a new registration statement under the Securities Act, following the completion of the Company’s initial Business Combination, for the registration of the Class A ordinary shares issuable upon exercise of the public warrants and private placement warrants.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As of March 31, 2026 and December 31, 2025, there were 23,719,000 warrants outstanding.</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7. Fair Value Instruments</w:t>
      </w:r>
    </w:p>
    <w:p>
      <w:pPr>
        <w:spacing w:after="0" w:line="91"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5" w:lineRule="exact"/>
        <w:rPr>
          <w:sz w:val="20"/>
          <w:szCs w:val="20"/>
          <w:color w:val="auto"/>
        </w:rPr>
      </w:pPr>
    </w:p>
    <w:p>
      <w:pPr>
        <w:ind w:left="1400" w:right="939" w:firstLine="340"/>
        <w:spacing w:after="0" w:line="279" w:lineRule="auto"/>
        <w:rPr>
          <w:sz w:val="20"/>
          <w:szCs w:val="20"/>
          <w:color w:val="auto"/>
        </w:rPr>
      </w:pPr>
      <w:r>
        <w:rPr>
          <w:rFonts w:ascii="Times New Roman" w:cs="Times New Roman" w:eastAsia="Times New Roman" w:hAnsi="Times New Roman"/>
          <w:sz w:val="14"/>
          <w:szCs w:val="14"/>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6"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6" w:lineRule="exact"/>
        <w:rPr>
          <w:sz w:val="20"/>
          <w:szCs w:val="20"/>
          <w:color w:val="auto"/>
        </w:rPr>
      </w:pPr>
    </w:p>
    <w:p>
      <w:pPr>
        <w:ind w:left="1400" w:right="759" w:firstLine="340"/>
        <w:spacing w:after="0" w:line="279" w:lineRule="auto"/>
        <w:rPr>
          <w:sz w:val="20"/>
          <w:szCs w:val="20"/>
          <w:color w:val="auto"/>
        </w:rPr>
      </w:pPr>
      <w:r>
        <w:rPr>
          <w:rFonts w:ascii="Times New Roman" w:cs="Times New Roman" w:eastAsia="Times New Roman" w:hAnsi="Times New Roman"/>
          <w:sz w:val="14"/>
          <w:szCs w:val="14"/>
          <w:color w:val="auto"/>
        </w:rPr>
        <w:t>Level 3: Unobservable inputs which are supported by little or no market activity and which are significant to the fair value of the assets or liabilities.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405"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639" w:firstLine="340"/>
        <w:spacing w:after="0" w:line="264"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that are measured at fair value on a recurring basis as of March 31, 2026 and December 31, 2025, and indicates the fair value hierarchy of the valuation inputs the Company utilized to determine such fair value:</w:t>
      </w:r>
    </w:p>
    <w:p>
      <w:pPr>
        <w:spacing w:after="0" w:line="152" w:lineRule="exact"/>
        <w:rPr>
          <w:sz w:val="20"/>
          <w:szCs w:val="20"/>
          <w:color w:val="auto"/>
        </w:rPr>
      </w:pPr>
    </w:p>
    <w:tbl>
      <w:tblPr>
        <w:tblLayout w:type="fixed"/>
        <w:tblInd w:w="2080" w:type="dxa"/>
        <w:tblCellMar>
          <w:top w:w="0" w:type="dxa"/>
          <w:left w:w="0" w:type="dxa"/>
          <w:bottom w:w="0" w:type="dxa"/>
          <w:right w:w="0" w:type="dxa"/>
        </w:tblCellMar>
      </w:tblPr>
      <w:tr>
        <w:trPr>
          <w:trHeight w:val="15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30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Level</w:t>
            </w:r>
          </w:p>
        </w:tc>
        <w:tc>
          <w:tcPr>
            <w:tcW w:w="4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c>
          <w:tcPr>
            <w:tcW w:w="140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37"/>
        </w:trPr>
        <w:tc>
          <w:tcPr>
            <w:tcW w:w="3600" w:type="dxa"/>
            <w:vAlign w:val="bottom"/>
            <w:tcBorders>
              <w:top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6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67"/>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marketable securities held in Trust Account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213,506,528</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211,637,310</w:t>
            </w:r>
          </w:p>
        </w:tc>
        <w:tc>
          <w:tcPr>
            <w:tcW w:w="40" w:type="dxa"/>
            <w:vAlign w:val="bottom"/>
          </w:tcPr>
          <w:p>
            <w:pPr>
              <w:spacing w:after="0"/>
              <w:rPr>
                <w:sz w:val="14"/>
                <w:szCs w:val="14"/>
                <w:color w:val="auto"/>
              </w:rPr>
            </w:pPr>
          </w:p>
        </w:tc>
      </w:tr>
      <w:tr>
        <w:trPr>
          <w:trHeight w:val="20"/>
        </w:trPr>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7"/>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 liability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15,706</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1,182,642</w:t>
            </w:r>
          </w:p>
        </w:tc>
        <w:tc>
          <w:tcPr>
            <w:tcW w:w="60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1,524,790</w:t>
            </w:r>
          </w:p>
        </w:tc>
        <w:tc>
          <w:tcPr>
            <w:tcW w:w="40" w:type="dxa"/>
            <w:vAlign w:val="bottom"/>
            <w:shd w:val="clear" w:color="auto" w:fill="CCEEFF"/>
          </w:tcPr>
          <w:p>
            <w:pPr>
              <w:spacing w:after="0"/>
              <w:rPr>
                <w:sz w:val="12"/>
                <w:szCs w:val="12"/>
                <w:color w:val="auto"/>
              </w:rPr>
            </w:pPr>
          </w:p>
        </w:tc>
      </w:tr>
      <w:tr>
        <w:trPr>
          <w:trHeight w:val="20"/>
        </w:trPr>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The marketable securities held in the Trust Account are considered trading securities as they are generally used with the objective of generating profits on short-term differences in price and therefore, any realized and unrealized gains and losses are recorded in the condensed consolidated statements of operations and comprehensive income (loss) for the period presented.</w:t>
      </w:r>
    </w:p>
    <w:p>
      <w:pPr>
        <w:spacing w:after="0" w:line="136"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The derivative liability was valued using the Black-Scholes option pricing model. The estimated fair value of the derivative liability was based on the following inputs at issuance and as of March 31, 2026:</w:t>
      </w:r>
    </w:p>
    <w:p>
      <w:pPr>
        <w:spacing w:after="0" w:line="131"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Upon Issuance</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0" w:type="dxa"/>
            <w:vAlign w:val="bottom"/>
          </w:tcPr>
          <w:p>
            <w:pPr>
              <w:spacing w:after="0"/>
              <w:rPr>
                <w:sz w:val="1"/>
                <w:szCs w:val="1"/>
                <w:color w:val="auto"/>
              </w:rPr>
            </w:pPr>
          </w:p>
        </w:tc>
      </w:tr>
      <w:tr>
        <w:trPr>
          <w:trHeight w:val="157"/>
        </w:trPr>
        <w:tc>
          <w:tcPr>
            <w:tcW w:w="26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Unit price</w:t>
            </w:r>
          </w:p>
        </w:tc>
        <w:tc>
          <w:tcPr>
            <w:tcW w:w="14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11.12</w:t>
            </w:r>
          </w:p>
        </w:tc>
        <w:tc>
          <w:tcPr>
            <w:tcW w:w="4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11.00</w:t>
            </w: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0.33</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56%</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Risk free interest rate</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3.69%</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16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10.0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presents information about the change in fair value of the Company’s Level 3 derivative liability during the three months ended March 31, 2026.</w:t>
      </w:r>
    </w:p>
    <w:p>
      <w:pPr>
        <w:spacing w:after="0" w:line="143" w:lineRule="exact"/>
        <w:rPr>
          <w:sz w:val="20"/>
          <w:szCs w:val="20"/>
          <w:color w:val="auto"/>
        </w:rPr>
      </w:pPr>
    </w:p>
    <w:tbl>
      <w:tblPr>
        <w:tblLayout w:type="fixed"/>
        <w:tblInd w:w="2760" w:type="dxa"/>
        <w:tblCellMar>
          <w:top w:w="0" w:type="dxa"/>
          <w:left w:w="0" w:type="dxa"/>
          <w:bottom w:w="0" w:type="dxa"/>
          <w:right w:w="0" w:type="dxa"/>
        </w:tblCellMar>
      </w:tblPr>
      <w:tr>
        <w:trPr>
          <w:trHeight w:val="134"/>
        </w:trPr>
        <w:tc>
          <w:tcPr>
            <w:tcW w:w="4940" w:type="dxa"/>
            <w:vAlign w:val="bottom"/>
          </w:tcPr>
          <w:p>
            <w:pPr>
              <w:spacing w:after="0"/>
              <w:rPr>
                <w:sz w:val="11"/>
                <w:szCs w:val="1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57"/>
        </w:trPr>
        <w:tc>
          <w:tcPr>
            <w:tcW w:w="49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Fair value beginning of period</w:t>
            </w:r>
          </w:p>
        </w:tc>
        <w:tc>
          <w:tcPr>
            <w:tcW w:w="2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30,449</w:t>
            </w:r>
          </w:p>
        </w:tc>
        <w:tc>
          <w:tcPr>
            <w:tcW w:w="100" w:type="dxa"/>
            <w:vAlign w:val="bottom"/>
            <w:tcBorders>
              <w:top w:val="single" w:sz="8" w:color="CCEEFF"/>
            </w:tcBorders>
            <w:shd w:val="clear" w:color="auto" w:fill="CCEEFF"/>
          </w:tcPr>
          <w:p>
            <w:pPr>
              <w:spacing w:after="0"/>
              <w:rPr>
                <w:sz w:val="13"/>
                <w:szCs w:val="13"/>
                <w:color w:val="auto"/>
              </w:rPr>
            </w:pPr>
          </w:p>
        </w:tc>
      </w:tr>
      <w:tr>
        <w:trPr>
          <w:trHeight w:val="167"/>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2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(14,743)</w:t>
            </w:r>
          </w:p>
        </w:tc>
      </w:tr>
      <w:tr>
        <w:trPr>
          <w:trHeight w:val="21"/>
        </w:trPr>
        <w:tc>
          <w:tcPr>
            <w:tcW w:w="4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value—end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15,706</w:t>
            </w:r>
          </w:p>
        </w:tc>
      </w:tr>
      <w:tr>
        <w:trPr>
          <w:trHeight w:val="20"/>
        </w:trPr>
        <w:tc>
          <w:tcPr>
            <w:tcW w:w="4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right="319" w:firstLine="340"/>
        <w:spacing w:after="0" w:line="285" w:lineRule="auto"/>
        <w:rPr>
          <w:sz w:val="20"/>
          <w:szCs w:val="20"/>
          <w:color w:val="auto"/>
        </w:rPr>
      </w:pPr>
      <w:r>
        <w:rPr>
          <w:rFonts w:ascii="Times New Roman" w:cs="Times New Roman" w:eastAsia="Times New Roman" w:hAnsi="Times New Roman"/>
          <w:sz w:val="13"/>
          <w:szCs w:val="13"/>
          <w:color w:val="auto"/>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After the public warrants started trading separately, the Company determined that the fair value of each private placement warrant approximates the fair value of a public warrant. Accordingly, the private placement warrants are valued upon observable data and are classified as Level 2 financial instruments.</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 8. Subsequent Event</w:t>
      </w:r>
    </w:p>
    <w:p>
      <w:pPr>
        <w:spacing w:after="0" w:line="91"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On April 16, 2026, the Company amended the convertible loan from its Sponsor for a revised principal amount of $293,000 (“amended convertible loan”). The amended convertible loan was received to provide the Company with additional working capital and was not deposited into the Trust Account. The amended convertible loan is convertible at the Sponsor’s election upon the consummation of the initial Business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405"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56" w:lineRule="auto"/>
        <w:rPr>
          <w:sz w:val="20"/>
          <w:szCs w:val="20"/>
          <w:color w:val="auto"/>
        </w:rPr>
      </w:pPr>
      <w:r>
        <w:rPr>
          <w:rFonts w:ascii="Times New Roman" w:cs="Times New Roman" w:eastAsia="Times New Roman" w:hAnsi="Times New Roman"/>
          <w:sz w:val="14"/>
          <w:szCs w:val="14"/>
          <w:color w:val="auto"/>
        </w:rPr>
        <w:t>Combination. Upon such election, the amended convertible loan will convert, at a price of $10.00 per unit, into an aggregate of 29,300 units consisting of 29,300 shares of Domesticated GigCapital7 Common Stock and warrants to purchase 29,300 shares of Domesticated GigCapital7 Common Stock with an exercise price of $11.50 per share. The Company has relied upon Section 4(a)(2) of the Securities Act, in connection with the issuance and sale of the amended convertible loan, as it was issued to a sophisticated investor without a view to distribution and was not issued through any general solicitation or advertisement.</w:t>
      </w:r>
    </w:p>
    <w:p>
      <w:pPr>
        <w:spacing w:after="0" w:line="142"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On May 1, 2026, the Company entered into separate agreements (each, a “Non-Redemption Agreement”, and together, the “Non-Redemption Agreements”) with certain of the Company’s public stockholders (each, individually, a “Public Stockholder”, and together, the “Public Stockholders”) eligible to redeem their respective public shares at the upcoming extraordinary general meeting of the shareholders of the Company (the “Meeting”) to approve the Business Combination.</w:t>
      </w:r>
    </w:p>
    <w:p>
      <w:pPr>
        <w:spacing w:after="0" w:line="139"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Pursuant to the Non-Redemption Agreements, the Public Stockholders that have entered into the Non-Redemption Agreements have agreed not to exercise redemption rights with respect to their respective public shares in connection with the Business Combination, and to waive all redemption rights with respect to the aggregate number of 1,800,000 public shares (the “Non-Redemption Shares”), provided that no Public Stockholder is required to hold a number of public shares in excess of 9.99% if the total number of public shares outstanding The Non-Redemption Shares held but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47"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In the event that the Company enters one or more other non-redemption agreements in connection with the Business Combination (“Other Agreements”), the Company has agreed that the terms of such Other Agreements will not be materially more favorable to such other investors than the terms of the Non-Redemption Agreements are in respect of the Public Stockholders. In the event that another investor is afforded any such more favorable terms than the Public Stockholders, the Company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10159"/>
          </w:cols>
          <w:pgMar w:left="300" w:top="405"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the Board of Directors and</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Stockholders of Hadron Energy, Inc.:</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1" w:lineRule="exact"/>
        <w:rPr>
          <w:sz w:val="20"/>
          <w:szCs w:val="20"/>
          <w:color w:val="auto"/>
        </w:rPr>
      </w:pPr>
    </w:p>
    <w:p>
      <w:pPr>
        <w:ind w:left="1400" w:right="699"/>
        <w:spacing w:after="0" w:line="254" w:lineRule="auto"/>
        <w:rPr>
          <w:sz w:val="20"/>
          <w:szCs w:val="20"/>
          <w:color w:val="auto"/>
        </w:rPr>
      </w:pPr>
      <w:r>
        <w:rPr>
          <w:rFonts w:ascii="Times New Roman" w:cs="Times New Roman" w:eastAsia="Times New Roman" w:hAnsi="Times New Roman"/>
          <w:sz w:val="14"/>
          <w:szCs w:val="14"/>
          <w:color w:val="auto"/>
        </w:rPr>
        <w:t>We have audited the accompanying balance sheet of Hadron Energy, Inc. (the “Company”) as of December 31, 2025 and 2024, and the related statements of operations, changes in stockholders’ deficit and cash flows for the year ended December 31, 2025 and the period from July 8, 2024 (inception) through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July 8, 2024 (inception) through December 31, 2024, in conformity with accounting principles generally accepted in the United States of America.</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Substantial Doubt About the Company’s Ability to Continue as a Going Concern</w:t>
      </w:r>
    </w:p>
    <w:p>
      <w:pPr>
        <w:spacing w:after="0" w:line="91" w:lineRule="exact"/>
        <w:rPr>
          <w:sz w:val="20"/>
          <w:szCs w:val="20"/>
          <w:color w:val="auto"/>
        </w:rPr>
      </w:pPr>
    </w:p>
    <w:p>
      <w:pPr>
        <w:ind w:left="1400" w:right="339"/>
        <w:spacing w:after="0" w:line="256"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As discussed in Note 1 to the financial statements, the Company has suffered losses from operations since inception and anticipates losses from operations in the foreseeable future, has experienced negative cash flows from operating activities since inception, and has an accumulated deficit,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1"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1400" w:right="259"/>
        <w:spacing w:after="0" w:line="25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5" w:lineRule="exact"/>
        <w:rPr>
          <w:sz w:val="20"/>
          <w:szCs w:val="20"/>
          <w:color w:val="auto"/>
        </w:rPr>
      </w:pPr>
    </w:p>
    <w:p>
      <w:pPr>
        <w:ind w:left="1400" w:right="279"/>
        <w:spacing w:after="0" w:line="285"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March 11, 2026</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10159"/>
          </w:cols>
          <w:pgMar w:left="300" w:top="405"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620" w:type="dxa"/>
            <w:vAlign w:val="bottom"/>
          </w:tcPr>
          <w:p>
            <w:pPr>
              <w:spacing w:after="0"/>
              <w:rPr>
                <w:sz w:val="11"/>
                <w:szCs w:val="11"/>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4"/>
        </w:trPr>
        <w:tc>
          <w:tcPr>
            <w:tcW w:w="66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r>
      <w:tr>
        <w:trPr>
          <w:trHeight w:val="147"/>
        </w:trPr>
        <w:tc>
          <w:tcPr>
            <w:tcW w:w="66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1,757,241</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17,276</w:t>
            </w: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333,403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Due from stockholder</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24,614</w:t>
            </w:r>
          </w:p>
        </w:tc>
      </w:tr>
      <w:tr>
        <w:trPr>
          <w:trHeight w:val="167"/>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2,090,644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41,890</w:t>
            </w: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37,364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4,688</w:t>
            </w: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81,607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Deferred transaction costs</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1,874,924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4,090,545</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46,578</w:t>
            </w: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97,937</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17,383,394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70,725</w:t>
            </w: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37,731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17,519,062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70,725</w:t>
            </w: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Simple Agreements for Future Equity (SAFEs)</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46,358,393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566,404</w:t>
            </w: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63,889,954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637,129</w:t>
            </w: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62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Common stock, $0.0001 par value, 2,000,000 shares authorized as of December 31, 2025 and 2024;</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2"/>
        </w:trPr>
        <w:tc>
          <w:tcPr>
            <w:tcW w:w="6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921,354 and 900,104 shares issued and outstanding as of December 31, 2025 and 2024, respectively</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w:t>
            </w: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12,568,471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2,755</w:t>
            </w: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(72,368,135)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(593,556)</w:t>
            </w: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6"/>
              </w:rPr>
              <w:t>(59,799,409)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(590,551)</w:t>
            </w: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4,090,545</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46,578</w:t>
            </w:r>
          </w:p>
        </w:tc>
      </w:tr>
    </w:tbl>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0159"/>
          </w:cols>
          <w:pgMar w:left="300" w:top="405"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STATEMENTS OF OPERATIONS AND COMPREHENSIVE LOSS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July 8, 2024</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78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110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78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66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3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 including related parties of $146,500 and $15,000, respectively (Note 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19,329,987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194,100</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 including related parties of $54,336 and $0, respectively (Note 9)</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550,971</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12,565,721</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2,755</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6,411</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67"/>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32,453,090</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197,152</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9"/>
              </w:rPr>
              <w:t>(32,453,090)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(197,152)</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loss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9"/>
              </w:rPr>
              <w:t>(39,321,489)</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(396,404)</w:t>
            </w:r>
          </w:p>
        </w:tc>
        <w:tc>
          <w:tcPr>
            <w:tcW w:w="0" w:type="dxa"/>
            <w:vAlign w:val="bottom"/>
          </w:tcPr>
          <w:p>
            <w:pPr>
              <w:spacing w:after="0"/>
              <w:rPr>
                <w:sz w:val="1"/>
                <w:szCs w:val="1"/>
                <w:color w:val="auto"/>
              </w:rPr>
            </w:pPr>
          </w:p>
        </w:tc>
      </w:tr>
      <w:tr>
        <w:trPr>
          <w:trHeight w:val="167"/>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Total other loss</w:t>
            </w: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(39,321,489)</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(396,404)</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9"/>
              </w:rPr>
              <w:t>(71,774,579)</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(593,556)</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and 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9"/>
              </w:rPr>
              <w:t>(71,774,579)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(593,556)</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share: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 common stock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(78.53)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shares outstanding basic and diluted—common stock</w:t>
            </w:r>
          </w:p>
        </w:tc>
        <w:tc>
          <w:tcPr>
            <w:tcW w:w="8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914,000</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317,047</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10159"/>
          </w:cols>
          <w:pgMar w:left="300" w:top="405"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STATEMENTS OF STOCKHOLDERS’ DEFICIT</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3"/>
            <w:vMerge w:val="restart"/>
          </w:tcPr>
          <w:p>
            <w:pPr>
              <w:jc w:val="right"/>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Member’s</w:t>
            </w:r>
          </w:p>
        </w:tc>
        <w:tc>
          <w:tcPr>
            <w:tcW w:w="940" w:type="dxa"/>
            <w:vAlign w:val="bottom"/>
            <w:tcBorders>
              <w:bottom w:val="single" w:sz="8" w:color="auto"/>
            </w:tcBorders>
            <w:gridSpan w:val="4"/>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right"/>
              <w:ind w:right="440"/>
              <w:spacing w:after="0" w:line="115"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5"/>
                <w:szCs w:val="5"/>
                <w:color w:val="auto"/>
              </w:rPr>
            </w:pPr>
          </w:p>
        </w:tc>
        <w:tc>
          <w:tcPr>
            <w:tcW w:w="960" w:type="dxa"/>
            <w:vAlign w:val="bottom"/>
            <w:gridSpan w:val="2"/>
            <w:vMerge w:val="restart"/>
          </w:tcPr>
          <w:p>
            <w:pPr>
              <w:jc w:val="right"/>
              <w:ind w:right="279"/>
              <w:spacing w:after="0" w:line="11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34"/>
        </w:trPr>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1"/>
                <w:szCs w:val="11"/>
                <w:color w:val="auto"/>
              </w:rPr>
            </w:pPr>
          </w:p>
        </w:tc>
        <w:tc>
          <w:tcPr>
            <w:tcW w:w="960" w:type="dxa"/>
            <w:vAlign w:val="bottom"/>
            <w:gridSpan w:val="2"/>
          </w:tcPr>
          <w:p>
            <w:pPr>
              <w:jc w:val="right"/>
              <w:ind w:right="43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3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Balance at July 8, 2024 (date of inception)</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shd w:val="clear" w:color="auto" w:fill="CCEEFF"/>
          </w:tcPr>
          <w:p>
            <w:pPr>
              <w:ind w:left="320"/>
              <w:spacing w:after="0" w:line="157"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320"/>
              <w:spacing w:after="0" w:line="157"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Member contribution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250</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 LLC</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8"/>
              </w:rPr>
              <w:t>(442,000)</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Conversion to C Corp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441,750</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900,000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(442,000)</w:t>
            </w:r>
          </w:p>
        </w:tc>
        <w:tc>
          <w:tcPr>
            <w:tcW w:w="120" w:type="dxa"/>
            <w:vAlign w:val="bottom"/>
          </w:tcPr>
          <w:p>
            <w:pPr>
              <w:spacing w:after="0"/>
              <w:rPr>
                <w:sz w:val="14"/>
                <w:szCs w:val="14"/>
                <w:color w:val="auto"/>
              </w:rPr>
            </w:pPr>
          </w:p>
        </w:tc>
        <w:tc>
          <w:tcPr>
            <w:tcW w:w="8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 C Corp</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(151,556)</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(151,556)</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2,755</w:t>
            </w:r>
          </w:p>
        </w:tc>
        <w:tc>
          <w:tcPr>
            <w:tcW w:w="80" w:type="dxa"/>
            <w:vAlign w:val="bottom"/>
          </w:tcPr>
          <w:p>
            <w:pPr>
              <w:spacing w:after="0"/>
              <w:rPr>
                <w:sz w:val="14"/>
                <w:szCs w:val="14"/>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2,755</w:t>
            </w: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900,104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250</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(593,556</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(71,774,579)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(71,774,579)</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12,565,721</w:t>
            </w:r>
          </w:p>
        </w:tc>
        <w:tc>
          <w:tcPr>
            <w:tcW w:w="80" w:type="dxa"/>
            <w:vAlign w:val="bottom"/>
          </w:tcPr>
          <w:p>
            <w:pPr>
              <w:spacing w:after="0"/>
              <w:rPr>
                <w:sz w:val="14"/>
                <w:szCs w:val="14"/>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12,565,721</w:t>
            </w: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921,354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255</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12,568,471</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(72,368,135</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(59,799,409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F-42</w:t>
      </w:r>
    </w:p>
    <w:p>
      <w:pPr>
        <w:sectPr>
          <w:pgSz w:w="11900" w:h="16838" w:orient="portrait"/>
          <w:cols w:equalWidth="0" w:num="1">
            <w:col w:w="10159"/>
          </w:cols>
          <w:pgMar w:left="300" w:top="405"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STATEMENTS OF CASH FLOWS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78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July 8, 2024</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110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7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66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3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(71,774,579)</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(593,556)</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6,411</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Expected loss on legal settlement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16,345,000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52,825</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39,321,489</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396,404</w:t>
            </w: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12,565,721</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2,755</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Prepaid expenses</w:t>
            </w: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(333,403)</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Due from stockholder</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24,614</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(24,614)</w:t>
            </w:r>
          </w:p>
        </w:tc>
        <w:tc>
          <w:tcPr>
            <w:tcW w:w="0" w:type="dxa"/>
            <w:vAlign w:val="bottom"/>
          </w:tcPr>
          <w:p>
            <w:pPr>
              <w:spacing w:after="0"/>
              <w:rPr>
                <w:sz w:val="1"/>
                <w:szCs w:val="1"/>
                <w:color w:val="auto"/>
              </w:rPr>
            </w:pPr>
          </w:p>
        </w:tc>
      </w:tr>
      <w:tr>
        <w:trPr>
          <w:trHeight w:val="167"/>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Operating lease right-of-use assets and liabilities</w:t>
            </w: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(84,202)</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(6,006)</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97,937</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(72,082)</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70,725</w:t>
            </w:r>
          </w:p>
        </w:tc>
        <w:tc>
          <w:tcPr>
            <w:tcW w:w="0" w:type="dxa"/>
            <w:vAlign w:val="bottom"/>
          </w:tcPr>
          <w:p>
            <w:pPr>
              <w:spacing w:after="0"/>
              <w:rPr>
                <w:sz w:val="1"/>
                <w:szCs w:val="1"/>
                <w:color w:val="auto"/>
              </w:rPr>
            </w:pPr>
          </w:p>
        </w:tc>
      </w:tr>
      <w:tr>
        <w:trPr>
          <w:trHeight w:val="167"/>
        </w:trPr>
        <w:tc>
          <w:tcPr>
            <w:tcW w:w="66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(3,856,275)</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(147,989)</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(39,087)</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(4,985)</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(39,087)</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(4,985)</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issuance of Simple Agreements for Future Equity</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6,470,500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170,000</w:t>
            </w: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member contribution</w:t>
            </w:r>
          </w:p>
        </w:tc>
        <w:tc>
          <w:tcPr>
            <w:tcW w:w="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 of deferred transaction costs</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(835,173)</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5,635,327</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170,250</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1,739,965</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17,276</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Cash - beginning of the period</w:t>
            </w: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17,276</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 end of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1,757,241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17,276</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schedule of non-cash transactions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134,432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Deferred transaction costs included in accrued expenses and 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1,039,751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10159"/>
          </w:cols>
          <w:pgMar w:left="300" w:top="405"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Hadron Energy, Inc. (the Company) was formed on July 8, 2024 as Hadron Energy LLC, a California limited liability company (“LLC”). On</w:t>
      </w:r>
    </w:p>
    <w:p>
      <w:pPr>
        <w:spacing w:after="0" w:line="21"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October 30, 2024, the sole member of LLC converted its entire interest in LLC into Hadron Energy, Inc., a Delaware Corporation (the “Company”), in exchange for 900,000 shares of common stock of the Company.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91"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The Company’s financial statements have been prepared on a basis which assumes that the Company will continue as a going concern, which contemplates the realization of assets and the satisfaction of liabilities and commitments in the normal course of business. At December 31, 2025, the Company had cash of $1,757,241 and accumulated deficit of $72,368,135; and for the year ended December 31, 2025, a net loss of $71,774,579 and negative cash flows from operations of $3,856,275. The Company’s ability to continue as a going concern depends on its ability to obtain financial support through debt and equity transactions to fund the needs of the business, and ultimately to generate profitable operations. These financial statements do not reflect any adjustments or reclassifications of assets and liabilities which would be necessary if the Company were unable to continue as a going concern. Since inception, the Company has incurred and expects to continue to incur net losses and negative operating cash flows. Management expects that future operating losses and negative operating cash flows may increase from historical levels because of additional costs and expenses related to the development of technology and the development of market and strategic relationships with other businesses. The Company’s continued existence is dependent upon its ability to obtain additional sources of funding to support, through debt and equity transactions, its ongoing operations. There is no assurance that the Company will be able to secure funding under favorable terms. Accordingly, there is substantial doubt about the Company’s ability to continue as a going concern.</w:t>
      </w:r>
    </w:p>
    <w:p>
      <w:pPr>
        <w:spacing w:after="0" w:line="148" w:lineRule="exact"/>
        <w:rPr>
          <w:sz w:val="20"/>
          <w:szCs w:val="20"/>
          <w:color w:val="auto"/>
        </w:rPr>
      </w:pPr>
    </w:p>
    <w:p>
      <w:pPr>
        <w:ind w:left="1400" w:right="299"/>
        <w:spacing w:after="0" w:line="256" w:lineRule="auto"/>
        <w:rPr>
          <w:sz w:val="20"/>
          <w:szCs w:val="20"/>
          <w:color w:val="auto"/>
        </w:rPr>
      </w:pPr>
      <w:r>
        <w:rPr>
          <w:rFonts w:ascii="Times New Roman" w:cs="Times New Roman" w:eastAsia="Times New Roman" w:hAnsi="Times New Roman"/>
          <w:sz w:val="14"/>
          <w:szCs w:val="14"/>
          <w:color w:val="auto"/>
        </w:rPr>
        <w:t>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Merger Sub will merge with and into the Company (the “Merger”), with the Company continuing as the surviving corporation (such transactions, together with the Merger, the “Business Combination”). The Business Combination will be accounted for as a reverse recapitalization.</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1"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The accompanying financial statements have been prepared in accordance with U.S. Generally Accepted Accounting Principles (“GAAP”)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Use of Accounting Estimates</w:t>
      </w:r>
    </w:p>
    <w:p>
      <w:pPr>
        <w:spacing w:after="0" w:line="91" w:lineRule="exact"/>
        <w:rPr>
          <w:sz w:val="20"/>
          <w:szCs w:val="20"/>
          <w:color w:val="auto"/>
        </w:rPr>
      </w:pPr>
    </w:p>
    <w:p>
      <w:pPr>
        <w:ind w:left="1400" w:right="539"/>
        <w:spacing w:after="0" w:line="27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certain estimates, judgments and assumptions. The Company believes that the estimates, judgments and assumptions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10159"/>
          </w:cols>
          <w:pgMar w:left="300" w:top="405"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80" w:lineRule="auto"/>
        <w:rPr>
          <w:sz w:val="20"/>
          <w:szCs w:val="20"/>
          <w:color w:val="auto"/>
        </w:rPr>
      </w:pPr>
      <w:r>
        <w:rPr>
          <w:rFonts w:ascii="Times New Roman" w:cs="Times New Roman" w:eastAsia="Times New Roman" w:hAnsi="Times New Roman"/>
          <w:sz w:val="13"/>
          <w:szCs w:val="13"/>
          <w:color w:val="auto"/>
        </w:rPr>
        <w:t>made when accounting for items and matters such as, but not limited to Simple Agreements for Future Equity agreements (SAFEs), stock-based compensation, valuation of the Company’s common stock, and contingencies, are reasonable based on information available at the time they are made. These estimates, judgments and assumptions can affect the reported amounts of assets and liabilities as of the date of the financial statements, as well as amounts reported on the statements of operations and comprehensive loss during the period presented. These estimates and assumptions may change as new events occur, and additional information is obtained. As a result, actual results could differ materially from these estimates and assumptions.</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1" w:lineRule="exact"/>
        <w:rPr>
          <w:sz w:val="20"/>
          <w:szCs w:val="20"/>
          <w:color w:val="auto"/>
        </w:rPr>
      </w:pPr>
    </w:p>
    <w:p>
      <w:pPr>
        <w:ind w:left="1400" w:right="259"/>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1"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Deferred Transaction Costs</w:t>
      </w:r>
    </w:p>
    <w:p>
      <w:pPr>
        <w:spacing w:after="0" w:line="91"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The Company capitalizes deferred transaction costs, which primarily consist of incremental legal fees, accounting fees and other fees directly attributable to the anticipated Business Combination which will be accounted for as a reverse recapitalization. Reverse recapitalization transactions are viewed as the issuance of equity by the accounting acquirer for the cash of the Special Purpose Acquisition Company (“SPAC”). Accordingly, the direct and incremental transaction costs related to the de-SPAC transaction are treated as reduction of the SPAC’s cash proceeds and deducted from additional paid-in capital. The deferred transaction costs will be reclassified to additional paid-in capital upon closing. As of December 31, 2025, deferred transaction costs of $1,874,924 were capitalized in connection with the Business Combination on the balance sheet. No deferred transaction costs were recorded as of December 31, 2024.</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1"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66" w:lineRule="exact"/>
        <w:rPr>
          <w:sz w:val="20"/>
          <w:szCs w:val="20"/>
          <w:color w:val="auto"/>
        </w:rPr>
      </w:pPr>
    </w:p>
    <w:p>
      <w:pPr>
        <w:ind w:left="2140" w:hanging="333"/>
        <w:spacing w:after="0"/>
        <w:tabs>
          <w:tab w:leader="none" w:pos="2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in active markets for identical instruments.</w:t>
      </w:r>
    </w:p>
    <w:p>
      <w:pPr>
        <w:spacing w:after="0" w:line="99"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53" w:lineRule="exact"/>
        <w:rPr>
          <w:rFonts w:ascii="Times New Roman" w:cs="Times New Roman" w:eastAsia="Times New Roman" w:hAnsi="Times New Roman"/>
          <w:sz w:val="14"/>
          <w:szCs w:val="14"/>
          <w:color w:val="auto"/>
        </w:rPr>
      </w:pPr>
    </w:p>
    <w:p>
      <w:pPr>
        <w:ind w:left="2140" w:right="999" w:hanging="333"/>
        <w:spacing w:after="0" w:line="279" w:lineRule="auto"/>
        <w:tabs>
          <w:tab w:leader="none" w:pos="2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Valuations derived from valuation techniques in which one or more significant inputs or significant value drivers are unobservable.</w:t>
      </w:r>
    </w:p>
    <w:p>
      <w:pPr>
        <w:spacing w:after="0" w:line="126" w:lineRule="exact"/>
        <w:rPr>
          <w:sz w:val="20"/>
          <w:szCs w:val="20"/>
          <w:color w:val="auto"/>
        </w:rPr>
      </w:pPr>
    </w:p>
    <w:p>
      <w:pPr>
        <w:jc w:val="both"/>
        <w:ind w:left="1400" w:right="339"/>
        <w:spacing w:after="0" w:line="264" w:lineRule="auto"/>
        <w:rPr>
          <w:sz w:val="20"/>
          <w:szCs w:val="20"/>
          <w:color w:val="auto"/>
        </w:rPr>
      </w:pPr>
      <w:r>
        <w:rPr>
          <w:rFonts w:ascii="Times New Roman" w:cs="Times New Roman" w:eastAsia="Times New Roman" w:hAnsi="Times New Roman"/>
          <w:sz w:val="14"/>
          <w:szCs w:val="14"/>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due from</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405"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stockholder, other assets, deferred transaction costs, accounts payable, and accrued expenses approximate their fair value due to their short maturities.</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fair value of the Company’s SAFEs liability was determined using level 3 fair value determination methods. Refer to Note 5 for additional details.</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89"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 xml:space="preserve">The Company has lease arrangements for its corporate offices and a Company vehicle.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as of December 31, 2025 and 2024.</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Simple Agreements for Future Equity</w:t>
      </w:r>
    </w:p>
    <w:p>
      <w:pPr>
        <w:spacing w:after="0" w:line="89" w:lineRule="exact"/>
        <w:rPr>
          <w:sz w:val="20"/>
          <w:szCs w:val="20"/>
          <w:color w:val="auto"/>
        </w:rPr>
      </w:pPr>
    </w:p>
    <w:p>
      <w:pPr>
        <w:ind w:left="1400" w:right="279"/>
        <w:spacing w:after="0" w:line="260" w:lineRule="auto"/>
        <w:rPr>
          <w:sz w:val="20"/>
          <w:szCs w:val="20"/>
          <w:color w:val="auto"/>
        </w:rPr>
      </w:pPr>
      <w:r>
        <w:rPr>
          <w:rFonts w:ascii="Times New Roman" w:cs="Times New Roman" w:eastAsia="Times New Roman" w:hAnsi="Times New Roman"/>
          <w:sz w:val="14"/>
          <w:szCs w:val="14"/>
          <w:color w:val="auto"/>
        </w:rPr>
        <w:t xml:space="preserve">The Company accounts for its SAFEs as a liability stated at fair value in accordance with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SAFEs are subject to revaluation at the end of each reporting period, with changes in fair value recognized in the consolidated statements of operations and comprehensive loss. There was no event that triggered the SAFEs to convert into equity securities during the year ended December 31, 2025 and the period from July 8, 2024 (inception) to December 31, 2024. Refer to Note 5 for additional details.</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91"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4"/>
          <w:szCs w:val="14"/>
          <w:color w:val="auto"/>
        </w:rPr>
        <w:t>General and administrative (“G&amp;A”) expenses consist primarily of personnel-related expenses for executives, human resources, finance and other G&amp;A employees, including salary, professional services costs and facility and overhead costs.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1" w:lineRule="exact"/>
        <w:rPr>
          <w:sz w:val="20"/>
          <w:szCs w:val="20"/>
          <w:color w:val="auto"/>
        </w:rPr>
      </w:pPr>
    </w:p>
    <w:p>
      <w:pPr>
        <w:ind w:left="1400" w:right="379"/>
        <w:spacing w:after="0" w:line="259" w:lineRule="auto"/>
        <w:rPr>
          <w:sz w:val="20"/>
          <w:szCs w:val="20"/>
          <w:color w:val="auto"/>
        </w:rPr>
      </w:pPr>
      <w:r>
        <w:rPr>
          <w:rFonts w:ascii="Times New Roman" w:cs="Times New Roman" w:eastAsia="Times New Roman" w:hAnsi="Times New Roman"/>
          <w:sz w:val="14"/>
          <w:szCs w:val="14"/>
          <w:color w:val="auto"/>
        </w:rPr>
        <w:t>Research and development (“R&amp;D”) expenses represents costs incurred for technology development and regulatory support for the development of the factory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1" w:lineRule="exact"/>
        <w:rPr>
          <w:sz w:val="20"/>
          <w:szCs w:val="20"/>
          <w:color w:val="auto"/>
        </w:rPr>
      </w:pPr>
    </w:p>
    <w:p>
      <w:pPr>
        <w:ind w:left="1400" w:right="519"/>
        <w:spacing w:after="0" w:line="259" w:lineRule="auto"/>
        <w:rPr>
          <w:sz w:val="20"/>
          <w:szCs w:val="20"/>
          <w:color w:val="auto"/>
        </w:rPr>
      </w:pPr>
      <w:r>
        <w:rPr>
          <w:rFonts w:ascii="Times New Roman" w:cs="Times New Roman" w:eastAsia="Times New Roman" w:hAnsi="Times New Roman"/>
          <w:sz w:val="14"/>
          <w:szCs w:val="14"/>
          <w:color w:val="auto"/>
        </w:rPr>
        <w:t>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10159"/>
          </w:cols>
          <w:pgMar w:left="300" w:top="405"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1"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w:t>
      </w:r>
    </w:p>
    <w:p>
      <w:pPr>
        <w:spacing w:after="0" w:line="144" w:lineRule="exact"/>
        <w:rPr>
          <w:sz w:val="20"/>
          <w:szCs w:val="20"/>
          <w:color w:val="auto"/>
        </w:rPr>
      </w:pPr>
    </w:p>
    <w:p>
      <w:pPr>
        <w:ind w:left="1400" w:right="479"/>
        <w:spacing w:after="0" w:line="254" w:lineRule="auto"/>
        <w:rPr>
          <w:sz w:val="20"/>
          <w:szCs w:val="20"/>
          <w:color w:val="auto"/>
        </w:rPr>
      </w:pPr>
      <w:r>
        <w:rPr>
          <w:rFonts w:ascii="Times New Roman" w:cs="Times New Roman" w:eastAsia="Times New Roman" w:hAnsi="Times New Roman"/>
          <w:sz w:val="14"/>
          <w:szCs w:val="14"/>
          <w:color w:val="auto"/>
        </w:rPr>
        <w:t>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w:t>
      </w:r>
    </w:p>
    <w:p>
      <w:pPr>
        <w:spacing w:after="0" w:line="145"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The Company’s practice is to recognize interest and penalties, if any, related to uncertain tax positions in income tax expense in the accompanying statements of operations and comprehensive loss. The Company’s 2024 tax returns remain subject to examination by taxing jurisdictions. At December 31, 2025 and 2024, the Company does not believe it has any uncertain tax positions that would require either recognition or disclosure in the accompanying financial statements.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1"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The Company’s basic net loss per share of common stock is computed based on the average number of outstanding shares of common stock for the period, by dividing the net loss by the weighted-average number of shares of common stock outstanding for the period, without consideration for potential dilutive securities. Diluted net loss per share of common stock is computed by dividing net loss by the weighted-average number of shares of common stock and common share equivalents of potentially dilutive securities outstanding for the period. Potentially dilutive securities include common stock equivalents comprised of unvested shares of restricted stock purchase agreements and expected shares from SAFE notes. Since the Company was in a net loss position for the period presented, basic net loss per share of common stock is the same as diluted net loss per share of common stock since the effects of potentially dilutive securities are antidilutive.</w:t>
      </w:r>
    </w:p>
    <w:p>
      <w:pPr>
        <w:spacing w:after="0" w:line="147"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4"/>
          <w:szCs w:val="14"/>
          <w:color w:val="auto"/>
        </w:rPr>
        <w:t>The following table sets forth the outstanding potentially dilutive securities that have been excluded in the calculation of diluted net loss per common share because doing so would be anti-dilutive (in common stock equivalent shares):</w:t>
      </w:r>
    </w:p>
    <w:p>
      <w:pPr>
        <w:spacing w:after="0" w:line="131"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4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4480" w:type="dxa"/>
            <w:vAlign w:val="bottom"/>
          </w:tcPr>
          <w:p>
            <w:pPr>
              <w:spacing w:after="0"/>
              <w:rPr>
                <w:sz w:val="9"/>
                <w:szCs w:val="9"/>
                <w:color w:val="auto"/>
              </w:rPr>
            </w:pPr>
          </w:p>
        </w:tc>
        <w:tc>
          <w:tcPr>
            <w:tcW w:w="12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7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July 8, 2024</w:t>
            </w:r>
          </w:p>
        </w:tc>
        <w:tc>
          <w:tcPr>
            <w:tcW w:w="0" w:type="dxa"/>
            <w:vAlign w:val="bottom"/>
          </w:tcPr>
          <w:p>
            <w:pPr>
              <w:spacing w:after="0"/>
              <w:rPr>
                <w:sz w:val="1"/>
                <w:szCs w:val="1"/>
                <w:color w:val="auto"/>
              </w:rPr>
            </w:pPr>
          </w:p>
        </w:tc>
      </w:tr>
      <w:tr>
        <w:trPr>
          <w:trHeight w:val="115"/>
        </w:trPr>
        <w:tc>
          <w:tcPr>
            <w:tcW w:w="44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7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(inception) to</w:t>
            </w:r>
          </w:p>
        </w:tc>
        <w:tc>
          <w:tcPr>
            <w:tcW w:w="0" w:type="dxa"/>
            <w:vAlign w:val="bottom"/>
          </w:tcPr>
          <w:p>
            <w:pPr>
              <w:spacing w:after="0"/>
              <w:rPr>
                <w:sz w:val="1"/>
                <w:szCs w:val="1"/>
                <w:color w:val="auto"/>
              </w:rPr>
            </w:pPr>
          </w:p>
        </w:tc>
      </w:tr>
      <w:tr>
        <w:trPr>
          <w:trHeight w:val="115"/>
        </w:trPr>
        <w:tc>
          <w:tcPr>
            <w:tcW w:w="4480" w:type="dxa"/>
            <w:vAlign w:val="bottom"/>
          </w:tcPr>
          <w:p>
            <w:pPr>
              <w:spacing w:after="0"/>
              <w:rPr>
                <w:sz w:val="9"/>
                <w:szCs w:val="9"/>
                <w:color w:val="auto"/>
              </w:rPr>
            </w:pPr>
          </w:p>
        </w:tc>
        <w:tc>
          <w:tcPr>
            <w:tcW w:w="1280" w:type="dxa"/>
            <w:vAlign w:val="bottom"/>
            <w:gridSpan w:val="2"/>
          </w:tcPr>
          <w:p>
            <w:pPr>
              <w:jc w:val="right"/>
              <w:ind w:right="640"/>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7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44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Unvested shares of restricted stock purchase agreements</w:t>
            </w:r>
          </w:p>
        </w:tc>
        <w:tc>
          <w:tcPr>
            <w:tcW w:w="6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21,146</w:t>
            </w: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2,396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Expected shares from SAFE notes</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55,149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17,956</w:t>
            </w:r>
          </w:p>
        </w:tc>
        <w:tc>
          <w:tcPr>
            <w:tcW w:w="0" w:type="dxa"/>
            <w:vAlign w:val="bottom"/>
          </w:tcPr>
          <w:p>
            <w:pPr>
              <w:spacing w:after="0"/>
              <w:rPr>
                <w:sz w:val="1"/>
                <w:szCs w:val="1"/>
                <w:color w:val="auto"/>
              </w:rPr>
            </w:pPr>
          </w:p>
        </w:tc>
      </w:tr>
      <w:tr>
        <w:trPr>
          <w:trHeight w:val="16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potentially dilutive securities</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76,295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20,352</w:t>
            </w:r>
          </w:p>
        </w:tc>
        <w:tc>
          <w:tcPr>
            <w:tcW w:w="0" w:type="dxa"/>
            <w:vAlign w:val="bottom"/>
          </w:tcPr>
          <w:p>
            <w:pPr>
              <w:spacing w:after="0"/>
              <w:rPr>
                <w:sz w:val="1"/>
                <w:szCs w:val="1"/>
                <w:color w:val="auto"/>
              </w:rPr>
            </w:pPr>
          </w:p>
        </w:tc>
      </w:tr>
      <w:tr>
        <w:trPr>
          <w:trHeight w:val="282"/>
        </w:trPr>
        <w:tc>
          <w:tcPr>
            <w:tcW w:w="44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F-47</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5"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1" w:lineRule="exact"/>
        <w:rPr>
          <w:sz w:val="20"/>
          <w:szCs w:val="20"/>
          <w:color w:val="auto"/>
        </w:rPr>
      </w:pPr>
    </w:p>
    <w:p>
      <w:pPr>
        <w:ind w:left="1400" w:right="319"/>
        <w:spacing w:after="0" w:line="274" w:lineRule="auto"/>
        <w:rPr>
          <w:sz w:val="20"/>
          <w:szCs w:val="20"/>
          <w:color w:val="auto"/>
        </w:rPr>
      </w:pPr>
      <w:r>
        <w:rPr>
          <w:rFonts w:ascii="Times New Roman" w:cs="Times New Roman" w:eastAsia="Times New Roman" w:hAnsi="Times New Roman"/>
          <w:sz w:val="13"/>
          <w:szCs w:val="13"/>
          <w:color w:val="auto"/>
        </w:rPr>
        <w:t>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operating segment. During the year ended December 31, 2025 and for the period from July 8, 2024 (inception) to December 31, 2024, the CODM made decisions on resource allocation, assessed performance of the business and monitoring actual results using net loss, which is provided in the accompanying statements of operations and comprehensive loss. When evaluating how to allocate resources, the CODM primarily focuses on contract labor and legal fees which are the significant expenses within the results of operations. Contract labor costs and legal fees were $380,926 and $261,491, respectively, for the year ended December 31, 2025 and contract labor costs and legal fees were $36,300 and $66,806, respectively, for the period from July 8, 2024 (inception) to December 31, 2024, which are included in general and administrative expenses in the accompanying statements of operations and comprehensive loss.</w:t>
      </w:r>
    </w:p>
    <w:p>
      <w:pPr>
        <w:spacing w:after="0" w:line="2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 considers the applicability and impact of all ASUs issued by the FASB.</w:t>
      </w:r>
    </w:p>
    <w:p>
      <w:pPr>
        <w:spacing w:after="0" w:line="171"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 xml:space="preserve">In October 2023, FASB issued ASU 2023-06, </w:t>
      </w:r>
      <w:r>
        <w:rPr>
          <w:rFonts w:ascii="Times New Roman" w:cs="Times New Roman" w:eastAsia="Times New Roman" w:hAnsi="Times New Roman"/>
          <w:sz w:val="14"/>
          <w:szCs w:val="14"/>
          <w:i w:val="1"/>
          <w:iCs w:val="1"/>
          <w:color w:val="auto"/>
        </w:rPr>
        <w:t>Disclosure Improvements: Codification Amendments in Response to the SEC’s Disclosure Update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Simplification Initiative</w:t>
      </w:r>
      <w:r>
        <w:rPr>
          <w:rFonts w:ascii="Times New Roman" w:cs="Times New Roman" w:eastAsia="Times New Roman" w:hAnsi="Times New Roman"/>
          <w:sz w:val="14"/>
          <w:szCs w:val="14"/>
          <w:color w:val="auto"/>
        </w:rPr>
        <w:t>. This ASU amends the ASC to incorporate certain disclosure requirements from SEC Release No. 33-10532,</w:t>
      </w:r>
      <w:r>
        <w:rPr>
          <w:rFonts w:ascii="Times New Roman" w:cs="Times New Roman" w:eastAsia="Times New Roman" w:hAnsi="Times New Roman"/>
          <w:sz w:val="14"/>
          <w:szCs w:val="14"/>
          <w:i w:val="1"/>
          <w:iCs w:val="1"/>
          <w:color w:val="auto"/>
        </w:rPr>
        <w:t xml:space="preserve"> Disclosure Update and Simplification </w:t>
      </w:r>
      <w:r>
        <w:rPr>
          <w:rFonts w:ascii="Times New Roman" w:cs="Times New Roman" w:eastAsia="Times New Roman" w:hAnsi="Times New Roman"/>
          <w:sz w:val="14"/>
          <w:szCs w:val="14"/>
          <w:color w:val="auto"/>
        </w:rPr>
        <w:t>that was issued in 2018. The effective date for each amendment will be the date on which the SEC’s removal of that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from Regulation S-X or Regulation S-K becomes effective, with early adoption prohibited.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Company is evaluating the effect that ASU 2023-06 will have on its financial statements and related disclosures.</w:t>
      </w:r>
    </w:p>
    <w:p>
      <w:pPr>
        <w:spacing w:after="0" w:line="147"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(Topic 740):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ASU is effective for annual periods beginning after December 15, 2024, with early adoption permitted. The Company adopted ASU 2023-09 effective January 1, 2025 and included additional disclosures in Note 8. The adoption of this standard did not have a material impact on the Company’s financial statements.</w:t>
      </w:r>
    </w:p>
    <w:p>
      <w:pPr>
        <w:spacing w:after="0" w:line="141"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 xml:space="preserve">In January 2025, the FASB issued ASU 2025-01,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(Subtopic 220-40): Clarifying the Effective Date</w:t>
      </w:r>
      <w:r>
        <w:rPr>
          <w:rFonts w:ascii="Times New Roman" w:cs="Times New Roman" w:eastAsia="Times New Roman" w:hAnsi="Times New Roman"/>
          <w:sz w:val="14"/>
          <w:szCs w:val="14"/>
          <w:color w:val="auto"/>
        </w:rPr>
        <w:t>. ASU 2025-01 clarifies the effective date for ASU 2024-03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ensuring public business entities adopt it initially in annual reporting periods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interim) for non-calendar year-end entities. ASU 2024-03 requires disclosure on an annual and interim basis, in the notes to the financial statements, of disaggregated information about specific categories underlying certain income statement expense line items. The effective dates of ASU 2025-01 align with ASU 2024-03: annual periods beginning after December 15, 2026, and interim periods beginning after December 15, 2027. The Company is currently evaluating the impact of adopting this new accounting guidance on its financial statements and related disclosures.</w:t>
      </w:r>
    </w:p>
    <w:p>
      <w:pPr>
        <w:spacing w:after="0" w:line="142" w:lineRule="exact"/>
        <w:rPr>
          <w:sz w:val="20"/>
          <w:szCs w:val="20"/>
          <w:color w:val="auto"/>
        </w:rPr>
      </w:pPr>
    </w:p>
    <w:p>
      <w:pPr>
        <w:ind w:left="1400" w:right="559"/>
        <w:spacing w:after="0" w:line="282" w:lineRule="auto"/>
        <w:rPr>
          <w:sz w:val="20"/>
          <w:szCs w:val="20"/>
          <w:color w:val="auto"/>
        </w:rPr>
      </w:pPr>
      <w:r>
        <w:rPr>
          <w:rFonts w:ascii="Times New Roman" w:cs="Times New Roman" w:eastAsia="Times New Roman" w:hAnsi="Times New Roman"/>
          <w:sz w:val="14"/>
          <w:szCs w:val="14"/>
          <w:color w:val="auto"/>
        </w:rPr>
        <w:t xml:space="preserve">In May 2025, the FASB issued ASU No. 2025-03, </w:t>
      </w:r>
      <w:r>
        <w:rPr>
          <w:rFonts w:ascii="Times New Roman" w:cs="Times New Roman" w:eastAsia="Times New Roman" w:hAnsi="Times New Roman"/>
          <w:sz w:val="14"/>
          <w:szCs w:val="14"/>
          <w:i w:val="1"/>
          <w:iCs w:val="1"/>
          <w:color w:val="auto"/>
        </w:rPr>
        <w:t>Business Combinations (Topic 805) and Consolidation (Topic 810): Determining the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Acquirer in the Acquisition of a Variable Interest Entity (“ASU 2025-03”)</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10159"/>
          </w:cols>
          <w:pgMar w:left="300" w:top="405"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59" w:lineRule="auto"/>
        <w:rPr>
          <w:sz w:val="20"/>
          <w:szCs w:val="20"/>
          <w:color w:val="auto"/>
        </w:rPr>
      </w:pPr>
      <w:r>
        <w:rPr>
          <w:rFonts w:ascii="Times New Roman" w:cs="Times New Roman" w:eastAsia="Times New Roman" w:hAnsi="Times New Roman"/>
          <w:sz w:val="14"/>
          <w:szCs w:val="14"/>
          <w:color w:val="auto"/>
        </w:rPr>
        <w:t>ASU 2025-03 changes how companies determine the accounting acquirer in 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financial statements and related disclosures.</w:t>
      </w:r>
    </w:p>
    <w:p>
      <w:pPr>
        <w:spacing w:after="0" w:line="137"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 xml:space="preserve">In May 2025, the FASB issued ASU No. 2025-04, </w:t>
      </w:r>
      <w:r>
        <w:rPr>
          <w:rFonts w:ascii="Times New Roman" w:cs="Times New Roman" w:eastAsia="Times New Roman" w:hAnsi="Times New Roman"/>
          <w:sz w:val="14"/>
          <w:szCs w:val="14"/>
          <w:i w:val="1"/>
          <w:iCs w:val="1"/>
          <w:color w:val="auto"/>
        </w:rPr>
        <w:t>Compensation—Stock Compensation (Topic 718) and Revenue from Contracts With Customers (Topic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606): Clarifications to Share-Based Consideration Payable to a Customer (“ASU 2025-04”)</w:t>
      </w:r>
      <w:r>
        <w:rPr>
          <w:rFonts w:ascii="Times New Roman" w:cs="Times New Roman" w:eastAsia="Times New Roman" w:hAnsi="Times New Roman"/>
          <w:sz w:val="14"/>
          <w:szCs w:val="14"/>
          <w:color w:val="auto"/>
        </w:rPr>
        <w:t>. ASU 2025-04 revises the definition of a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 eliminates the forfeiture policy election for service conditions, and clarifies that the variable consideration constraint in ASC Topic 606 does not apply to share-based consideration payable to customers. The new guidance requires entities to consistently account for share-based awards granted to customers by clarifying the treatment of vesting conditions and ensuring alignment with ASC Topic 606 and ASC Topic 718: Compensation-Stock Compensation. ASU 2025-04 is effective for fiscal years beginning after December 15, 2026, including interim periods within those fiscal years. Early adoption is permitted. The Company is currently evaluating the impact of adopting this new accounting guidance on its financial statements and related disclosures.</w:t>
      </w:r>
    </w:p>
    <w:p>
      <w:pPr>
        <w:spacing w:after="0" w:line="144"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color w:val="auto"/>
        </w:rPr>
        <w:t xml:space="preserve">In December 2025, the FASB issued ASU No. 2025-10, </w:t>
      </w:r>
      <w:r>
        <w:rPr>
          <w:rFonts w:ascii="Times New Roman" w:cs="Times New Roman" w:eastAsia="Times New Roman" w:hAnsi="Times New Roman"/>
          <w:sz w:val="14"/>
          <w:szCs w:val="14"/>
          <w:i w:val="1"/>
          <w:iCs w:val="1"/>
          <w:color w:val="auto"/>
        </w:rPr>
        <w:t>Government Grants (Topic 832): Accounting for Government Grants Received by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Entities. </w:t>
      </w:r>
      <w:r>
        <w:rPr>
          <w:rFonts w:ascii="Times New Roman" w:cs="Times New Roman" w:eastAsia="Times New Roman" w:hAnsi="Times New Roman"/>
          <w:sz w:val="14"/>
          <w:szCs w:val="14"/>
          <w:color w:val="auto"/>
        </w:rPr>
        <w:t>ASU 2025-10 establishes the accounting for a government grant received by a business entity, including guidance for (1) a grant related to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and (2) a grant related to income. The ASU is effective for annual periods beginning after December 15, 2028, and interim reporting periods within those annual reporting periods, with early adoption permitted. The Company is currently evaluating the impact of adopting this new accounting guidance on its financial statements and related disclosures.</w:t>
      </w:r>
    </w:p>
    <w:p>
      <w:pPr>
        <w:spacing w:after="0" w:line="141" w:lineRule="exact"/>
        <w:rPr>
          <w:sz w:val="20"/>
          <w:szCs w:val="20"/>
          <w:color w:val="auto"/>
        </w:rPr>
      </w:pPr>
    </w:p>
    <w:p>
      <w:pPr>
        <w:ind w:left="1400" w:right="499"/>
        <w:spacing w:after="0" w:line="279" w:lineRule="auto"/>
        <w:rPr>
          <w:sz w:val="20"/>
          <w:szCs w:val="20"/>
          <w:color w:val="auto"/>
        </w:rPr>
      </w:pPr>
      <w:r>
        <w:rPr>
          <w:rFonts w:ascii="Times New Roman" w:cs="Times New Roman" w:eastAsia="Times New Roman" w:hAnsi="Times New Roman"/>
          <w:sz w:val="14"/>
          <w:szCs w:val="14"/>
          <w:color w:val="auto"/>
        </w:rPr>
        <w:t>The Company believes, based on its preliminary assessment, that any other recently issued, but not yet adopted, accounting pronouncements will not have a material impact on the Company’s financial statements or related disclosures, or do not apply to the Company.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3. ACCRUED EXPENSES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Accrued expenses was as follows at December 31, 2025 and 2024:</w:t>
      </w:r>
    </w:p>
    <w:p>
      <w:pPr>
        <w:spacing w:after="0" w:line="177"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0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4"/>
        </w:trPr>
        <w:tc>
          <w:tcPr>
            <w:tcW w:w="1020" w:type="dxa"/>
            <w:vAlign w:val="bottom"/>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r>
      <w:tr>
        <w:trPr>
          <w:trHeight w:val="157"/>
        </w:trPr>
        <w:tc>
          <w:tcPr>
            <w:tcW w:w="1020" w:type="dxa"/>
            <w:vAlign w:val="bottom"/>
          </w:tcPr>
          <w:p>
            <w:pPr>
              <w:spacing w:after="0"/>
              <w:rPr>
                <w:sz w:val="13"/>
                <w:szCs w:val="13"/>
                <w:color w:val="auto"/>
              </w:rPr>
            </w:pPr>
          </w:p>
        </w:tc>
        <w:tc>
          <w:tcPr>
            <w:tcW w:w="30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Legal fees</w:t>
            </w: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957,751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53,966</w:t>
            </w:r>
          </w:p>
        </w:tc>
        <w:tc>
          <w:tcPr>
            <w:tcW w:w="40" w:type="dxa"/>
            <w:vAlign w:val="bottom"/>
            <w:shd w:val="clear" w:color="auto" w:fill="CCEEFF"/>
          </w:tcPr>
          <w:p>
            <w:pPr>
              <w:spacing w:after="0"/>
              <w:rPr>
                <w:sz w:val="13"/>
                <w:szCs w:val="13"/>
                <w:color w:val="auto"/>
              </w:rPr>
            </w:pPr>
          </w:p>
        </w:tc>
      </w:tr>
      <w:tr>
        <w:trPr>
          <w:trHeight w:val="167"/>
        </w:trPr>
        <w:tc>
          <w:tcPr>
            <w:tcW w:w="10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Credit card obligations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2,657</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11,759</w:t>
            </w:r>
          </w:p>
        </w:tc>
        <w:tc>
          <w:tcPr>
            <w:tcW w:w="40" w:type="dxa"/>
            <w:vAlign w:val="bottom"/>
          </w:tcPr>
          <w:p>
            <w:pPr>
              <w:spacing w:after="0"/>
              <w:rPr>
                <w:sz w:val="14"/>
                <w:szCs w:val="14"/>
                <w:color w:val="auto"/>
              </w:rPr>
            </w:pPr>
          </w:p>
        </w:tc>
      </w:tr>
      <w:tr>
        <w:trPr>
          <w:trHeight w:val="167"/>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77,950</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10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4"/>
                <w:szCs w:val="14"/>
                <w:color w:val="auto"/>
              </w:rPr>
            </w:pPr>
          </w:p>
        </w:tc>
      </w:tr>
      <w:tr>
        <w:trPr>
          <w:trHeight w:val="167"/>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legal settlement</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5"/>
              </w:rPr>
              <w:t>16,345,000</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82"/>
        </w:trPr>
        <w:tc>
          <w:tcPr>
            <w:tcW w:w="10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5"/>
              </w:rPr>
              <w:t>17,383,394</w:t>
            </w:r>
          </w:p>
        </w:tc>
        <w:tc>
          <w:tcPr>
            <w:tcW w:w="3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70,725</w:t>
            </w:r>
          </w:p>
        </w:tc>
      </w:tr>
      <w:tr>
        <w:trPr>
          <w:trHeight w:val="40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Property and equipment was as follows at December 31, 2025 and 2024:</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3"/>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24"/>
                <w:szCs w:val="24"/>
                <w:color w:val="auto"/>
              </w:rPr>
            </w:pPr>
          </w:p>
        </w:tc>
        <w:tc>
          <w:tcPr>
            <w:tcW w:w="7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4"/>
        </w:trPr>
        <w:tc>
          <w:tcPr>
            <w:tcW w:w="1020" w:type="dxa"/>
            <w:vAlign w:val="bottom"/>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r>
      <w:tr>
        <w:trPr>
          <w:trHeight w:val="157"/>
        </w:trPr>
        <w:tc>
          <w:tcPr>
            <w:tcW w:w="1020" w:type="dxa"/>
            <w:vAlign w:val="bottom"/>
          </w:tcPr>
          <w:p>
            <w:pPr>
              <w:spacing w:after="0"/>
              <w:rPr>
                <w:sz w:val="13"/>
                <w:szCs w:val="13"/>
                <w:color w:val="auto"/>
              </w:rPr>
            </w:pPr>
          </w:p>
        </w:tc>
        <w:tc>
          <w:tcPr>
            <w:tcW w:w="30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Furniture</w:t>
            </w: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8"/>
              </w:rPr>
              <w:t>15,857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4,985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7"/>
        </w:trPr>
        <w:tc>
          <w:tcPr>
            <w:tcW w:w="10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28,215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8"/>
              </w:rPr>
              <w:t>44,072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4,985</w:t>
            </w:r>
          </w:p>
        </w:tc>
        <w:tc>
          <w:tcPr>
            <w:tcW w:w="40" w:type="dxa"/>
            <w:vAlign w:val="bottom"/>
            <w:shd w:val="clear" w:color="auto" w:fill="CCEEFF"/>
          </w:tcPr>
          <w:p>
            <w:pPr>
              <w:spacing w:after="0"/>
              <w:rPr>
                <w:sz w:val="14"/>
                <w:szCs w:val="14"/>
                <w:color w:val="auto"/>
              </w:rPr>
            </w:pPr>
          </w:p>
        </w:tc>
      </w:tr>
      <w:tr>
        <w:trPr>
          <w:trHeight w:val="167"/>
        </w:trPr>
        <w:tc>
          <w:tcPr>
            <w:tcW w:w="10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(6,708)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(297)</w:t>
            </w:r>
          </w:p>
        </w:tc>
      </w:tr>
      <w:tr>
        <w:trPr>
          <w:trHeight w:val="167"/>
        </w:trPr>
        <w:tc>
          <w:tcPr>
            <w:tcW w:w="1020" w:type="dxa"/>
            <w:vAlign w:val="bottom"/>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8"/>
              </w:rPr>
              <w:t>37,364</w:t>
            </w:r>
          </w:p>
        </w:tc>
        <w:tc>
          <w:tcPr>
            <w:tcW w:w="2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4,688</w:t>
            </w:r>
          </w:p>
        </w:tc>
        <w:tc>
          <w:tcPr>
            <w:tcW w:w="40" w:type="dxa"/>
            <w:vAlign w:val="bottom"/>
            <w:shd w:val="clear" w:color="auto" w:fill="CCEEFF"/>
          </w:tcPr>
          <w:p>
            <w:pPr>
              <w:spacing w:after="0"/>
              <w:rPr>
                <w:sz w:val="14"/>
                <w:szCs w:val="14"/>
                <w:color w:val="auto"/>
              </w:rPr>
            </w:pPr>
          </w:p>
        </w:tc>
      </w:tr>
      <w:tr>
        <w:trPr>
          <w:trHeight w:val="282"/>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00" w:type="dxa"/>
            <w:vAlign w:val="bottom"/>
            <w:gridSpan w:val="2"/>
          </w:tcPr>
          <w:p>
            <w:pPr>
              <w:jc w:val="right"/>
              <w:ind w:right="1126"/>
              <w:spacing w:after="0"/>
              <w:rPr>
                <w:sz w:val="20"/>
                <w:szCs w:val="20"/>
                <w:color w:val="auto"/>
              </w:rPr>
            </w:pPr>
            <w:r>
              <w:rPr>
                <w:rFonts w:ascii="Times New Roman" w:cs="Times New Roman" w:eastAsia="Times New Roman" w:hAnsi="Times New Roman"/>
                <w:sz w:val="14"/>
                <w:szCs w:val="14"/>
                <w:color w:val="auto"/>
              </w:rPr>
              <w:t>F-49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405"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79" w:lineRule="auto"/>
        <w:rPr>
          <w:sz w:val="20"/>
          <w:szCs w:val="20"/>
          <w:color w:val="auto"/>
        </w:rPr>
      </w:pPr>
      <w:r>
        <w:rPr>
          <w:rFonts w:ascii="Times New Roman" w:cs="Times New Roman" w:eastAsia="Times New Roman" w:hAnsi="Times New Roman"/>
          <w:sz w:val="14"/>
          <w:szCs w:val="14"/>
          <w:color w:val="auto"/>
        </w:rPr>
        <w:t>Depreciation expense for the year ended December 31, 2025 and the period from July 8, 2024 (inception) to December 31, 2024 was $6,411 and $297, respectively.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5. SIMPLE AGREEMENTS FOR FUTURE EQUITY (SAFEs)</w:t>
      </w:r>
    </w:p>
    <w:p>
      <w:pPr>
        <w:spacing w:after="0" w:line="91"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During the year ended December 31, 2025 and the period from July 8, 2024 (inception) to December 31, 2024,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w:t>
      </w:r>
    </w:p>
    <w:p>
      <w:pPr>
        <w:spacing w:after="0" w:line="145" w:lineRule="exact"/>
        <w:rPr>
          <w:sz w:val="20"/>
          <w:szCs w:val="20"/>
          <w:color w:val="auto"/>
        </w:rPr>
      </w:pPr>
    </w:p>
    <w:p>
      <w:pPr>
        <w:ind w:left="1400" w:right="299"/>
        <w:spacing w:after="0" w:line="256" w:lineRule="auto"/>
        <w:rPr>
          <w:sz w:val="20"/>
          <w:szCs w:val="20"/>
          <w:color w:val="auto"/>
        </w:rPr>
      </w:pPr>
      <w:r>
        <w:rPr>
          <w:rFonts w:ascii="Times New Roman" w:cs="Times New Roman" w:eastAsia="Times New Roman" w:hAnsi="Times New Roman"/>
          <w:sz w:val="14"/>
          <w:szCs w:val="14"/>
          <w:color w:val="auto"/>
        </w:rPr>
        <w:t>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w:t>
      </w:r>
    </w:p>
    <w:p>
      <w:pPr>
        <w:spacing w:after="0" w:line="140"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 xml:space="preserve">The Company determined that the SAFEs should be accounted for at fair value as a liability under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fair value of the SAFEs issued during the year was determined based on the following significant unobservable inputs:</w:t>
      </w:r>
    </w:p>
    <w:p>
      <w:pPr>
        <w:spacing w:after="0" w:line="208" w:lineRule="exact"/>
        <w:rPr>
          <w:sz w:val="20"/>
          <w:szCs w:val="20"/>
          <w:color w:val="auto"/>
        </w:rPr>
      </w:pPr>
    </w:p>
    <w:tbl>
      <w:tblPr>
        <w:tblLayout w:type="fixed"/>
        <w:tblInd w:w="2760" w:type="dxa"/>
        <w:tblCellMar>
          <w:top w:w="0" w:type="dxa"/>
          <w:left w:w="0" w:type="dxa"/>
          <w:bottom w:w="0" w:type="dxa"/>
          <w:right w:w="0" w:type="dxa"/>
        </w:tblCellMar>
      </w:tblPr>
      <w:tr>
        <w:trPr>
          <w:trHeight w:val="16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scenario</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- 20%</w:t>
            </w:r>
          </w:p>
        </w:tc>
      </w:tr>
      <w:tr>
        <w:trPr>
          <w:trHeight w:val="167"/>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Liquidity event scenario</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- 90.0%</w:t>
            </w:r>
          </w:p>
        </w:tc>
      </w:tr>
      <w:tr>
        <w:trPr>
          <w:trHeight w:val="16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term to projected financing date (in years)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0.41 - 0.50</w:t>
            </w:r>
          </w:p>
        </w:tc>
      </w:tr>
      <w:tr>
        <w:trPr>
          <w:trHeight w:val="167"/>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Project term to projected liquidity event date (in years)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0.16 - 0.34</w:t>
            </w:r>
          </w:p>
        </w:tc>
      </w:tr>
      <w:tr>
        <w:trPr>
          <w:trHeight w:val="16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 - 45.0%</w:t>
            </w:r>
          </w:p>
        </w:tc>
      </w:tr>
      <w:tr>
        <w:trPr>
          <w:trHeight w:val="167"/>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Risk-free rate (continuous)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- 3.9%</w:t>
            </w:r>
          </w:p>
        </w:tc>
      </w:tr>
      <w:tr>
        <w:trPr>
          <w:trHeight w:val="16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 - 104.0%</w:t>
            </w:r>
          </w:p>
        </w:tc>
      </w:tr>
    </w:tbl>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The following table presents a reconciliation of the liabilities, measured at fair value on a recurring basis using significant unobservable inputs (Level 3)</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during the year ended December 31, 2025:</w:t>
      </w:r>
    </w:p>
    <w:p>
      <w:pPr>
        <w:spacing w:after="0" w:line="193" w:lineRule="exact"/>
        <w:rPr>
          <w:sz w:val="20"/>
          <w:szCs w:val="20"/>
          <w:color w:val="auto"/>
        </w:rPr>
      </w:pPr>
    </w:p>
    <w:tbl>
      <w:tblPr>
        <w:tblLayout w:type="fixed"/>
        <w:tblInd w:w="2760" w:type="dxa"/>
        <w:tblCellMar>
          <w:top w:w="0" w:type="dxa"/>
          <w:left w:w="0" w:type="dxa"/>
          <w:bottom w:w="0" w:type="dxa"/>
          <w:right w:w="0" w:type="dxa"/>
        </w:tblCellMar>
      </w:tblPr>
      <w:tr>
        <w:trPr>
          <w:trHeight w:val="16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566,404</w:t>
            </w:r>
          </w:p>
        </w:tc>
      </w:tr>
      <w:tr>
        <w:trPr>
          <w:trHeight w:val="167"/>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SAFEs issued during the year</w:t>
            </w:r>
          </w:p>
        </w:tc>
        <w:tc>
          <w:tcPr>
            <w:tcW w:w="16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6,470,500</w:t>
            </w:r>
          </w:p>
        </w:tc>
      </w:tr>
      <w:tr>
        <w:trPr>
          <w:trHeight w:val="16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year</w:t>
            </w:r>
          </w:p>
        </w:tc>
        <w:tc>
          <w:tcPr>
            <w:tcW w:w="16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39,321,489</w:t>
            </w:r>
          </w:p>
        </w:tc>
      </w:tr>
      <w:tr>
        <w:trPr>
          <w:trHeight w:val="182"/>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46,358,393</w:t>
            </w:r>
          </w:p>
        </w:tc>
      </w:tr>
    </w:tbl>
    <w:p>
      <w:pPr>
        <w:spacing w:after="0" w:line="137"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color w:val="auto"/>
        </w:rPr>
        <w:t>As of December 31, 2025 and 2024, the estimated fair value of the SAFEs was $46,358,393 and $566,404, respectively. The change in fair value during the year ended December 31, 2025 reflected in the above table, is included in other loss in the accompanying statements of operations and comprehensive loss.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404"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6. LEASES</w:t>
      </w:r>
    </w:p>
    <w:p>
      <w:pPr>
        <w:spacing w:after="0" w:line="91" w:lineRule="exact"/>
        <w:rPr>
          <w:sz w:val="20"/>
          <w:szCs w:val="20"/>
          <w:color w:val="auto"/>
        </w:rPr>
      </w:pPr>
    </w:p>
    <w:p>
      <w:pPr>
        <w:ind w:left="1400" w:right="379"/>
        <w:spacing w:after="0" w:line="279" w:lineRule="auto"/>
        <w:rPr>
          <w:sz w:val="20"/>
          <w:szCs w:val="20"/>
          <w:color w:val="auto"/>
        </w:rPr>
      </w:pPr>
      <w:r>
        <w:rPr>
          <w:rFonts w:ascii="Times New Roman" w:cs="Times New Roman" w:eastAsia="Times New Roman" w:hAnsi="Times New Roman"/>
          <w:sz w:val="14"/>
          <w:szCs w:val="14"/>
          <w:color w:val="auto"/>
        </w:rPr>
        <w:t>The Company has an operating lease for a vehicle entered into in February 2025 and expires in January 2028. Under the terms of the lease, base rent is $1,058 per month. There is no renewal options associated with the lease.</w:t>
      </w:r>
    </w:p>
    <w:p>
      <w:pPr>
        <w:spacing w:after="0" w:line="126"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4"/>
          <w:szCs w:val="14"/>
          <w:color w:val="auto"/>
        </w:rPr>
        <w:t>The Company has an operating lease for office space in Redwood City, California which was entered into in June 2025 and expires in June 2026. Under the terms of the lease, base rent is $6,006 per month. There is no renewal options associated with the lease.</w:t>
      </w:r>
    </w:p>
    <w:p>
      <w:pPr>
        <w:spacing w:after="0" w:line="126" w:lineRule="exact"/>
        <w:rPr>
          <w:sz w:val="20"/>
          <w:szCs w:val="20"/>
          <w:color w:val="auto"/>
        </w:rPr>
      </w:pPr>
    </w:p>
    <w:p>
      <w:pPr>
        <w:jc w:val="both"/>
        <w:ind w:left="1400" w:right="359"/>
        <w:spacing w:after="0" w:line="259" w:lineRule="auto"/>
        <w:rPr>
          <w:sz w:val="20"/>
          <w:szCs w:val="20"/>
          <w:color w:val="auto"/>
        </w:rPr>
      </w:pPr>
      <w:r>
        <w:rPr>
          <w:rFonts w:ascii="Times New Roman" w:cs="Times New Roman" w:eastAsia="Times New Roman" w:hAnsi="Times New Roman"/>
          <w:sz w:val="14"/>
          <w:szCs w:val="14"/>
          <w:color w:val="auto"/>
        </w:rPr>
        <w:t>Operating lease costs for the year ended December 31, 2025 was $62,441. Cash payments included in the measurement of operating lease liabilities for the year ended December 31, 2025 was $93,819. There were no operating lease costs or cash payments included in the measurement of operation lease liabilities in the period from July 8, 2024 (inception) to December 31, 2024. The weighted-average remaining lease term as of December 31, 2025 was 1.16 years. The weighted-average discount rate during the year ended December 31, 2025 was 20.42%.</w:t>
      </w:r>
    </w:p>
    <w:p>
      <w:pPr>
        <w:spacing w:after="0" w:line="139" w:lineRule="exact"/>
        <w:rPr>
          <w:sz w:val="20"/>
          <w:szCs w:val="20"/>
          <w:color w:val="auto"/>
        </w:rPr>
      </w:pPr>
    </w:p>
    <w:p>
      <w:pPr>
        <w:ind w:left="1400" w:right="519"/>
        <w:spacing w:after="0" w:line="279" w:lineRule="auto"/>
        <w:rPr>
          <w:sz w:val="20"/>
          <w:szCs w:val="20"/>
          <w:color w:val="auto"/>
        </w:rPr>
      </w:pPr>
      <w:r>
        <w:rPr>
          <w:rFonts w:ascii="Times New Roman" w:cs="Times New Roman" w:eastAsia="Times New Roman" w:hAnsi="Times New Roman"/>
          <w:sz w:val="14"/>
          <w:szCs w:val="14"/>
          <w:color w:val="auto"/>
        </w:rPr>
        <w:t>The Company utilizes the rate implicit in the lease or the estimated incremental borrowing rate at the commencement of the lease in determining the present value of future payments.</w:t>
      </w:r>
    </w:p>
    <w:p>
      <w:pPr>
        <w:spacing w:after="0" w:line="126"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color w:val="auto"/>
        </w:rPr>
        <w:t>Variable lease expense includes rental increases that are not fixed, such as those based on amounts paid to the lessor based on cost or consumption, such as maintenance and utilities. Operating lease costs are included in general and administrative expenses in the statements of operations and comprehensive loss.</w:t>
      </w:r>
    </w:p>
    <w:p>
      <w:pPr>
        <w:spacing w:after="0" w:line="136" w:lineRule="exact"/>
        <w:rPr>
          <w:sz w:val="20"/>
          <w:szCs w:val="20"/>
          <w:color w:val="auto"/>
        </w:rPr>
      </w:pPr>
    </w:p>
    <w:tbl>
      <w:tblPr>
        <w:tblLayout w:type="fixed"/>
        <w:tblInd w:w="1400" w:type="dxa"/>
        <w:tblCellMar>
          <w:top w:w="0" w:type="dxa"/>
          <w:left w:w="0" w:type="dxa"/>
          <w:bottom w:w="0" w:type="dxa"/>
          <w:right w:w="0" w:type="dxa"/>
        </w:tblCellMar>
      </w:tblPr>
      <w:tr>
        <w:trPr>
          <w:trHeight w:val="182"/>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Maturities of the operating lease liabilities are summarized as follows as of December 31, 2025:</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6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60" w:type="dxa"/>
            <w:vAlign w:val="bottom"/>
            <w:vMerge w:val="continue"/>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$42,724</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12,694</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Minimum lease payments</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56,970</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$50,230</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$37,731</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12,499</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4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$50,230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400" w:right="6799" w:hanging="10"/>
        <w:spacing w:after="0" w:line="374" w:lineRule="auto"/>
        <w:tabs>
          <w:tab w:leader="none" w:pos="1539"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DEFICIT Common Stock</w:t>
      </w:r>
    </w:p>
    <w:p>
      <w:pPr>
        <w:spacing w:after="0" w:line="1" w:lineRule="exact"/>
        <w:rPr>
          <w:sz w:val="20"/>
          <w:szCs w:val="20"/>
          <w:color w:val="auto"/>
        </w:rPr>
      </w:pPr>
    </w:p>
    <w:p>
      <w:pPr>
        <w:ind w:left="1400" w:right="419"/>
        <w:spacing w:after="0" w:line="259" w:lineRule="auto"/>
        <w:rPr>
          <w:sz w:val="20"/>
          <w:szCs w:val="20"/>
          <w:color w:val="auto"/>
        </w:rPr>
      </w:pPr>
      <w:r>
        <w:rPr>
          <w:rFonts w:ascii="Times New Roman" w:cs="Times New Roman" w:eastAsia="Times New Roman" w:hAnsi="Times New Roman"/>
          <w:sz w:val="14"/>
          <w:szCs w:val="14"/>
          <w:color w:val="auto"/>
        </w:rPr>
        <w:t>Pursuant to the certificate of incorporation dated October 30, 2024, the Company was authorized to issue 2,000,000 shares of common stock par value of $0.0001 per share. The holders of common stock have one vote for each share of common stock held of record by such holder as of the applicable record date. The Company’s founder contributed $250 upon the formation of Hadron Energy, LLC on July 8, 2024. On October 30, 2024, 900,000 shares of common stock were issued to the Company’s founder in exchange for his sole member interest in Hadron Energy, LLC.</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 Based Compensation</w:t>
      </w:r>
    </w:p>
    <w:p>
      <w:pPr>
        <w:spacing w:after="0" w:line="91" w:lineRule="exact"/>
        <w:rPr>
          <w:sz w:val="20"/>
          <w:szCs w:val="20"/>
          <w:color w:val="auto"/>
        </w:rPr>
      </w:pPr>
    </w:p>
    <w:p>
      <w:pPr>
        <w:ind w:left="1400" w:right="259"/>
        <w:spacing w:after="0" w:line="259" w:lineRule="auto"/>
        <w:rPr>
          <w:sz w:val="20"/>
          <w:szCs w:val="20"/>
          <w:color w:val="auto"/>
        </w:rPr>
      </w:pPr>
      <w:r>
        <w:rPr>
          <w:rFonts w:ascii="Times New Roman" w:cs="Times New Roman" w:eastAsia="Times New Roman" w:hAnsi="Times New Roman"/>
          <w:sz w:val="14"/>
          <w:szCs w:val="14"/>
          <w:color w:val="auto"/>
        </w:rPr>
        <w:t>On October 30, 2024, the Company adopted the Hadron Energy, Inc. 2024 Equity Incentive Plan (the “Plan”) whereby employees, officers, directors and consultants of the Company and its affiliates and others performing services to the Company may be given an opportunity to acquire up to 100,000 shares of common stock in the form of options and restricted stock purchase agreements (“RSPAs”). The exercise price, vesting and expiry date is determined for each grant by the Company’s Board of Directors.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10159"/>
          </w:cols>
          <w:pgMar w:left="300" w:top="404"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419"/>
        <w:spacing w:after="0" w:line="264" w:lineRule="auto"/>
        <w:rPr>
          <w:sz w:val="20"/>
          <w:szCs w:val="20"/>
          <w:color w:val="auto"/>
        </w:rPr>
      </w:pPr>
      <w:r>
        <w:rPr>
          <w:rFonts w:ascii="Times New Roman" w:cs="Times New Roman" w:eastAsia="Times New Roman" w:hAnsi="Times New Roman"/>
          <w:sz w:val="14"/>
          <w:szCs w:val="14"/>
          <w:color w:val="auto"/>
        </w:rPr>
        <w:t>On December 22, 2025, the Board of Directors approved an amendment to the Plan to increase the number of shares authorized for issuance under the Plan. The maximum aggregate number of shares of common stock that the Company may award under the Plan is 160,000. The term of the Plan is 10 years.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Purchase Awards</w:t>
      </w:r>
    </w:p>
    <w:p>
      <w:pPr>
        <w:spacing w:after="0" w:line="91" w:lineRule="exact"/>
        <w:rPr>
          <w:sz w:val="20"/>
          <w:szCs w:val="20"/>
          <w:color w:val="auto"/>
        </w:rPr>
      </w:pPr>
    </w:p>
    <w:p>
      <w:pPr>
        <w:ind w:left="1400" w:right="519"/>
        <w:spacing w:after="0" w:line="254" w:lineRule="auto"/>
        <w:rPr>
          <w:sz w:val="20"/>
          <w:szCs w:val="20"/>
          <w:color w:val="auto"/>
        </w:rPr>
      </w:pPr>
      <w:r>
        <w:rPr>
          <w:rFonts w:ascii="Times New Roman" w:cs="Times New Roman" w:eastAsia="Times New Roman" w:hAnsi="Times New Roman"/>
          <w:sz w:val="14"/>
          <w:szCs w:val="14"/>
          <w:color w:val="auto"/>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in accordance with ASC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This total compensation cost is then amortized to expense over the grantee’s vesting period. As no observable market price per share is available for the Company’s common stock, the Company uses a reasonable valuation method to estimate the current fair value per share of its common stock.</w:t>
      </w:r>
    </w:p>
    <w:p>
      <w:pPr>
        <w:spacing w:after="0" w:line="145"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On December 31, 2025, the Company canceled 33,500 shares of previously issued and unvested RSPAs to certain individuals and did not issue any replacement awards. For RSPAs that had vested as of that date, those shares continue to be considered outstanding as of their respective vesting date. For RSPAs canceled without the concurrent grant or offer of a replacement award or other valuation consideration, the cancellation was accounted for as a settlement for no consideration. Accordingly, previously unrecognized compensation cost of $10,834,542 was recognized upon cancellation and included in stock-based compensation in the statements of operations and comprehensive loss for the year ended December 31, 2025.</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following table summarizes the RSPAs activity during the year ended December 31, 2025:</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4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gridSpan w:val="3"/>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9"/>
                <w:szCs w:val="9"/>
                <w:color w:val="auto"/>
              </w:rPr>
            </w:pPr>
          </w:p>
        </w:tc>
        <w:tc>
          <w:tcPr>
            <w:tcW w:w="10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0" w:type="dxa"/>
            <w:vAlign w:val="bottom"/>
            <w:gridSpan w:val="3"/>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7"/>
        </w:trPr>
        <w:tc>
          <w:tcPr>
            <w:tcW w:w="4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Unvested at December 31, 2024</w:t>
            </w:r>
          </w:p>
        </w:tc>
        <w:tc>
          <w:tcPr>
            <w:tcW w:w="5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2,396</w:t>
            </w: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29.14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173,500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403.23</w:t>
            </w:r>
          </w:p>
        </w:tc>
        <w:tc>
          <w:tcPr>
            <w:tcW w:w="0" w:type="dxa"/>
            <w:vAlign w:val="bottom"/>
          </w:tcPr>
          <w:p>
            <w:pPr>
              <w:spacing w:after="0"/>
              <w:rPr>
                <w:sz w:val="1"/>
                <w:szCs w:val="1"/>
                <w:color w:val="auto"/>
              </w:rPr>
            </w:pPr>
          </w:p>
        </w:tc>
      </w:tr>
      <w:tr>
        <w:trPr>
          <w:trHeight w:val="16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485.33</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Cancelled</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(33,500)</w:t>
            </w: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332.53</w:t>
            </w:r>
          </w:p>
        </w:tc>
        <w:tc>
          <w:tcPr>
            <w:tcW w:w="0" w:type="dxa"/>
            <w:vAlign w:val="bottom"/>
          </w:tcPr>
          <w:p>
            <w:pPr>
              <w:spacing w:after="0"/>
              <w:rPr>
                <w:sz w:val="1"/>
                <w:szCs w:val="1"/>
                <w:color w:val="auto"/>
              </w:rPr>
            </w:pPr>
          </w:p>
        </w:tc>
      </w:tr>
      <w:tr>
        <w:trPr>
          <w:trHeight w:val="16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(21,250)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21,146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460.61</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As of December 31, 2025, total unrecognized compensation cost related to RSPAs was $8,931,104, which is expected to be recognized over a weighted average period of 3.7 years. The weighted average grant date fair values per share of RSPAs granted during the period from January 1, 2025 to December 31, 2025 was $403.23 per share. The weighted average grant date fair values of RSPAs that vested during the period from January 1, 2025 to December 31, 2025 was $29.05 per share.</w:t>
      </w:r>
    </w:p>
    <w:p>
      <w:pPr>
        <w:spacing w:after="0" w:line="139" w:lineRule="exact"/>
        <w:rPr>
          <w:sz w:val="20"/>
          <w:szCs w:val="20"/>
          <w:color w:val="auto"/>
        </w:rPr>
      </w:pPr>
    </w:p>
    <w:p>
      <w:pPr>
        <w:jc w:val="both"/>
        <w:ind w:left="1400" w:right="399"/>
        <w:spacing w:after="0" w:line="264" w:lineRule="auto"/>
        <w:rPr>
          <w:sz w:val="20"/>
          <w:szCs w:val="20"/>
          <w:color w:val="auto"/>
        </w:rPr>
      </w:pPr>
      <w:r>
        <w:rPr>
          <w:rFonts w:ascii="Times New Roman" w:cs="Times New Roman" w:eastAsia="Times New Roman" w:hAnsi="Times New Roman"/>
          <w:sz w:val="14"/>
          <w:szCs w:val="14"/>
          <w:color w:val="auto"/>
        </w:rPr>
        <w:t>The Company recognized stock-based compensation of $12,565,721 for the year ended December 31, 2025, of which $10,049,570 related to research and development and $2,516,151 related to general and administrative. The Company recognized stock-based compensation expense of $2,755 for the period from July 8, 2024 (inception) to December 31, 2024, which related to general and administrative.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 stock options were granted during the year ended December 31, 2025 or the period from July 8, 2024 (inception) to December 31, 2024.</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405"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8. INCOME TAXES</w:t>
      </w:r>
    </w:p>
    <w:p>
      <w:pPr>
        <w:spacing w:after="0" w:line="91" w:lineRule="exact"/>
        <w:rPr>
          <w:sz w:val="20"/>
          <w:szCs w:val="20"/>
          <w:color w:val="auto"/>
        </w:rPr>
      </w:pPr>
    </w:p>
    <w:p>
      <w:pPr>
        <w:ind w:left="1400" w:right="499"/>
        <w:spacing w:after="0" w:line="279" w:lineRule="auto"/>
        <w:rPr>
          <w:sz w:val="20"/>
          <w:szCs w:val="20"/>
          <w:color w:val="auto"/>
        </w:rPr>
      </w:pPr>
      <w:r>
        <w:rPr>
          <w:rFonts w:ascii="Times New Roman" w:cs="Times New Roman" w:eastAsia="Times New Roman" w:hAnsi="Times New Roman"/>
          <w:sz w:val="14"/>
          <w:szCs w:val="14"/>
          <w:color w:val="auto"/>
        </w:rPr>
        <w:t>The Company’s loss before income taxes for the year ended December 31, 2025 and period from July 8, 2024 (inception) to December 31, 2024 was $71,774,579 and $593,556, respectively.</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provision for income taxes consisted of the following:</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9"/>
                <w:szCs w:val="9"/>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80" w:type="dxa"/>
            <w:vAlign w:val="bottom"/>
          </w:tcPr>
          <w:p>
            <w:pPr>
              <w:spacing w:after="0"/>
              <w:rPr>
                <w:sz w:val="9"/>
                <w:szCs w:val="9"/>
                <w:color w:val="auto"/>
              </w:rPr>
            </w:pPr>
          </w:p>
        </w:tc>
        <w:tc>
          <w:tcPr>
            <w:tcW w:w="740" w:type="dxa"/>
            <w:vAlign w:val="bottom"/>
            <w:gridSpan w:val="3"/>
          </w:tcPr>
          <w:p>
            <w:pPr>
              <w:jc w:val="right"/>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July 8, 2024</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(inception) to</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9"/>
                <w:szCs w:val="9"/>
                <w:color w:val="auto"/>
              </w:rPr>
            </w:pPr>
          </w:p>
        </w:tc>
        <w:tc>
          <w:tcPr>
            <w:tcW w:w="110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380" w:type="dxa"/>
            <w:vAlign w:val="bottom"/>
          </w:tcPr>
          <w:p>
            <w:pPr>
              <w:spacing w:after="0"/>
              <w:rPr>
                <w:sz w:val="9"/>
                <w:szCs w:val="9"/>
                <w:color w:val="auto"/>
              </w:rPr>
            </w:pPr>
          </w:p>
        </w:tc>
        <w:tc>
          <w:tcPr>
            <w:tcW w:w="7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4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Current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current provision</w:t>
            </w:r>
          </w:p>
        </w:tc>
        <w:tc>
          <w:tcPr>
            <w:tcW w:w="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4,260,400</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28,475</w:t>
            </w:r>
          </w:p>
        </w:tc>
        <w:tc>
          <w:tcPr>
            <w:tcW w:w="0" w:type="dxa"/>
            <w:vAlign w:val="bottom"/>
          </w:tcPr>
          <w:p>
            <w:pPr>
              <w:spacing w:after="0"/>
              <w:rPr>
                <w:sz w:val="1"/>
                <w:szCs w:val="1"/>
                <w:color w:val="auto"/>
              </w:rPr>
            </w:pPr>
          </w:p>
        </w:tc>
      </w:tr>
      <w:tr>
        <w:trPr>
          <w:trHeight w:val="167"/>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1,416,298</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9,265</w:t>
            </w:r>
          </w:p>
        </w:tc>
        <w:tc>
          <w:tcPr>
            <w:tcW w:w="0" w:type="dxa"/>
            <w:vAlign w:val="bottom"/>
          </w:tcPr>
          <w:p>
            <w:pPr>
              <w:spacing w:after="0"/>
              <w:rPr>
                <w:sz w:val="1"/>
                <w:szCs w:val="1"/>
                <w:color w:val="auto"/>
              </w:rPr>
            </w:pPr>
          </w:p>
        </w:tc>
      </w:tr>
      <w:tr>
        <w:trPr>
          <w:trHeight w:val="167"/>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4"/>
              </w:rPr>
              <w:t>(5,676,698)</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(37,740)</w:t>
            </w:r>
          </w:p>
        </w:tc>
        <w:tc>
          <w:tcPr>
            <w:tcW w:w="0" w:type="dxa"/>
            <w:vAlign w:val="bottom"/>
          </w:tcPr>
          <w:p>
            <w:pPr>
              <w:spacing w:after="0"/>
              <w:rPr>
                <w:sz w:val="1"/>
                <w:szCs w:val="1"/>
                <w:color w:val="auto"/>
              </w:rPr>
            </w:pPr>
          </w:p>
        </w:tc>
      </w:tr>
      <w:tr>
        <w:trPr>
          <w:trHeight w:val="167"/>
        </w:trPr>
        <w:tc>
          <w:tcPr>
            <w:tcW w:w="4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deferred provision</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42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400" w:right="699"/>
        <w:spacing w:after="0" w:line="279" w:lineRule="auto"/>
        <w:rPr>
          <w:sz w:val="20"/>
          <w:szCs w:val="20"/>
          <w:color w:val="auto"/>
        </w:rPr>
      </w:pPr>
      <w:r>
        <w:rPr>
          <w:rFonts w:ascii="Times New Roman" w:cs="Times New Roman" w:eastAsia="Times New Roman" w:hAnsi="Times New Roman"/>
          <w:sz w:val="14"/>
          <w:szCs w:val="14"/>
          <w:color w:val="auto"/>
        </w:rPr>
        <w:t>Deferred income tax reflects the tax effects of temporary differences between the carrying amounts of assets and liabilities for financial reporting purposes and the amounts used for income tax purposes.</w:t>
      </w:r>
    </w:p>
    <w:p>
      <w:pPr>
        <w:spacing w:after="0" w:line="124" w:lineRule="exact"/>
        <w:rPr>
          <w:sz w:val="20"/>
          <w:szCs w:val="20"/>
          <w:color w:val="auto"/>
        </w:rPr>
      </w:pPr>
    </w:p>
    <w:p>
      <w:pPr>
        <w:jc w:val="both"/>
        <w:ind w:left="1400" w:right="399"/>
        <w:spacing w:after="0" w:line="265" w:lineRule="auto"/>
        <w:rPr>
          <w:sz w:val="20"/>
          <w:szCs w:val="20"/>
          <w:color w:val="auto"/>
        </w:rPr>
      </w:pPr>
      <w:r>
        <w:rPr>
          <w:rFonts w:ascii="Times New Roman" w:cs="Times New Roman" w:eastAsia="Times New Roman" w:hAnsi="Times New Roman"/>
          <w:sz w:val="14"/>
          <w:szCs w:val="14"/>
          <w:color w:val="auto"/>
        </w:rPr>
        <w:t xml:space="preserve">The Company adopted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on a retrospective basis beginning with the year ended December 31, 2025. The following table presents required disclosure pursuant to ASU 2023-09 and reconciles the Company’s U.S. federal statutory tax amount and rate to its actual effective amount as follows:</w:t>
      </w:r>
    </w:p>
    <w:p>
      <w:pPr>
        <w:spacing w:after="0" w:line="141" w:lineRule="exact"/>
        <w:rPr>
          <w:sz w:val="20"/>
          <w:szCs w:val="20"/>
          <w:color w:val="auto"/>
        </w:rPr>
      </w:pPr>
    </w:p>
    <w:tbl>
      <w:tblPr>
        <w:tblLayout w:type="fixed"/>
        <w:tblInd w:w="1740" w:type="dxa"/>
        <w:tblCellMar>
          <w:top w:w="0" w:type="dxa"/>
          <w:left w:w="0" w:type="dxa"/>
          <w:bottom w:w="0" w:type="dxa"/>
          <w:right w:w="0" w:type="dxa"/>
        </w:tblCellMar>
      </w:tblPr>
      <w:tr>
        <w:trPr>
          <w:trHeight w:val="126"/>
        </w:trPr>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Pr>
          <w:p>
            <w:pPr>
              <w:spacing w:after="0"/>
              <w:rPr>
                <w:sz w:val="11"/>
                <w:szCs w:val="11"/>
                <w:color w:val="auto"/>
              </w:rPr>
            </w:pP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Period from July 8,</w:t>
            </w:r>
          </w:p>
        </w:tc>
        <w:tc>
          <w:tcPr>
            <w:tcW w:w="0" w:type="dxa"/>
            <w:vAlign w:val="bottom"/>
          </w:tcPr>
          <w:p>
            <w:pPr>
              <w:spacing w:after="0"/>
              <w:rPr>
                <w:sz w:val="1"/>
                <w:szCs w:val="1"/>
                <w:color w:val="auto"/>
              </w:rPr>
            </w:pPr>
          </w:p>
        </w:tc>
      </w:tr>
      <w:tr>
        <w:trPr>
          <w:trHeight w:val="115"/>
        </w:trPr>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20" w:type="dxa"/>
            <w:vAlign w:val="bottom"/>
            <w:gridSpan w:val="3"/>
          </w:tcPr>
          <w:p>
            <w:pPr>
              <w:jc w:val="right"/>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2024 (inception) to</w:t>
            </w:r>
          </w:p>
        </w:tc>
        <w:tc>
          <w:tcPr>
            <w:tcW w:w="0" w:type="dxa"/>
            <w:vAlign w:val="bottom"/>
          </w:tcPr>
          <w:p>
            <w:pPr>
              <w:spacing w:after="0"/>
              <w:rPr>
                <w:sz w:val="1"/>
                <w:szCs w:val="1"/>
                <w:color w:val="auto"/>
              </w:rPr>
            </w:pPr>
          </w:p>
        </w:tc>
      </w:tr>
      <w:tr>
        <w:trPr>
          <w:trHeight w:val="134"/>
        </w:trPr>
        <w:tc>
          <w:tcPr>
            <w:tcW w:w="44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4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Tax, computed at the federal statutory 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ind w:right="134"/>
              <w:spacing w:after="0" w:line="157" w:lineRule="exact"/>
              <w:rPr>
                <w:sz w:val="20"/>
                <w:szCs w:val="20"/>
                <w:color w:val="auto"/>
              </w:rPr>
            </w:pPr>
            <w:r>
              <w:rPr>
                <w:rFonts w:ascii="Times New Roman" w:cs="Times New Roman" w:eastAsia="Times New Roman" w:hAnsi="Times New Roman"/>
                <w:sz w:val="14"/>
                <w:szCs w:val="14"/>
                <w:color w:val="auto"/>
                <w:w w:val="96"/>
              </w:rPr>
              <w:t>(15,072,662)</w:t>
            </w:r>
          </w:p>
        </w:tc>
        <w:tc>
          <w:tcPr>
            <w:tcW w:w="880" w:type="dxa"/>
            <w:vAlign w:val="bottom"/>
            <w:gridSpan w:val="2"/>
            <w:shd w:val="clear" w:color="auto" w:fill="CCEEFF"/>
          </w:tcPr>
          <w:p>
            <w:pPr>
              <w:jc w:val="right"/>
              <w:ind w:right="300"/>
              <w:spacing w:after="0" w:line="157" w:lineRule="exact"/>
              <w:rPr>
                <w:sz w:val="20"/>
                <w:szCs w:val="20"/>
                <w:color w:val="auto"/>
              </w:rPr>
            </w:pPr>
            <w:r>
              <w:rPr>
                <w:rFonts w:ascii="Times New Roman" w:cs="Times New Roman" w:eastAsia="Times New Roman" w:hAnsi="Times New Roman"/>
                <w:sz w:val="14"/>
                <w:szCs w:val="14"/>
                <w:color w:val="auto"/>
              </w:rPr>
              <w:t>21.0%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115"/>
              <w:spacing w:after="0" w:line="157" w:lineRule="exact"/>
              <w:rPr>
                <w:sz w:val="20"/>
                <w:szCs w:val="20"/>
                <w:color w:val="auto"/>
              </w:rPr>
            </w:pPr>
            <w:r>
              <w:rPr>
                <w:rFonts w:ascii="Times New Roman" w:cs="Times New Roman" w:eastAsia="Times New Roman" w:hAnsi="Times New Roman"/>
                <w:sz w:val="14"/>
                <w:szCs w:val="14"/>
                <w:color w:val="auto"/>
                <w:w w:val="98"/>
              </w:rPr>
              <w:t>(124,647)</w:t>
            </w:r>
          </w:p>
        </w:tc>
        <w:tc>
          <w:tcPr>
            <w:tcW w:w="680" w:type="dxa"/>
            <w:vAlign w:val="bottom"/>
            <w:gridSpan w:val="2"/>
            <w:shd w:val="clear" w:color="auto" w:fill="CCEEFF"/>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Permanent benefit item - fair value adjustment of SAFEs</w:t>
            </w:r>
          </w:p>
        </w:tc>
        <w:tc>
          <w:tcPr>
            <w:tcW w:w="80" w:type="dxa"/>
            <w:vAlign w:val="bottom"/>
          </w:tcPr>
          <w:p>
            <w:pPr>
              <w:spacing w:after="0"/>
              <w:rPr>
                <w:sz w:val="14"/>
                <w:szCs w:val="14"/>
                <w:color w:val="auto"/>
              </w:rPr>
            </w:pP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8,257,513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(11.5%)</w:t>
            </w:r>
          </w:p>
        </w:tc>
        <w:tc>
          <w:tcPr>
            <w:tcW w:w="60" w:type="dxa"/>
            <w:vAlign w:val="bottom"/>
          </w:tcPr>
          <w:p>
            <w:pPr>
              <w:spacing w:after="0"/>
              <w:rPr>
                <w:sz w:val="14"/>
                <w:szCs w:val="14"/>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83,245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6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nondeductible items</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215,602</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color w:val="auto"/>
              </w:rPr>
              <w:t>1,595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Other items</w:t>
            </w:r>
          </w:p>
        </w:tc>
        <w:tc>
          <w:tcPr>
            <w:tcW w:w="80" w:type="dxa"/>
            <w:vAlign w:val="bottom"/>
          </w:tcPr>
          <w:p>
            <w:pPr>
              <w:spacing w:after="0"/>
              <w:rPr>
                <w:sz w:val="14"/>
                <w:szCs w:val="14"/>
                <w:color w:val="auto"/>
              </w:rPr>
            </w:pP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2,339,146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14"/>
                <w:szCs w:val="14"/>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2,067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6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4,260,401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color w:val="auto"/>
              </w:rPr>
              <w:t>37,740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400" w:right="1059"/>
        <w:spacing w:after="0" w:line="279" w:lineRule="auto"/>
        <w:rPr>
          <w:sz w:val="20"/>
          <w:szCs w:val="20"/>
          <w:color w:val="auto"/>
        </w:rPr>
      </w:pPr>
      <w:r>
        <w:rPr>
          <w:rFonts w:ascii="Times New Roman" w:cs="Times New Roman" w:eastAsia="Times New Roman" w:hAnsi="Times New Roman"/>
          <w:sz w:val="14"/>
          <w:szCs w:val="14"/>
          <w:color w:val="auto"/>
        </w:rPr>
        <w:t>The Company made no income tax payments for the years ended December 31, 2025 and the period from July 8, 2024 (inception) through December 31, 2024.</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0159"/>
          </w:cols>
          <w:pgMar w:left="300" w:top="405"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significant components of the Company’s deferred income tax assets were as follows:</w:t>
      </w:r>
    </w:p>
    <w:p>
      <w:pPr>
        <w:spacing w:after="0" w:line="177"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00" w:type="dxa"/>
            <w:vAlign w:val="bottom"/>
          </w:tcPr>
          <w:p>
            <w:pPr>
              <w:spacing w:after="0"/>
              <w:rPr>
                <w:sz w:val="9"/>
                <w:szCs w:val="9"/>
                <w:color w:val="auto"/>
              </w:rPr>
            </w:pPr>
          </w:p>
        </w:tc>
        <w:tc>
          <w:tcPr>
            <w:tcW w:w="74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July 8, 2024</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(inception) to</w:t>
            </w:r>
          </w:p>
        </w:tc>
        <w:tc>
          <w:tcPr>
            <w:tcW w:w="0" w:type="dxa"/>
            <w:vAlign w:val="bottom"/>
          </w:tcPr>
          <w:p>
            <w:pPr>
              <w:spacing w:after="0"/>
              <w:rPr>
                <w:sz w:val="1"/>
                <w:szCs w:val="1"/>
                <w:color w:val="auto"/>
              </w:rPr>
            </w:pPr>
          </w:p>
        </w:tc>
      </w:tr>
      <w:tr>
        <w:trPr>
          <w:trHeight w:val="115"/>
        </w:trPr>
        <w:tc>
          <w:tcPr>
            <w:tcW w:w="6620" w:type="dxa"/>
            <w:vAlign w:val="bottom"/>
          </w:tcPr>
          <w:p>
            <w:pPr>
              <w:spacing w:after="0"/>
              <w:rPr>
                <w:sz w:val="9"/>
                <w:szCs w:val="9"/>
                <w:color w:val="auto"/>
              </w:rPr>
            </w:pPr>
          </w:p>
        </w:tc>
        <w:tc>
          <w:tcPr>
            <w:tcW w:w="9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9"/>
                <w:szCs w:val="9"/>
                <w:color w:val="auto"/>
              </w:rPr>
            </w:pPr>
          </w:p>
        </w:tc>
        <w:tc>
          <w:tcPr>
            <w:tcW w:w="74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66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Deferred tax assets: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operating losses</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924,093</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36,969</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 based compensation</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226,224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lease liability</w:t>
            </w:r>
          </w:p>
        </w:tc>
        <w:tc>
          <w:tcPr>
            <w:tcW w:w="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14,056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Legal settlement accrual</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4,573,919</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5,738,301</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37,740</w:t>
            </w:r>
          </w:p>
        </w:tc>
        <w:tc>
          <w:tcPr>
            <w:tcW w:w="0" w:type="dxa"/>
            <w:vAlign w:val="bottom"/>
          </w:tcPr>
          <w:p>
            <w:pPr>
              <w:spacing w:after="0"/>
              <w:rPr>
                <w:sz w:val="1"/>
                <w:szCs w:val="1"/>
                <w:color w:val="auto"/>
              </w:rPr>
            </w:pPr>
          </w:p>
        </w:tc>
      </w:tr>
      <w:tr>
        <w:trPr>
          <w:trHeight w:val="167"/>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Less valuation allowance</w:t>
            </w:r>
          </w:p>
        </w:tc>
        <w:tc>
          <w:tcPr>
            <w:tcW w:w="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(5,714,438)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(37,740)</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23,863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Right-of-use assets</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(22,837)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(1,026)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(23,863)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The Company has evaluated the available positive and negative evidence supporting the realization of its gross deferred tax assets, including its cumulative losses, and the amount and timing of future taxable income, and has determined it is more likely than not that historical U.S. federal and state deferred tax assets will not be realized. Accordingly, the Company recorded a valuation allowance as of December 31, 2025 and 2024 against these deferred tax assets. The Company recorded a change in valuation allowance for the year ended December 31, 2025 and the period from July 8, 2024 (inception) to December 31, 2024 of $5,676,698 and $37,740, respectively.</w:t>
      </w:r>
    </w:p>
    <w:p>
      <w:pPr>
        <w:spacing w:after="0" w:line="142" w:lineRule="exact"/>
        <w:rPr>
          <w:sz w:val="20"/>
          <w:szCs w:val="20"/>
          <w:color w:val="auto"/>
        </w:rPr>
      </w:pPr>
    </w:p>
    <w:p>
      <w:pPr>
        <w:ind w:left="1400" w:right="459"/>
        <w:spacing w:after="0" w:line="256" w:lineRule="auto"/>
        <w:rPr>
          <w:sz w:val="20"/>
          <w:szCs w:val="20"/>
          <w:color w:val="auto"/>
        </w:rPr>
      </w:pPr>
      <w:r>
        <w:rPr>
          <w:rFonts w:ascii="Times New Roman" w:cs="Times New Roman" w:eastAsia="Times New Roman" w:hAnsi="Times New Roman"/>
          <w:sz w:val="14"/>
          <w:szCs w:val="14"/>
          <w:color w:val="auto"/>
        </w:rPr>
        <w:t>As of December 31, 2025 and 2024, the Company continues to provide a valuation allowance against federal and state deferred tax assets that are not expected to be realizable. The Company continues to evaluate the realizability of deferred tax assets and the related valuation allowance. If the Company’s assessment of the deferred tax assets or the corresponding valuation allowance were to change, the Company would record the related adjustment to income tax expense (benefit) during the period in which the determination is made. Accordingly, the U.S. net deferred tax assets have been fully reduced by the valuation allowance at December 31, 2025 and 2024.</w:t>
      </w:r>
    </w:p>
    <w:p>
      <w:pPr>
        <w:spacing w:after="0" w:line="142" w:lineRule="exact"/>
        <w:rPr>
          <w:sz w:val="20"/>
          <w:szCs w:val="20"/>
          <w:color w:val="auto"/>
        </w:rPr>
      </w:pPr>
    </w:p>
    <w:p>
      <w:pPr>
        <w:ind w:left="1400" w:right="259"/>
        <w:spacing w:after="0" w:line="264" w:lineRule="auto"/>
        <w:rPr>
          <w:sz w:val="20"/>
          <w:szCs w:val="20"/>
          <w:color w:val="auto"/>
        </w:rPr>
      </w:pPr>
      <w:r>
        <w:rPr>
          <w:rFonts w:ascii="Times New Roman" w:cs="Times New Roman" w:eastAsia="Times New Roman" w:hAnsi="Times New Roman"/>
          <w:sz w:val="14"/>
          <w:szCs w:val="14"/>
          <w:color w:val="auto"/>
        </w:rPr>
        <w:t>As of December 31, 2025 and 2024, the Company had federal net operating loss (“NOL”) carryforwards of approximately $3,302,204 and $132,897, respectively, which do not expire federal tax purposes. As of December 31, 2025 and 2024, the Company had state NOL carryforwards of approximately $3,302,447 and $129,966, respectively, which will begin to expire in 2044 for state tax purposes.</w:t>
      </w:r>
    </w:p>
    <w:p>
      <w:pPr>
        <w:spacing w:after="0" w:line="134" w:lineRule="exact"/>
        <w:rPr>
          <w:sz w:val="20"/>
          <w:szCs w:val="20"/>
          <w:color w:val="auto"/>
        </w:rPr>
      </w:pPr>
    </w:p>
    <w:p>
      <w:pPr>
        <w:ind w:left="1400" w:right="459"/>
        <w:spacing w:after="0" w:line="260" w:lineRule="auto"/>
        <w:rPr>
          <w:sz w:val="20"/>
          <w:szCs w:val="20"/>
          <w:color w:val="auto"/>
        </w:rPr>
      </w:pPr>
      <w:r>
        <w:rPr>
          <w:rFonts w:ascii="Times New Roman" w:cs="Times New Roman" w:eastAsia="Times New Roman" w:hAnsi="Times New Roman"/>
          <w:sz w:val="14"/>
          <w:szCs w:val="14"/>
          <w:color w:val="auto"/>
        </w:rPr>
        <w:t xml:space="preserve">ASC 740-10, </w:t>
      </w:r>
      <w:r>
        <w:rPr>
          <w:rFonts w:ascii="Times New Roman" w:cs="Times New Roman" w:eastAsia="Times New Roman" w:hAnsi="Times New Roman"/>
          <w:sz w:val="14"/>
          <w:szCs w:val="14"/>
          <w:i w:val="1"/>
          <w:iCs w:val="1"/>
          <w:color w:val="auto"/>
        </w:rPr>
        <w:t>Accounting for Uncertainty in Income Taxes</w:t>
      </w:r>
      <w:r>
        <w:rPr>
          <w:rFonts w:ascii="Times New Roman" w:cs="Times New Roman" w:eastAsia="Times New Roman" w:hAnsi="Times New Roman"/>
          <w:sz w:val="14"/>
          <w:szCs w:val="14"/>
          <w:color w:val="auto"/>
        </w:rPr>
        <w:t>, prescribes a comprehensive model for the recognition, measurement, presentation and disclosure in the financial statements for any uncertain tax positions that have been taken or expected to be taken on a tax return. As of December 31, 2025 and 2024, the Company had no unrecognized tax benefits. No amounts, outside of valuation allowance, would impact the effective tax rate on continuing operations.</w:t>
      </w:r>
    </w:p>
    <w:p>
      <w:pPr>
        <w:spacing w:after="0" w:line="138" w:lineRule="exact"/>
        <w:rPr>
          <w:sz w:val="20"/>
          <w:szCs w:val="20"/>
          <w:color w:val="auto"/>
        </w:rPr>
      </w:pPr>
    </w:p>
    <w:p>
      <w:pPr>
        <w:ind w:left="1400" w:right="339"/>
        <w:spacing w:after="0" w:line="279" w:lineRule="auto"/>
        <w:rPr>
          <w:sz w:val="20"/>
          <w:szCs w:val="20"/>
          <w:color w:val="auto"/>
        </w:rPr>
      </w:pPr>
      <w:r>
        <w:rPr>
          <w:rFonts w:ascii="Times New Roman" w:cs="Times New Roman" w:eastAsia="Times New Roman" w:hAnsi="Times New Roman"/>
          <w:sz w:val="14"/>
          <w:szCs w:val="14"/>
          <w:color w:val="auto"/>
        </w:rPr>
        <w:t>On July 4, 2025, the One Big Beautiful Bill (“OBBB”) was signed into law, making permanent several provisions of the Tax Cuts and Jobs Act of 2017 and introducing additional reforms to U.S. tax law. Although</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10159"/>
          </w:cols>
          <w:pgMar w:left="300" w:top="405"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2024. However, the legislation is expected to influence future tax planning, entity structuring, and investment decisions.</w:t>
      </w:r>
    </w:p>
    <w:p>
      <w:pPr>
        <w:spacing w:after="0" w:line="139" w:lineRule="exact"/>
        <w:rPr>
          <w:sz w:val="20"/>
          <w:szCs w:val="20"/>
          <w:color w:val="auto"/>
        </w:rPr>
      </w:pPr>
    </w:p>
    <w:p>
      <w:pPr>
        <w:ind w:left="1400" w:right="719"/>
        <w:spacing w:after="0" w:line="279" w:lineRule="auto"/>
        <w:rPr>
          <w:sz w:val="20"/>
          <w:szCs w:val="20"/>
          <w:color w:val="auto"/>
        </w:rPr>
      </w:pPr>
      <w:r>
        <w:rPr>
          <w:rFonts w:ascii="Times New Roman" w:cs="Times New Roman" w:eastAsia="Times New Roman" w:hAnsi="Times New Roman"/>
          <w:sz w:val="14"/>
          <w:szCs w:val="14"/>
          <w:color w:val="auto"/>
        </w:rPr>
        <w:t>All tax returns will remain open for examination by the federal and state taxing authorities for three and four years, respectively, from the date of utilization of any net operating loss carryforwards.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9. RELATED PARTY TRANSACTIONS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Due from stockholder</w:t>
      </w:r>
    </w:p>
    <w:p>
      <w:pPr>
        <w:spacing w:after="0" w:line="175" w:lineRule="exact"/>
        <w:rPr>
          <w:sz w:val="20"/>
          <w:szCs w:val="20"/>
          <w:color w:val="auto"/>
        </w:rPr>
      </w:pPr>
    </w:p>
    <w:p>
      <w:pPr>
        <w:ind w:left="1400" w:right="319"/>
        <w:spacing w:after="0" w:line="256" w:lineRule="auto"/>
        <w:rPr>
          <w:sz w:val="20"/>
          <w:szCs w:val="20"/>
          <w:color w:val="auto"/>
        </w:rPr>
      </w:pPr>
      <w:r>
        <w:rPr>
          <w:rFonts w:ascii="Times New Roman" w:cs="Times New Roman" w:eastAsia="Times New Roman" w:hAnsi="Times New Roman"/>
          <w:sz w:val="14"/>
          <w:szCs w:val="14"/>
          <w:color w:val="auto"/>
        </w:rPr>
        <w:t>As of December 31, 2025 and 2024, there was a due from stockholder of $0 and $24,614, respectively. These amounts consisted of cash advances made by the company to their primary stockholder and Chief Executive Officer for certain living and personal expenses. These advances were originally expected to be settled through cash repayments to the Company during 2026, however in December 2025, the Company revised its arrangement with respect to the advances and included the total advances to date in a discretionary compensation award to the stockholder. The discretionary award was approved by Management and all applicable payroll taxes were remitted to the applicable authorities.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Reimbursement of costs</w:t>
      </w:r>
    </w:p>
    <w:p>
      <w:pPr>
        <w:spacing w:after="0" w:line="91" w:lineRule="exact"/>
        <w:rPr>
          <w:sz w:val="20"/>
          <w:szCs w:val="20"/>
          <w:color w:val="auto"/>
        </w:rPr>
      </w:pPr>
    </w:p>
    <w:p>
      <w:pPr>
        <w:ind w:left="1400" w:right="459"/>
        <w:spacing w:after="0" w:line="259" w:lineRule="auto"/>
        <w:rPr>
          <w:sz w:val="20"/>
          <w:szCs w:val="20"/>
          <w:color w:val="auto"/>
        </w:rPr>
      </w:pPr>
      <w:r>
        <w:rPr>
          <w:rFonts w:ascii="Times New Roman" w:cs="Times New Roman" w:eastAsia="Times New Roman" w:hAnsi="Times New Roman"/>
          <w:sz w:val="14"/>
          <w:szCs w:val="14"/>
          <w:color w:val="auto"/>
        </w:rPr>
        <w:t>The Company has entered into SAFEs (Note 5) and RSPAs (Note 7) with certain individuals, who have also provided services to the Company. The Company incurred costs related to contract labor of $200,836 for the year ended December 31, 2025 and $15,000 for the period from July 8, 2024 (inception) to December 31, 2024 to these individuals, which is included in general and administrative and research and development expenses in the accompanying statements of operations and comprehensive loss.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91" w:lineRule="exact"/>
        <w:rPr>
          <w:sz w:val="20"/>
          <w:szCs w:val="20"/>
          <w:color w:val="auto"/>
        </w:rPr>
      </w:pPr>
    </w:p>
    <w:p>
      <w:pPr>
        <w:ind w:left="1400" w:right="419"/>
        <w:spacing w:after="0" w:line="256" w:lineRule="auto"/>
        <w:rPr>
          <w:sz w:val="20"/>
          <w:szCs w:val="20"/>
          <w:color w:val="auto"/>
        </w:rPr>
      </w:pPr>
      <w:r>
        <w:rPr>
          <w:rFonts w:ascii="Times New Roman" w:cs="Times New Roman" w:eastAsia="Times New Roman" w:hAnsi="Times New Roman"/>
          <w:sz w:val="14"/>
          <w:szCs w:val="14"/>
          <w:color w:val="auto"/>
        </w:rPr>
        <w:t>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w:t>
      </w:r>
    </w:p>
    <w:p>
      <w:pPr>
        <w:spacing w:after="0" w:line="142" w:lineRule="exact"/>
        <w:rPr>
          <w:sz w:val="20"/>
          <w:szCs w:val="20"/>
          <w:color w:val="auto"/>
        </w:rPr>
      </w:pPr>
    </w:p>
    <w:p>
      <w:pPr>
        <w:ind w:left="1400" w:right="359"/>
        <w:spacing w:after="0" w:line="259" w:lineRule="auto"/>
        <w:rPr>
          <w:sz w:val="20"/>
          <w:szCs w:val="20"/>
          <w:color w:val="auto"/>
        </w:rPr>
      </w:pPr>
      <w:r>
        <w:rPr>
          <w:rFonts w:ascii="Times New Roman" w:cs="Times New Roman" w:eastAsia="Times New Roman" w:hAnsi="Times New Roman"/>
          <w:sz w:val="14"/>
          <w:szCs w:val="14"/>
          <w:color w:val="auto"/>
        </w:rPr>
        <w:t>The Company is engaged in an ongoing legal matter with a former employee related to their departure in December 2025. The Company expects to incur a settlement cost of $16,345,000 to resolve the dispute, which was deemed probable and estimable, and has recognized this amount as an expense within general and administrative expenses on the statements of operations and comprehensive loss for the year ended December 31, 2025. The proposed settlement includes $100,000 of cash with the remaining amount to be settled in stock upon final resolution of the legal matter.</w:t>
      </w:r>
    </w:p>
    <w:p>
      <w:pPr>
        <w:spacing w:after="0" w:line="139" w:lineRule="exact"/>
        <w:rPr>
          <w:sz w:val="20"/>
          <w:szCs w:val="20"/>
          <w:color w:val="auto"/>
        </w:rPr>
      </w:pPr>
    </w:p>
    <w:p>
      <w:pPr>
        <w:ind w:left="1400" w:right="399"/>
        <w:spacing w:after="0" w:line="279" w:lineRule="auto"/>
        <w:rPr>
          <w:sz w:val="20"/>
          <w:szCs w:val="20"/>
          <w:color w:val="auto"/>
        </w:rPr>
      </w:pPr>
      <w:r>
        <w:rPr>
          <w:rFonts w:ascii="Times New Roman" w:cs="Times New Roman" w:eastAsia="Times New Roman" w:hAnsi="Times New Roman"/>
          <w:sz w:val="14"/>
          <w:szCs w:val="14"/>
          <w:color w:val="auto"/>
        </w:rPr>
        <w:t>Other than the above, management is not aware of any other legal proceedings or adverse outcome of which, in management’s opinion, individually or in the aggregate, could have a material adverse effect on the Company’s results of operations, financial position or cash flows.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11. SUBSEQUENT EVENTS</w:t>
      </w:r>
    </w:p>
    <w:p>
      <w:pPr>
        <w:spacing w:after="0" w:line="91" w:lineRule="exact"/>
        <w:rPr>
          <w:sz w:val="20"/>
          <w:szCs w:val="20"/>
          <w:color w:val="auto"/>
        </w:rPr>
      </w:pPr>
    </w:p>
    <w:p>
      <w:pPr>
        <w:ind w:left="1400" w:right="499"/>
        <w:spacing w:after="0" w:line="319" w:lineRule="auto"/>
        <w:rPr>
          <w:sz w:val="20"/>
          <w:szCs w:val="20"/>
          <w:color w:val="auto"/>
        </w:rPr>
      </w:pPr>
      <w:r>
        <w:rPr>
          <w:rFonts w:ascii="Times New Roman" w:cs="Times New Roman" w:eastAsia="Times New Roman" w:hAnsi="Times New Roman"/>
          <w:sz w:val="13"/>
          <w:szCs w:val="13"/>
          <w:color w:val="auto"/>
        </w:rPr>
        <w:t>The Company has evaluated all events or transactions that occurred after December 31, 2025 through March 11, 2026, which is the date that the financial statements were available to be issued. During this period, there were no material subsequent events requiring disclosure except as follows:</w:t>
      </w:r>
    </w:p>
    <w:p>
      <w:pPr>
        <w:spacing w:after="0" w:line="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Subsequent to December 31, 2025, the Company received gross proceeds associated with SAFE equity financings of $1,365,000.</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10159"/>
          </w:cols>
          <w:pgMar w:left="300" w:top="405"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BALANCE SHEETS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80" w:type="dxa"/>
            <w:vAlign w:val="bottom"/>
          </w:tcPr>
          <w:p>
            <w:pPr>
              <w:spacing w:after="0"/>
              <w:rPr>
                <w:sz w:val="11"/>
                <w:szCs w:val="1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65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2,129,451</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1,757,241</w:t>
            </w:r>
          </w:p>
        </w:tc>
        <w:tc>
          <w:tcPr>
            <w:tcW w:w="0" w:type="dxa"/>
            <w:vAlign w:val="bottom"/>
          </w:tcPr>
          <w:p>
            <w:pPr>
              <w:spacing w:after="0"/>
              <w:rPr>
                <w:sz w:val="1"/>
                <w:szCs w:val="1"/>
                <w:color w:val="auto"/>
              </w:rPr>
            </w:pPr>
          </w:p>
        </w:tc>
      </w:tr>
      <w:tr>
        <w:trPr>
          <w:trHeight w:val="168"/>
        </w:trPr>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81,134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333,403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2,210,585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2,090,644</w:t>
            </w:r>
          </w:p>
        </w:tc>
        <w:tc>
          <w:tcPr>
            <w:tcW w:w="0" w:type="dxa"/>
            <w:vAlign w:val="bottom"/>
          </w:tcPr>
          <w:p>
            <w:pPr>
              <w:spacing w:after="0"/>
              <w:rPr>
                <w:sz w:val="1"/>
                <w:szCs w:val="1"/>
                <w:color w:val="auto"/>
              </w:rPr>
            </w:pPr>
          </w:p>
        </w:tc>
      </w:tr>
      <w:tr>
        <w:trPr>
          <w:trHeight w:val="167"/>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37,364</w:t>
            </w: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60,611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81,607</w:t>
            </w:r>
          </w:p>
        </w:tc>
        <w:tc>
          <w:tcPr>
            <w:tcW w:w="0" w:type="dxa"/>
            <w:vAlign w:val="bottom"/>
          </w:tcPr>
          <w:p>
            <w:pPr>
              <w:spacing w:after="0"/>
              <w:rPr>
                <w:sz w:val="1"/>
                <w:szCs w:val="1"/>
                <w:color w:val="auto"/>
              </w:rPr>
            </w:pPr>
          </w:p>
        </w:tc>
      </w:tr>
      <w:tr>
        <w:trPr>
          <w:trHeight w:val="167"/>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6,006</w:t>
            </w: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transaction costs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2,290,926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1,874,924</w:t>
            </w:r>
          </w:p>
        </w:tc>
        <w:tc>
          <w:tcPr>
            <w:tcW w:w="0" w:type="dxa"/>
            <w:vAlign w:val="bottom"/>
          </w:tcPr>
          <w:p>
            <w:pPr>
              <w:spacing w:after="0"/>
              <w:rPr>
                <w:sz w:val="1"/>
                <w:szCs w:val="1"/>
                <w:color w:val="auto"/>
              </w:rPr>
            </w:pPr>
          </w:p>
        </w:tc>
      </w:tr>
      <w:tr>
        <w:trPr>
          <w:trHeight w:val="168"/>
        </w:trPr>
        <w:tc>
          <w:tcPr>
            <w:tcW w:w="65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4,597,541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4,090,545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1,832,384</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97,937</w:t>
            </w:r>
          </w:p>
        </w:tc>
        <w:tc>
          <w:tcPr>
            <w:tcW w:w="0" w:type="dxa"/>
            <w:vAlign w:val="bottom"/>
          </w:tcPr>
          <w:p>
            <w:pPr>
              <w:spacing w:after="0"/>
              <w:rPr>
                <w:sz w:val="1"/>
                <w:szCs w:val="1"/>
                <w:color w:val="auto"/>
              </w:rPr>
            </w:pPr>
          </w:p>
        </w:tc>
      </w:tr>
      <w:tr>
        <w:trPr>
          <w:trHeight w:val="167"/>
        </w:trPr>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11,908,228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17,383,394</w:t>
            </w: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20,946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37,731</w:t>
            </w:r>
          </w:p>
        </w:tc>
        <w:tc>
          <w:tcPr>
            <w:tcW w:w="0" w:type="dxa"/>
            <w:vAlign w:val="bottom"/>
          </w:tcPr>
          <w:p>
            <w:pPr>
              <w:spacing w:after="0"/>
              <w:rPr>
                <w:sz w:val="1"/>
                <w:szCs w:val="1"/>
                <w:color w:val="auto"/>
              </w:rPr>
            </w:pPr>
          </w:p>
        </w:tc>
      </w:tr>
      <w:tr>
        <w:trPr>
          <w:trHeight w:val="168"/>
        </w:trPr>
        <w:tc>
          <w:tcPr>
            <w:tcW w:w="65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13,761,558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17,519,062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10,023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12,499</w:t>
            </w:r>
          </w:p>
        </w:tc>
        <w:tc>
          <w:tcPr>
            <w:tcW w:w="0" w:type="dxa"/>
            <w:vAlign w:val="bottom"/>
          </w:tcPr>
          <w:p>
            <w:pPr>
              <w:spacing w:after="0"/>
              <w:rPr>
                <w:sz w:val="1"/>
                <w:szCs w:val="1"/>
                <w:color w:val="auto"/>
              </w:rPr>
            </w:pPr>
          </w:p>
        </w:tc>
      </w:tr>
      <w:tr>
        <w:trPr>
          <w:trHeight w:val="168"/>
        </w:trPr>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Simple Agreements for Future Equity</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34,524,160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46,358,393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48,295,741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63,889,954</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50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Common stock: $0.0001 par value; 2,000,000 shares authorized as of March 31, 2026 and December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2025; 924,167 and 921,354 shares issued and outstanding as of March 31, 2026 and 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2025, 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15,302,584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12,568,471</w:t>
            </w:r>
          </w:p>
        </w:tc>
        <w:tc>
          <w:tcPr>
            <w:tcW w:w="0" w:type="dxa"/>
            <w:vAlign w:val="bottom"/>
          </w:tcPr>
          <w:p>
            <w:pPr>
              <w:spacing w:after="0"/>
              <w:rPr>
                <w:sz w:val="1"/>
                <w:szCs w:val="1"/>
                <w:color w:val="auto"/>
              </w:rPr>
            </w:pPr>
          </w:p>
        </w:tc>
      </w:tr>
      <w:tr>
        <w:trPr>
          <w:trHeight w:val="167"/>
        </w:trPr>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w w:val="96"/>
              </w:rPr>
              <w:t>(59,001,039)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(72,368,135)</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(43,698,200)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(59,799,409)</w:t>
            </w:r>
          </w:p>
        </w:tc>
        <w:tc>
          <w:tcPr>
            <w:tcW w:w="0" w:type="dxa"/>
            <w:vAlign w:val="bottom"/>
          </w:tcPr>
          <w:p>
            <w:pPr>
              <w:spacing w:after="0"/>
              <w:rPr>
                <w:sz w:val="1"/>
                <w:szCs w:val="1"/>
                <w:color w:val="auto"/>
              </w:rPr>
            </w:pPr>
          </w:p>
        </w:tc>
      </w:tr>
      <w:tr>
        <w:trPr>
          <w:trHeight w:val="168"/>
        </w:trPr>
        <w:tc>
          <w:tcPr>
            <w:tcW w:w="6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4,597,541</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4,090,545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F-56</w:t>
      </w:r>
    </w:p>
    <w:p>
      <w:pPr>
        <w:sectPr>
          <w:pgSz w:w="11900" w:h="16838" w:orient="portrait"/>
          <w:cols w:equalWidth="0" w:num="1">
            <w:col w:w="10159"/>
          </w:cols>
          <w:pgMar w:left="300" w:top="405"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STATEMENTS OF OPERATIONS AND COMPREHENSIVE INCOME (LOSS)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6"/>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34"/>
        </w:trPr>
        <w:tc>
          <w:tcPr>
            <w:tcW w:w="6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7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2"/>
              <w:spacing w:after="0" w:line="105"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31"/>
              <w:spacing w:after="0" w:line="105"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9"/>
                <w:szCs w:val="9"/>
                <w:color w:val="auto"/>
              </w:rPr>
            </w:pPr>
          </w:p>
        </w:tc>
      </w:tr>
      <w:tr>
        <w:trPr>
          <w:trHeight w:val="147"/>
        </w:trPr>
        <w:tc>
          <w:tcPr>
            <w:tcW w:w="67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 including related parties of $1,946 and $22,749, respectively (Note 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1,562,910</w:t>
            </w:r>
          </w:p>
        </w:tc>
        <w:tc>
          <w:tcPr>
            <w:tcW w:w="1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148,877</w:t>
            </w:r>
          </w:p>
        </w:tc>
      </w:tr>
      <w:tr>
        <w:trPr>
          <w:trHeight w:val="167"/>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 including related parties of $0 and $3,400, respectively (Note 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442,807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6,322</w:t>
            </w:r>
          </w:p>
        </w:tc>
      </w:tr>
      <w:tr>
        <w:trPr>
          <w:trHeight w:val="167"/>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2,734,113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9,013</w:t>
            </w:r>
          </w:p>
        </w:tc>
      </w:tr>
      <w:tr>
        <w:trPr>
          <w:trHeight w:val="167"/>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178</w:t>
            </w:r>
          </w:p>
        </w:tc>
      </w:tr>
      <w:tr>
        <w:trPr>
          <w:trHeight w:val="167"/>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legal settlement liability</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(4,689,638)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— </w:t>
            </w:r>
          </w:p>
        </w:tc>
      </w:tr>
      <w:tr>
        <w:trPr>
          <w:trHeight w:val="21"/>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52,137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164,390</w:t>
            </w:r>
          </w:p>
        </w:tc>
      </w:tr>
      <w:tr>
        <w:trPr>
          <w:trHeight w:val="168"/>
        </w:trPr>
        <w:tc>
          <w:tcPr>
            <w:tcW w:w="67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(52,137)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(164,390)</w:t>
            </w:r>
          </w:p>
        </w:tc>
        <w:tc>
          <w:tcPr>
            <w:tcW w:w="100" w:type="dxa"/>
            <w:vAlign w:val="bottom"/>
          </w:tcPr>
          <w:p>
            <w:pPr>
              <w:spacing w:after="0"/>
              <w:rPr>
                <w:sz w:val="14"/>
                <w:szCs w:val="14"/>
                <w:color w:val="auto"/>
              </w:rPr>
            </w:pPr>
          </w:p>
        </w:tc>
      </w:tr>
      <w:tr>
        <w:trPr>
          <w:trHeight w:val="16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(loss)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8"/>
              </w:rPr>
              <w:t>13,419,233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(55,961)</w:t>
            </w:r>
          </w:p>
        </w:tc>
      </w:tr>
      <w:tr>
        <w:trPr>
          <w:trHeight w:val="21"/>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Total other income (loss)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13,419,233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(55,961)</w:t>
            </w:r>
          </w:p>
        </w:tc>
      </w:tr>
      <w:tr>
        <w:trPr>
          <w:trHeight w:val="168"/>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provision for income taxes</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13,367,096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(220,351)</w:t>
            </w:r>
          </w:p>
        </w:tc>
        <w:tc>
          <w:tcPr>
            <w:tcW w:w="100" w:type="dxa"/>
            <w:vAlign w:val="bottom"/>
          </w:tcPr>
          <w:p>
            <w:pPr>
              <w:spacing w:after="0"/>
              <w:rPr>
                <w:sz w:val="14"/>
                <w:szCs w:val="14"/>
                <w:color w:val="auto"/>
              </w:rPr>
            </w:pPr>
          </w:p>
        </w:tc>
      </w:tr>
      <w:tr>
        <w:trPr>
          <w:trHeight w:val="16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and comprehensive income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13,367,096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(220,351)</w:t>
            </w:r>
          </w:p>
        </w:tc>
        <w:tc>
          <w:tcPr>
            <w:tcW w:w="100" w:type="dxa"/>
            <w:vAlign w:val="bottom"/>
          </w:tcPr>
          <w:p>
            <w:pPr>
              <w:spacing w:after="0"/>
              <w:rPr>
                <w:sz w:val="14"/>
                <w:szCs w:val="14"/>
                <w:color w:val="auto"/>
              </w:rPr>
            </w:pPr>
          </w:p>
        </w:tc>
      </w:tr>
      <w:tr>
        <w:trPr>
          <w:trHeight w:val="16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(257,544)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13,109,552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(220,351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per share: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 per share—Basic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67"/>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Weighted average shares outstanding—Basic</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921,519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900,213</w:t>
            </w:r>
          </w:p>
        </w:tc>
      </w:tr>
      <w:tr>
        <w:trPr>
          <w:trHeight w:val="167"/>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per share—Diluted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67"/>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Weighted average shares outstanding—Diluted</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985,863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900,213</w:t>
            </w:r>
          </w:p>
        </w:tc>
      </w:tr>
    </w:tbl>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F-57</w:t>
      </w:r>
    </w:p>
    <w:p>
      <w:pPr>
        <w:sectPr>
          <w:pgSz w:w="11900" w:h="16838" w:orient="portrait"/>
          <w:cols w:equalWidth="0" w:num="1">
            <w:col w:w="10159"/>
          </w:cols>
          <w:pgMar w:left="300" w:top="405"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STATEMENTS OF STOCKHOLDERS’ DEFICIT</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17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gridSpan w:val="7"/>
            <w:vMerge w:val="restart"/>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Borders>
              <w:bottom w:val="single" w:sz="8" w:color="auto"/>
            </w:tcBorders>
            <w:gridSpan w:val="7"/>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5"/>
            <w:vMerge w:val="restart"/>
          </w:tcPr>
          <w:p>
            <w:pPr>
              <w:jc w:val="right"/>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60" w:type="dxa"/>
            <w:vAlign w:val="bottom"/>
            <w:gridSpan w:val="4"/>
            <w:vMerge w:val="restart"/>
          </w:tcPr>
          <w:p>
            <w:pPr>
              <w:jc w:val="right"/>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5"/>
                <w:szCs w:val="5"/>
                <w:color w:val="auto"/>
              </w:rPr>
            </w:pPr>
          </w:p>
        </w:tc>
        <w:tc>
          <w:tcPr>
            <w:tcW w:w="840" w:type="dxa"/>
            <w:vAlign w:val="bottom"/>
            <w:gridSpan w:val="4"/>
            <w:vMerge w:val="restart"/>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2"/>
                <w:szCs w:val="2"/>
                <w:color w:val="auto"/>
              </w:rPr>
            </w:pPr>
          </w:p>
        </w:tc>
        <w:tc>
          <w:tcPr>
            <w:tcW w:w="5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60" w:type="dxa"/>
            <w:vAlign w:val="bottom"/>
            <w:gridSpan w:val="4"/>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Balances as of December 31, 2025</w:t>
            </w:r>
          </w:p>
        </w:tc>
        <w:tc>
          <w:tcPr>
            <w:tcW w:w="16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921,354</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gridSpan w:val="2"/>
            <w:shd w:val="clear" w:color="auto" w:fill="CCEEFF"/>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w w:val="95"/>
              </w:rPr>
              <w:t>255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gridSpan w:val="4"/>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97"/>
              </w:rPr>
              <w:t>$ 12,568,471</w:t>
            </w: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96"/>
              </w:rPr>
              <w:t>$ (72,368,135)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99"/>
              </w:rPr>
              <w:t>(59,799,409)</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13,367,096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13,367,096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2,734,113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2,734,113</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68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as of March 31, 2026</w:t>
            </w:r>
          </w:p>
        </w:tc>
        <w:tc>
          <w:tcPr>
            <w:tcW w:w="16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924,167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255</w:t>
            </w:r>
          </w:p>
        </w:tc>
        <w:tc>
          <w:tcPr>
            <w:tcW w:w="80" w:type="dxa"/>
            <w:vAlign w:val="bottom"/>
            <w:shd w:val="clear" w:color="auto" w:fill="CCEEFF"/>
          </w:tcPr>
          <w:p>
            <w:pPr>
              <w:spacing w:after="0"/>
              <w:rPr>
                <w:sz w:val="14"/>
                <w:szCs w:val="14"/>
                <w:color w:val="auto"/>
              </w:rPr>
            </w:pPr>
          </w:p>
        </w:tc>
        <w:tc>
          <w:tcPr>
            <w:tcW w:w="102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$ 15,302,584</w:t>
            </w:r>
          </w:p>
        </w:tc>
        <w:tc>
          <w:tcPr>
            <w:tcW w:w="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(59,001,039)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(43,698,200)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0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7"/>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Borders>
              <w:bottom w:val="single" w:sz="8" w:color="auto"/>
            </w:tcBorders>
            <w:gridSpan w:val="7"/>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3"/>
            <w:vMerge w:val="restart"/>
          </w:tcPr>
          <w:p>
            <w:pPr>
              <w:jc w:val="right"/>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280" w:type="dxa"/>
            <w:vAlign w:val="bottom"/>
          </w:tcPr>
          <w:p>
            <w:pPr>
              <w:spacing w:after="0"/>
              <w:rPr>
                <w:sz w:val="5"/>
                <w:szCs w:val="5"/>
                <w:color w:val="auto"/>
              </w:rPr>
            </w:pPr>
          </w:p>
        </w:tc>
        <w:tc>
          <w:tcPr>
            <w:tcW w:w="780" w:type="dxa"/>
            <w:vAlign w:val="bottom"/>
            <w:gridSpan w:val="3"/>
            <w:vMerge w:val="restart"/>
          </w:tcPr>
          <w:p>
            <w:pPr>
              <w:jc w:val="right"/>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3"/>
            <w:vMerge w:val="restart"/>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gridSpan w:val="4"/>
            <w:vMerge w:val="restart"/>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2"/>
                <w:szCs w:val="2"/>
                <w:color w:val="auto"/>
              </w:rPr>
            </w:pPr>
          </w:p>
        </w:tc>
        <w:tc>
          <w:tcPr>
            <w:tcW w:w="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80" w:type="dxa"/>
            <w:vAlign w:val="bottom"/>
          </w:tcPr>
          <w:p>
            <w:pPr>
              <w:spacing w:after="0"/>
              <w:rPr>
                <w:sz w:val="11"/>
                <w:szCs w:val="11"/>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1940" w:type="dxa"/>
            <w:vAlign w:val="bottom"/>
            <w:tcBorders>
              <w:top w:val="single" w:sz="8" w:color="CCEEFF"/>
            </w:tcBorders>
            <w:gridSpan w:val="2"/>
            <w:shd w:val="clear" w:color="auto" w:fill="CCEEFF"/>
          </w:tcPr>
          <w:p>
            <w:pPr>
              <w:spacing w:after="0"/>
              <w:rPr>
                <w:sz w:val="13"/>
                <w:szCs w:val="13"/>
                <w:color w:val="auto"/>
              </w:rPr>
            </w:pPr>
          </w:p>
        </w:tc>
        <w:tc>
          <w:tcPr>
            <w:tcW w:w="460" w:type="dxa"/>
            <w:vAlign w:val="bottom"/>
            <w:tcBorders>
              <w:top w:val="single" w:sz="8" w:color="auto"/>
            </w:tcBorders>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900,104</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w w:val="85"/>
              </w:rPr>
              <w:t>250</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2,755</w:t>
            </w: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94"/>
              </w:rPr>
              <w:t>$ (593,556)</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(590,551)</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(220,351)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(220,351)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1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color w:val="auto"/>
                <w:w w:val="95"/>
              </w:rPr>
              <w:t>313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79"/>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as of March 31, 2025</w:t>
            </w:r>
          </w:p>
        </w:tc>
        <w:tc>
          <w:tcPr>
            <w:tcW w:w="1940" w:type="dxa"/>
            <w:vAlign w:val="bottom"/>
            <w:gridSpan w:val="2"/>
            <w:shd w:val="clear" w:color="auto" w:fill="CCEEFF"/>
          </w:tcPr>
          <w:p>
            <w:pPr>
              <w:spacing w:after="0"/>
              <w:rPr>
                <w:sz w:val="14"/>
                <w:szCs w:val="14"/>
                <w:color w:val="auto"/>
              </w:rPr>
            </w:pPr>
          </w:p>
        </w:tc>
        <w:tc>
          <w:tcPr>
            <w:tcW w:w="60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900,417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251</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11,767</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(813,907)</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(801,889)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F-58</w:t>
      </w:r>
    </w:p>
    <w:p>
      <w:pPr>
        <w:sectPr>
          <w:pgSz w:w="11900" w:h="16838" w:orient="portrait"/>
          <w:cols w:equalWidth="0" w:num="1">
            <w:col w:w="10159"/>
          </w:cols>
          <w:pgMar w:left="300" w:top="405"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34"/>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7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5" w:lineRule="exact"/>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11"/>
              <w:spacing w:after="0" w:line="105"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9"/>
                <w:szCs w:val="9"/>
                <w:color w:val="auto"/>
              </w:rPr>
            </w:pPr>
          </w:p>
        </w:tc>
      </w:tr>
      <w:tr>
        <w:trPr>
          <w:trHeight w:val="147"/>
        </w:trPr>
        <w:tc>
          <w:tcPr>
            <w:tcW w:w="20" w:type="dxa"/>
            <w:vAlign w:val="bottom"/>
          </w:tcPr>
          <w:p>
            <w:pPr>
              <w:spacing w:after="0"/>
              <w:rPr>
                <w:sz w:val="12"/>
                <w:szCs w:val="12"/>
                <w:color w:val="auto"/>
              </w:rPr>
            </w:pPr>
          </w:p>
        </w:tc>
        <w:tc>
          <w:tcPr>
            <w:tcW w:w="67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13,367,096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(220,351)</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178</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legal settlement liability</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(4,689,638)</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20" w:type="dxa"/>
            <w:vAlign w:val="bottom"/>
          </w:tcPr>
          <w:p>
            <w:pPr>
              <w:spacing w:after="0"/>
              <w:rPr>
                <w:sz w:val="14"/>
                <w:szCs w:val="14"/>
                <w:color w:val="auto"/>
              </w:rPr>
            </w:pPr>
          </w:p>
        </w:tc>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20,996</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3,350</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6"/>
              </w:rPr>
              <w:t>(13,419,233)</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55,961</w:t>
            </w:r>
          </w:p>
        </w:tc>
      </w:tr>
      <w:tr>
        <w:trPr>
          <w:trHeight w:val="167"/>
        </w:trPr>
        <w:tc>
          <w:tcPr>
            <w:tcW w:w="20" w:type="dxa"/>
            <w:vAlign w:val="bottom"/>
          </w:tcPr>
          <w:p>
            <w:pPr>
              <w:spacing w:after="0"/>
              <w:rPr>
                <w:sz w:val="14"/>
                <w:szCs w:val="14"/>
                <w:color w:val="auto"/>
              </w:rPr>
            </w:pPr>
          </w:p>
        </w:tc>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2,734,113</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9,013</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252,269</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(18,023)</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from stockholder</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(19,305)</w:t>
            </w:r>
          </w:p>
        </w:tc>
      </w:tr>
      <w:tr>
        <w:trPr>
          <w:trHeight w:val="167"/>
        </w:trPr>
        <w:tc>
          <w:tcPr>
            <w:tcW w:w="20" w:type="dxa"/>
            <w:vAlign w:val="bottom"/>
          </w:tcPr>
          <w:p>
            <w:pPr>
              <w:spacing w:after="0"/>
              <w:rPr>
                <w:sz w:val="14"/>
                <w:szCs w:val="14"/>
                <w:color w:val="auto"/>
              </w:rPr>
            </w:pPr>
          </w:p>
        </w:tc>
        <w:tc>
          <w:tcPr>
            <w:tcW w:w="6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Operating lease right-of-use assets and liabilities</w:t>
            </w: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(19,261)</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(42,935)</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6,006</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20" w:type="dxa"/>
            <w:vAlign w:val="bottom"/>
          </w:tcPr>
          <w:p>
            <w:pPr>
              <w:spacing w:after="0"/>
              <w:rPr>
                <w:sz w:val="14"/>
                <w:szCs w:val="14"/>
                <w:color w:val="auto"/>
              </w:rPr>
            </w:pPr>
          </w:p>
        </w:tc>
        <w:tc>
          <w:tcPr>
            <w:tcW w:w="6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1,318,445</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(785,528)</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21,501</w:t>
            </w:r>
          </w:p>
        </w:tc>
      </w:tr>
      <w:tr>
        <w:trPr>
          <w:trHeight w:val="169"/>
        </w:trPr>
        <w:tc>
          <w:tcPr>
            <w:tcW w:w="20" w:type="dxa"/>
            <w:vAlign w:val="bottom"/>
          </w:tcPr>
          <w:p>
            <w:pPr>
              <w:spacing w:after="0"/>
              <w:rPr>
                <w:sz w:val="14"/>
                <w:szCs w:val="14"/>
                <w:color w:val="auto"/>
              </w:rPr>
            </w:pPr>
          </w:p>
        </w:tc>
        <w:tc>
          <w:tcPr>
            <w:tcW w:w="67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(1,212,790)</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(210,611)</w:t>
            </w: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Simple Agreements for Future Equity</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307,000</w:t>
            </w:r>
          </w:p>
        </w:tc>
      </w:tr>
      <w:tr>
        <w:trPr>
          <w:trHeight w:val="21"/>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1,585,000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307,000</w:t>
            </w:r>
          </w:p>
        </w:tc>
      </w:tr>
      <w:tr>
        <w:trPr>
          <w:trHeight w:val="168"/>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increase in cash</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372,210</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96,389</w:t>
            </w: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Cash—beginning of period</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1,757,241</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17,276</w:t>
            </w:r>
          </w:p>
        </w:tc>
      </w:tr>
      <w:tr>
        <w:trPr>
          <w:trHeight w:val="168"/>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2,129,451</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113,665</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schedule of non-cash transactions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68,914</w:t>
            </w: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transaction costs included in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416,002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bl>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F-59</w:t>
      </w:r>
    </w:p>
    <w:p>
      <w:pPr>
        <w:sectPr>
          <w:pgSz w:w="11900" w:h="16838" w:orient="portrait"/>
          <w:cols w:equalWidth="0" w:num="1">
            <w:col w:w="10159"/>
          </w:cols>
          <w:pgMar w:left="300" w:top="405"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91" w:lineRule="exact"/>
        <w:rPr>
          <w:sz w:val="20"/>
          <w:szCs w:val="20"/>
          <w:color w:val="auto"/>
        </w:rPr>
      </w:pPr>
    </w:p>
    <w:p>
      <w:pPr>
        <w:ind w:left="1400" w:right="439"/>
        <w:spacing w:after="0" w:line="256" w:lineRule="auto"/>
        <w:rPr>
          <w:sz w:val="20"/>
          <w:szCs w:val="20"/>
          <w:color w:val="auto"/>
        </w:rPr>
      </w:pPr>
      <w:r>
        <w:rPr>
          <w:rFonts w:ascii="Times New Roman" w:cs="Times New Roman" w:eastAsia="Times New Roman" w:hAnsi="Times New Roman"/>
          <w:sz w:val="14"/>
          <w:szCs w:val="14"/>
          <w:color w:val="auto"/>
        </w:rPr>
        <w:t>Hadron Energy, Inc. (“the Company”) was formed on July 8, 2024 as Hadron Energy LLC, a California limited liability company (“the LLC”). On October 30, 2024, the sole member of the LLC converted its entire interest in the LLC into the Company as a Delaware Corporation, in exchange for 900,000 shares of common stock of the Company.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91"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The Company’s condensed financial statements have been prepared on a basis which assumes that the Company will continue as a going concern, which contemplates the realization of assets and the satisfaction of liabilities and commitments in the normal course of business. As of March 31, 2026, the Company had cash of $2,129,451 and accumulated deficit of $59,001,039; and for the three months ended March 31, 2026, a loss from operations of $52,137 and negative cash flows from operations of $1,212,790. The Company’s ability to continue as a going concern depends on its ability to obtain financial support through debt and equity transactions to fund the needs of the business, and ultimately to generate profitable operations. These condensed financial statements do not reflect any adjustments or reclassifications of assets and liabilities which would be necessary if the Company were unable to continue as a going concern. Since inception, except for the three months ended March 31, 2026, the Company has incurred and expects to continue to incur net losses and negative operating cash flows. Management expects that future operating losses and negative operating cash flows may increase from historical levels because of additional costs and expenses related to the development of technology and the development of market and strategic relationships with other businesses. The Company’s continued existence is dependent upon its ability to obtain additional sources of funding to support, through debt and equity transactions, its ongoing operations. There is no assurance that the Company will be able to secure funding under favorable terms. Accordingly, there is substantial doubt about the Company’s ability to continue as a going concern.</w:t>
      </w:r>
    </w:p>
    <w:p>
      <w:pPr>
        <w:spacing w:after="0" w:line="148" w:lineRule="exact"/>
        <w:rPr>
          <w:sz w:val="20"/>
          <w:szCs w:val="20"/>
          <w:color w:val="auto"/>
        </w:rPr>
      </w:pPr>
    </w:p>
    <w:p>
      <w:pPr>
        <w:ind w:left="1400" w:right="299"/>
        <w:spacing w:after="0" w:line="273" w:lineRule="auto"/>
        <w:rPr>
          <w:sz w:val="20"/>
          <w:szCs w:val="20"/>
          <w:color w:val="auto"/>
        </w:rPr>
      </w:pPr>
      <w:r>
        <w:rPr>
          <w:rFonts w:ascii="Times New Roman" w:cs="Times New Roman" w:eastAsia="Times New Roman" w:hAnsi="Times New Roman"/>
          <w:sz w:val="13"/>
          <w:szCs w:val="13"/>
          <w:color w:val="auto"/>
        </w:rPr>
        <w:t>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Pursuant to the Business Combination Agreement, Merger Sub will merge with and into the Company (the “Merger”), with the Company continuing as the surviving corporation (such transactions, together with the Merger, the “Business Combination”). On December 12, 2025, the parties entered into a first amendment to the Business Combination Agreement (the “First Amendment”), pursuant to which the parties expanded the size of the post-Closing Board of Directors to eight (8) members. On April 16, 2026, the parties entered into a second amendment to the Business Combination Agreement (the “Second Amendment”), pursuant to which the parties amend the Business Combination Agreement to (a) adjust the valuation of the Company and (b) extend the Outside Date. On May 7, 2026, the Company and the shareholders of GigCapital7 approved the business combination contemplated by the Business Combination Agreement, and as amended. On May 22, 2026, the Business Combination was consummated and is accounted for as a reverse capitalization.</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1" w:lineRule="exact"/>
        <w:rPr>
          <w:sz w:val="20"/>
          <w:szCs w:val="20"/>
          <w:color w:val="auto"/>
        </w:rPr>
      </w:pPr>
    </w:p>
    <w:p>
      <w:pPr>
        <w:ind w:left="1400" w:right="519"/>
        <w:spacing w:after="0" w:line="279" w:lineRule="auto"/>
        <w:rPr>
          <w:sz w:val="20"/>
          <w:szCs w:val="20"/>
          <w:color w:val="auto"/>
        </w:rPr>
      </w:pPr>
      <w:r>
        <w:rPr>
          <w:rFonts w:ascii="Times New Roman" w:cs="Times New Roman" w:eastAsia="Times New Roman" w:hAnsi="Times New Roman"/>
          <w:sz w:val="14"/>
          <w:szCs w:val="14"/>
          <w:color w:val="auto"/>
        </w:rPr>
        <w:t>The accompanying unaudited condensed financial statements have been prepared in accordance with accounting principles generally accepted in the United States (“GAAP”) for interim financial reporting and the rules and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F-60</w:t>
      </w:r>
    </w:p>
    <w:p>
      <w:pPr>
        <w:sectPr>
          <w:pgSz w:w="11900" w:h="16838" w:orient="portrait"/>
          <w:cols w:equalWidth="0" w:num="1">
            <w:col w:w="10159"/>
          </w:cols>
          <w:pgMar w:left="300" w:top="405"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659"/>
        <w:spacing w:after="0" w:line="264" w:lineRule="auto"/>
        <w:rPr>
          <w:sz w:val="20"/>
          <w:szCs w:val="20"/>
          <w:color w:val="auto"/>
        </w:rPr>
      </w:pPr>
      <w:r>
        <w:rPr>
          <w:rFonts w:ascii="Times New Roman" w:cs="Times New Roman" w:eastAsia="Times New Roman" w:hAnsi="Times New Roman"/>
          <w:sz w:val="14"/>
          <w:szCs w:val="14"/>
          <w:color w:val="auto"/>
        </w:rPr>
        <w:t>regulations of the Securities and Exchange Commission (“SEC”). References to ASC and ASU included herein refer to the Accounting Standards Codification and Accounting Standards Update established by the Financial Accounting Standards Board (“FASB”) as the source of authoritative GAAP.</w:t>
      </w:r>
    </w:p>
    <w:p>
      <w:pPr>
        <w:spacing w:after="0" w:line="136"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In management’s opinion, the unaudited interim condensed financial statements have been prepared on the same basis as the fiscal year 2025 audited financial statements. They include all adjustments, consisting of only normal recurring adjustments, necessary for the fair statement of the Company’s financial position as of March 31, 2026, and its results of operations and cash flows for the three months ended March 31, 2026. The results for the three months ended March 31, 2026 are not necessarily indicative of the results expected for the year or any other periods. The condensed balance sheet as of December 31, 2025 has been derived from the Company’s audited financial statements.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Use of Accounting Estimates</w:t>
      </w:r>
    </w:p>
    <w:p>
      <w:pPr>
        <w:spacing w:after="0" w:line="91"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The preparation of interim condensed financial statements in conformity with GAAP requires management to make certain estimates, judgments and assumptions. The Company believes that the estimates, judgments and assumptions made when accounting for items and matters such as, but not limited to Simple Agreements for Future Equity agreements (“SAFEs”), stock-based compensation, valuation of the Company’s common stock, and loss contingencies including estimated legal settlement, are reasonable based on information available at the time they are made. These estimates, judgments and assumptions can affect the reported amounts of assets and liabilities as of the date of the interim condensed financial statements, as well as amounts reported on the condensed statements of operations and comprehensive income (loss) during the periods presented. These estimates and assumptions may change as new events occur, and additional information is obtained. As a result, actual results could differ materially from these estimates and assumptions.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1" w:lineRule="exact"/>
        <w:rPr>
          <w:sz w:val="20"/>
          <w:szCs w:val="20"/>
          <w:color w:val="auto"/>
        </w:rPr>
      </w:pPr>
    </w:p>
    <w:p>
      <w:pPr>
        <w:ind w:left="1400" w:right="259"/>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1"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Deferred Transaction Costs</w:t>
      </w:r>
    </w:p>
    <w:p>
      <w:pPr>
        <w:spacing w:after="0" w:line="91"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The Company capitalizes deferred transaction costs, which primarily consist of incremental legal fees, accounting fees and other fees directly attributable to the anticipated Business Combination which will be accounted for as a reverse recapitalization. Reverse recapitalization transactions are viewed as the issuance of equity by the accounting acquirer for the cash of the Special Purpose Acquisition Company (“SPAC”). Accordingly, the direct and incremental transaction costs related to the de-SPAC transaction are treated as reduction of the SPAC’s cash proceeds and deducted from additional paid-in capital. The deferred transaction costs will be reclassified to additional paid-in capital upon closing. As of March 31, 2026 and December 31, 2025, deferred transaction costs of $2,290,926 and $1,874,924, respectively, were capitalized in connection with the Business Combination on the balance sheet.</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F-61</w:t>
      </w:r>
    </w:p>
    <w:p>
      <w:pPr>
        <w:sectPr>
          <w:pgSz w:w="11900" w:h="16838" w:orient="portrait"/>
          <w:cols w:equalWidth="0" w:num="1">
            <w:col w:w="10159"/>
          </w:cols>
          <w:pgMar w:left="300" w:top="405"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1"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66" w:lineRule="exact"/>
        <w:rPr>
          <w:sz w:val="20"/>
          <w:szCs w:val="20"/>
          <w:color w:val="auto"/>
        </w:rPr>
      </w:pPr>
    </w:p>
    <w:p>
      <w:pPr>
        <w:ind w:left="2140" w:hanging="333"/>
        <w:spacing w:after="0"/>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in active markets for identical instruments.</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53" w:lineRule="exact"/>
        <w:rPr>
          <w:rFonts w:ascii="Times New Roman" w:cs="Times New Roman" w:eastAsia="Times New Roman" w:hAnsi="Times New Roman"/>
          <w:sz w:val="14"/>
          <w:szCs w:val="14"/>
          <w:color w:val="auto"/>
        </w:rPr>
      </w:pPr>
    </w:p>
    <w:p>
      <w:pPr>
        <w:ind w:left="2140" w:right="979" w:hanging="333"/>
        <w:spacing w:after="0" w:line="279" w:lineRule="auto"/>
        <w:tabs>
          <w:tab w:leader="none" w:pos="21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3—Valuations derived from valuation techniques in which one or more significant inputs or significant value drivers are unobservable.</w:t>
      </w:r>
    </w:p>
    <w:p>
      <w:pPr>
        <w:spacing w:after="0" w:line="126" w:lineRule="exact"/>
        <w:rPr>
          <w:sz w:val="20"/>
          <w:szCs w:val="20"/>
          <w:color w:val="auto"/>
        </w:rPr>
      </w:pPr>
    </w:p>
    <w:p>
      <w:pPr>
        <w:ind w:left="1400" w:right="339"/>
        <w:spacing w:after="0" w:line="280" w:lineRule="auto"/>
        <w:rPr>
          <w:sz w:val="20"/>
          <w:szCs w:val="20"/>
          <w:color w:val="auto"/>
        </w:rPr>
      </w:pPr>
      <w:r>
        <w:rPr>
          <w:rFonts w:ascii="Times New Roman" w:cs="Times New Roman" w:eastAsia="Times New Roman" w:hAnsi="Times New Roman"/>
          <w:sz w:val="13"/>
          <w:szCs w:val="13"/>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other current assets, other assets, deferred transaction costs, accounts payable, and accrued expenses approximate their fair value due to their short maturities. The fair value of the Company’s SAFEs liability and legal settlement were determined using level 3 fair value determination methods. Refer to Note 5 for additional details.</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89"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 xml:space="preserve">The Company has lease arrangements for its corporate offices and a Company vehicle.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as of March 31, 2026 and December 31, 2025.</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Simple Agreements for Future Equity</w:t>
      </w:r>
    </w:p>
    <w:p>
      <w:pPr>
        <w:spacing w:after="0" w:line="89" w:lineRule="exact"/>
        <w:rPr>
          <w:sz w:val="20"/>
          <w:szCs w:val="20"/>
          <w:color w:val="auto"/>
        </w:rPr>
      </w:pPr>
    </w:p>
    <w:p>
      <w:pPr>
        <w:ind w:left="1400" w:right="279"/>
        <w:spacing w:after="0" w:line="260" w:lineRule="auto"/>
        <w:rPr>
          <w:sz w:val="20"/>
          <w:szCs w:val="20"/>
          <w:color w:val="auto"/>
        </w:rPr>
      </w:pPr>
      <w:r>
        <w:rPr>
          <w:rFonts w:ascii="Times New Roman" w:cs="Times New Roman" w:eastAsia="Times New Roman" w:hAnsi="Times New Roman"/>
          <w:sz w:val="14"/>
          <w:szCs w:val="14"/>
          <w:color w:val="auto"/>
        </w:rPr>
        <w:t xml:space="preserve">The Company accounts for its SAFEs as a liability stated at fair value in accordance with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SAFEs are subject to revaluation at the end of each reporting period, with changes in fair value recognized in the statements of operations and comprehensive income (loss). There was no event that triggered the SAFEs to convert into equity securities during the three months ended March 31, 2026 and 2025. Refer to Note 5 for additional details.</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F-62</w:t>
      </w:r>
    </w:p>
    <w:p>
      <w:pPr>
        <w:sectPr>
          <w:pgSz w:w="11900" w:h="16838" w:orient="portrait"/>
          <w:cols w:equalWidth="0" w:num="1">
            <w:col w:w="10159"/>
          </w:cols>
          <w:pgMar w:left="300" w:top="405"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91"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4"/>
          <w:szCs w:val="14"/>
          <w:color w:val="auto"/>
        </w:rPr>
        <w:t>General and administrative (“G&amp;A”) expenses consist primarily of personnel-related expenses for executives, human resources, finance and other G&amp;A employees, including salary, professional services costs and facility and overhead costs.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1" w:lineRule="exact"/>
        <w:rPr>
          <w:sz w:val="20"/>
          <w:szCs w:val="20"/>
          <w:color w:val="auto"/>
        </w:rPr>
      </w:pPr>
    </w:p>
    <w:p>
      <w:pPr>
        <w:ind w:left="1400" w:right="379"/>
        <w:spacing w:after="0" w:line="259" w:lineRule="auto"/>
        <w:rPr>
          <w:sz w:val="20"/>
          <w:szCs w:val="20"/>
          <w:color w:val="auto"/>
        </w:rPr>
      </w:pPr>
      <w:r>
        <w:rPr>
          <w:rFonts w:ascii="Times New Roman" w:cs="Times New Roman" w:eastAsia="Times New Roman" w:hAnsi="Times New Roman"/>
          <w:sz w:val="14"/>
          <w:szCs w:val="14"/>
          <w:color w:val="auto"/>
        </w:rPr>
        <w:t>Research and development (“R&amp;D”) expenses represents costs incurred for technology development and regulatory support for the development of the factory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1" w:lineRule="exact"/>
        <w:rPr>
          <w:sz w:val="20"/>
          <w:szCs w:val="20"/>
          <w:color w:val="auto"/>
        </w:rPr>
      </w:pPr>
    </w:p>
    <w:p>
      <w:pPr>
        <w:ind w:left="1400" w:right="519"/>
        <w:spacing w:after="0" w:line="259" w:lineRule="auto"/>
        <w:rPr>
          <w:sz w:val="20"/>
          <w:szCs w:val="20"/>
          <w:color w:val="auto"/>
        </w:rPr>
      </w:pPr>
      <w:r>
        <w:rPr>
          <w:rFonts w:ascii="Times New Roman" w:cs="Times New Roman" w:eastAsia="Times New Roman" w:hAnsi="Times New Roman"/>
          <w:sz w:val="14"/>
          <w:szCs w:val="14"/>
          <w:color w:val="auto"/>
        </w:rPr>
        <w:t>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1"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w:t>
      </w:r>
    </w:p>
    <w:p>
      <w:pPr>
        <w:spacing w:after="0" w:line="144" w:lineRule="exact"/>
        <w:rPr>
          <w:sz w:val="20"/>
          <w:szCs w:val="20"/>
          <w:color w:val="auto"/>
        </w:rPr>
      </w:pPr>
    </w:p>
    <w:p>
      <w:pPr>
        <w:ind w:left="1400" w:right="479"/>
        <w:spacing w:after="0" w:line="254" w:lineRule="auto"/>
        <w:rPr>
          <w:sz w:val="20"/>
          <w:szCs w:val="20"/>
          <w:color w:val="auto"/>
        </w:rPr>
      </w:pPr>
      <w:r>
        <w:rPr>
          <w:rFonts w:ascii="Times New Roman" w:cs="Times New Roman" w:eastAsia="Times New Roman" w:hAnsi="Times New Roman"/>
          <w:sz w:val="14"/>
          <w:szCs w:val="14"/>
          <w:color w:val="auto"/>
        </w:rPr>
        <w:t>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w:t>
      </w:r>
    </w:p>
    <w:p>
      <w:pPr>
        <w:spacing w:after="0" w:line="145" w:lineRule="exact"/>
        <w:rPr>
          <w:sz w:val="20"/>
          <w:szCs w:val="20"/>
          <w:color w:val="auto"/>
        </w:rPr>
      </w:pPr>
    </w:p>
    <w:p>
      <w:pPr>
        <w:ind w:left="1400" w:right="559"/>
        <w:spacing w:after="0" w:line="259" w:lineRule="auto"/>
        <w:rPr>
          <w:sz w:val="20"/>
          <w:szCs w:val="20"/>
          <w:color w:val="auto"/>
        </w:rPr>
      </w:pPr>
      <w:r>
        <w:rPr>
          <w:rFonts w:ascii="Times New Roman" w:cs="Times New Roman" w:eastAsia="Times New Roman" w:hAnsi="Times New Roman"/>
          <w:sz w:val="14"/>
          <w:szCs w:val="14"/>
          <w:color w:val="auto"/>
        </w:rPr>
        <w:t>The Company’s practice is to recognize interest and penalties, if any, related to uncertain tax positions in income tax expense in the accompanying statements of operations and comprehensive income (loss). The prior year tax returns remain subject to examination by taxing jurisdictions. At March 31, 2026 and 2025, the Company does not believe it has any uncertain tax positions that would require either recognition or disclosure in the accompanying financial statements.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Per Share</w:t>
      </w:r>
    </w:p>
    <w:p>
      <w:pPr>
        <w:spacing w:after="0" w:line="91" w:lineRule="exact"/>
        <w:rPr>
          <w:sz w:val="20"/>
          <w:szCs w:val="20"/>
          <w:color w:val="auto"/>
        </w:rPr>
      </w:pPr>
    </w:p>
    <w:p>
      <w:pPr>
        <w:ind w:left="1400" w:right="459"/>
        <w:spacing w:after="0" w:line="279" w:lineRule="auto"/>
        <w:rPr>
          <w:sz w:val="20"/>
          <w:szCs w:val="20"/>
          <w:color w:val="auto"/>
        </w:rPr>
      </w:pPr>
      <w:r>
        <w:rPr>
          <w:rFonts w:ascii="Times New Roman" w:cs="Times New Roman" w:eastAsia="Times New Roman" w:hAnsi="Times New Roman"/>
          <w:sz w:val="14"/>
          <w:szCs w:val="14"/>
          <w:color w:val="auto"/>
        </w:rPr>
        <w:t>The Company’s basic net income (loss) per share of common stock is computed based upon the weighted average number of shares of common stock outstanding for the period. Diluted loss per share includes the effect,</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F-63</w:t>
      </w:r>
    </w:p>
    <w:p>
      <w:pPr>
        <w:sectPr>
          <w:pgSz w:w="11900" w:h="16838" w:orient="portrait"/>
          <w:cols w:equalWidth="0" w:num="1">
            <w:col w:w="10159"/>
          </w:cols>
          <w:pgMar w:left="300" w:top="405"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if any, from potential conversion of securities, such as the issuance of shares of common stock from SAFE notes. Participating securities (unvested share-based payment awards that contain non-forfeitable rights to dividends or dividend equivalents) are included in the computation of net income (loss) per share, pursuant to the two-class method. The Company’s participating securities consist solely of unvested restricted stock awards, which have contractual participation rights equivalent to those of stockholders of unrestricted common stock.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 For any period in which the Company is in a net loss position, basic net loss per share is the same as diluted net loss per share, since the effects of potentially dilutive securities are antidilutive.</w:t>
      </w:r>
    </w:p>
    <w:p>
      <w:pPr>
        <w:spacing w:after="0" w:line="1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common share:</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11"/>
                <w:szCs w:val="11"/>
                <w:color w:val="auto"/>
              </w:rPr>
            </w:pPr>
          </w:p>
        </w:tc>
        <w:tc>
          <w:tcPr>
            <w:tcW w:w="660" w:type="dxa"/>
            <w:vAlign w:val="bottom"/>
            <w:gridSpan w:val="3"/>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Numerator:</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13,367,096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4"/>
              </w:rPr>
              <w:t>(220,351)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(257,544)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(loss)—basic</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13,109,552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(220,351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13,367,096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(220,351)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w w:val="96"/>
              </w:rPr>
              <w:t>(13,419,233)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(241,038)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loss—diluted</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(293,175</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(220,351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Denominator:</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Denominator for basic net income (loss) per share—common shares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921,519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900,213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Expected shares from SAFEs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Denominator for diluted net loss per share—common shares outstanding</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985,863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income (loss) per share—basic</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share—diluted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(0.30)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400" w:right="599"/>
        <w:spacing w:after="0" w:line="279" w:lineRule="auto"/>
        <w:rPr>
          <w:sz w:val="20"/>
          <w:szCs w:val="20"/>
          <w:color w:val="auto"/>
        </w:rPr>
      </w:pPr>
      <w:r>
        <w:rPr>
          <w:rFonts w:ascii="Times New Roman" w:cs="Times New Roman" w:eastAsia="Times New Roman" w:hAnsi="Times New Roman"/>
          <w:sz w:val="14"/>
          <w:szCs w:val="14"/>
          <w:color w:val="auto"/>
        </w:rPr>
        <w:t>The following outstanding potentially dilutive shares have been excluded from the calculation of diluted net income (loss) per share for the periods presented because including them would have been antidilutive (in common stock equivalent shares):</w:t>
      </w:r>
    </w:p>
    <w:p>
      <w:pPr>
        <w:spacing w:after="0" w:line="131"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Unvested shares of restricted stock purchase agreements</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31,833</w:t>
            </w: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2,083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Expected shares from SAFE notes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potentially dilutive securities</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31,833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24,441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3080"/>
              <w:spacing w:after="0"/>
              <w:rPr>
                <w:sz w:val="20"/>
                <w:szCs w:val="20"/>
                <w:color w:val="auto"/>
              </w:rPr>
            </w:pPr>
            <w:r>
              <w:rPr>
                <w:rFonts w:ascii="Times New Roman" w:cs="Times New Roman" w:eastAsia="Times New Roman" w:hAnsi="Times New Roman"/>
                <w:sz w:val="14"/>
                <w:szCs w:val="14"/>
                <w:color w:val="auto"/>
              </w:rPr>
              <w:t>F-64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5"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1"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operating segment. During the three months ended March 31, 2026 and 2025, the CODM made decisions on resource allocation, assessed performance of the business and monitored actual results using net loss, which is provided in the accompanying statements of operations and comprehensive income (loss). When evaluating how to allocate resources, the CODM primarily focuses on contract labor and legal fees which are the significant expenses within the results of operations. Contract labor costs and legal fees were $35,216 and $145,589, respectively, for the three months ended March 31, 2026 and contract labor costs and legal fees were $42,706 and $26,759, respectively, for the three months ended March 31, 2025, which are included in general and administrative expenses in the accompanying condensed statements of operations and comprehensive income (loss).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 considers the applicability and impact of all ASUs issued by the FASB.</w:t>
      </w:r>
    </w:p>
    <w:p>
      <w:pPr>
        <w:spacing w:after="0" w:line="171"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 xml:space="preserve">In October 2023, FASB issued ASU 2023-06, </w:t>
      </w:r>
      <w:r>
        <w:rPr>
          <w:rFonts w:ascii="Times New Roman" w:cs="Times New Roman" w:eastAsia="Times New Roman" w:hAnsi="Times New Roman"/>
          <w:sz w:val="14"/>
          <w:szCs w:val="14"/>
          <w:i w:val="1"/>
          <w:iCs w:val="1"/>
          <w:color w:val="auto"/>
        </w:rPr>
        <w:t>Disclosure Improvements: Codification Amendments in Response to the SEC’s Disclosure Update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Simplification Initiative</w:t>
      </w:r>
      <w:r>
        <w:rPr>
          <w:rFonts w:ascii="Times New Roman" w:cs="Times New Roman" w:eastAsia="Times New Roman" w:hAnsi="Times New Roman"/>
          <w:sz w:val="14"/>
          <w:szCs w:val="14"/>
          <w:color w:val="auto"/>
        </w:rPr>
        <w:t>. This ASU amends the ASC to incorporate certain disclosure requirements from SEC Release No. 33-10532,</w:t>
      </w:r>
      <w:r>
        <w:rPr>
          <w:rFonts w:ascii="Times New Roman" w:cs="Times New Roman" w:eastAsia="Times New Roman" w:hAnsi="Times New Roman"/>
          <w:sz w:val="14"/>
          <w:szCs w:val="14"/>
          <w:i w:val="1"/>
          <w:iCs w:val="1"/>
          <w:color w:val="auto"/>
        </w:rPr>
        <w:t xml:space="preserve"> Disclosure Update and Simplification </w:t>
      </w:r>
      <w:r>
        <w:rPr>
          <w:rFonts w:ascii="Times New Roman" w:cs="Times New Roman" w:eastAsia="Times New Roman" w:hAnsi="Times New Roman"/>
          <w:sz w:val="14"/>
          <w:szCs w:val="14"/>
          <w:color w:val="auto"/>
        </w:rPr>
        <w:t>that was issued in 2018. The effective date for each amendment will be the date on which the SEC’s removal of that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from Regulation S-X or Regulation S-K becomes effective, with early adoption prohibited.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Company is evaluating the effect that ASU 2023-06 will have on its financial statements and related disclosures.</w:t>
      </w:r>
    </w:p>
    <w:p>
      <w:pPr>
        <w:spacing w:after="0" w:line="147"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 xml:space="preserve">In January 2025, the FASB issued ASU 2025-01,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(Subtopic 220-40): Clarifying the Effective Date</w:t>
      </w:r>
      <w:r>
        <w:rPr>
          <w:rFonts w:ascii="Times New Roman" w:cs="Times New Roman" w:eastAsia="Times New Roman" w:hAnsi="Times New Roman"/>
          <w:sz w:val="14"/>
          <w:szCs w:val="14"/>
          <w:color w:val="auto"/>
        </w:rPr>
        <w:t>. ASU 2025-01 clarifies the effective date for ASU 2024-03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ensuring public business entities adopt it initially in annual reporting periods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interim) for non-calendar year-end entities. ASU 2024-03 requires disclosure on an annual and interim basis, in the notes to the financial statements, of disaggregated information about specific categories underlying certain income statement expense line items. The effective dates of ASU 2025-01 align with ASU 2024-03: annual periods beginning after December 15, 2026, and interim periods beginning after December 15, 2027. The Company is currently evaluating the impact of adopting this new accounting guidance on its financial statements and related disclosures.</w:t>
      </w:r>
    </w:p>
    <w:p>
      <w:pPr>
        <w:spacing w:after="0" w:line="142"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 xml:space="preserve">In May 2025, the FASB issued ASU No. 2025-03, </w:t>
      </w:r>
      <w:r>
        <w:rPr>
          <w:rFonts w:ascii="Times New Roman" w:cs="Times New Roman" w:eastAsia="Times New Roman" w:hAnsi="Times New Roman"/>
          <w:sz w:val="14"/>
          <w:szCs w:val="14"/>
          <w:i w:val="1"/>
          <w:iCs w:val="1"/>
          <w:color w:val="auto"/>
        </w:rPr>
        <w:t>Business Combinations (Topic 805) and Consolidation (Topic 810): Determining the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Acquirer in the Acquisition of a Variable Interest Entity (“ASU 2025-03”)</w:t>
      </w:r>
      <w:r>
        <w:rPr>
          <w:rFonts w:ascii="Times New Roman" w:cs="Times New Roman" w:eastAsia="Times New Roman" w:hAnsi="Times New Roman"/>
          <w:sz w:val="14"/>
          <w:szCs w:val="14"/>
          <w:color w:val="auto"/>
        </w:rPr>
        <w:t>. ASU 2025-03 changes how companies determine the accounting acquirer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financial statements and related disclosures.</w:t>
      </w:r>
    </w:p>
    <w:p>
      <w:pPr>
        <w:spacing w:after="0" w:line="141" w:lineRule="exact"/>
        <w:rPr>
          <w:sz w:val="20"/>
          <w:szCs w:val="20"/>
          <w:color w:val="auto"/>
        </w:rPr>
      </w:pPr>
    </w:p>
    <w:p>
      <w:pPr>
        <w:ind w:left="1400" w:right="279"/>
        <w:spacing w:after="0" w:line="282" w:lineRule="auto"/>
        <w:rPr>
          <w:sz w:val="20"/>
          <w:szCs w:val="20"/>
          <w:color w:val="auto"/>
        </w:rPr>
      </w:pPr>
      <w:r>
        <w:rPr>
          <w:rFonts w:ascii="Times New Roman" w:cs="Times New Roman" w:eastAsia="Times New Roman" w:hAnsi="Times New Roman"/>
          <w:sz w:val="14"/>
          <w:szCs w:val="14"/>
          <w:color w:val="auto"/>
        </w:rPr>
        <w:t xml:space="preserve">In May 2025, the FASB issued ASU No. 2025-04, </w:t>
      </w:r>
      <w:r>
        <w:rPr>
          <w:rFonts w:ascii="Times New Roman" w:cs="Times New Roman" w:eastAsia="Times New Roman" w:hAnsi="Times New Roman"/>
          <w:sz w:val="14"/>
          <w:szCs w:val="14"/>
          <w:i w:val="1"/>
          <w:iCs w:val="1"/>
          <w:color w:val="auto"/>
        </w:rPr>
        <w:t>Compensation—Stock Compensation (Topic 718) and Revenue from Contracts With Customers (Topic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606): Clarifications to Share-Based Consideration Payable to a</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F-65</w:t>
      </w:r>
    </w:p>
    <w:p>
      <w:pPr>
        <w:sectPr>
          <w:pgSz w:w="11900" w:h="16838" w:orient="portrait"/>
          <w:cols w:equalWidth="0" w:num="1">
            <w:col w:w="10159"/>
          </w:cols>
          <w:pgMar w:left="300" w:top="405"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i w:val="1"/>
          <w:iCs w:val="1"/>
          <w:color w:val="auto"/>
        </w:rPr>
        <w:t>Customer (“ASU 2025-04”)</w:t>
      </w:r>
      <w:r>
        <w:rPr>
          <w:rFonts w:ascii="Times New Roman" w:cs="Times New Roman" w:eastAsia="Times New Roman" w:hAnsi="Times New Roman"/>
          <w:sz w:val="14"/>
          <w:szCs w:val="14"/>
          <w:color w:val="auto"/>
        </w:rPr>
        <w:t>. ASU 202504 revises the definition of a performance condition, eliminates the forfeiture policy election for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conditions, and clarifies that the variable consideration constraint in ASC Topic 606 does not apply to share-based consideration payable to customers. The new guidance requires entities to consistently account for share-based awards granted to customers by clarifying the treatment of vesting conditions and ensuring alignment with ASC Topic 606 and ASC Topic 718: Compensation-Stock Compensation. ASU 2025-04 is effective for fiscal years beginning after December 15, 2026, including interim periods within those fiscal years. Early adoption is permitted. The Company is currently evaluating the impact of adopting this new accounting guidance on its financial statements and related disclosures.</w:t>
      </w:r>
    </w:p>
    <w:p>
      <w:pPr>
        <w:spacing w:after="0" w:line="141"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color w:val="auto"/>
        </w:rPr>
        <w:t xml:space="preserve">In December 2025, the FASB issued ASU No. 2025-10, </w:t>
      </w:r>
      <w:r>
        <w:rPr>
          <w:rFonts w:ascii="Times New Roman" w:cs="Times New Roman" w:eastAsia="Times New Roman" w:hAnsi="Times New Roman"/>
          <w:sz w:val="14"/>
          <w:szCs w:val="14"/>
          <w:i w:val="1"/>
          <w:iCs w:val="1"/>
          <w:color w:val="auto"/>
        </w:rPr>
        <w:t>Government Grants (Topic 832): Accounting for Government Grants Received by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Entities. </w:t>
      </w:r>
      <w:r>
        <w:rPr>
          <w:rFonts w:ascii="Times New Roman" w:cs="Times New Roman" w:eastAsia="Times New Roman" w:hAnsi="Times New Roman"/>
          <w:sz w:val="14"/>
          <w:szCs w:val="14"/>
          <w:color w:val="auto"/>
        </w:rPr>
        <w:t>ASU 2025-10 establishes the accounting for a government grant received by a business entity, including guidance for (1) a grant related to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and (2) a grant related to income. The ASU is effective for annual periods beginning after December 15, 2028, and interim reporting periods within those annual reporting periods, with early adoption permitted. The Company is currently evaluating the impact of adopting this new accounting guidance on its financial statements and related disclosures.</w:t>
      </w:r>
    </w:p>
    <w:p>
      <w:pPr>
        <w:spacing w:after="0" w:line="139"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 xml:space="preserve">In December 2025, the FASB issued ASU No. 2025-11, </w:t>
      </w:r>
      <w:r>
        <w:rPr>
          <w:rFonts w:ascii="Times New Roman" w:cs="Times New Roman" w:eastAsia="Times New Roman" w:hAnsi="Times New Roman"/>
          <w:sz w:val="14"/>
          <w:szCs w:val="14"/>
          <w:i w:val="1"/>
          <w:iCs w:val="1"/>
          <w:color w:val="auto"/>
        </w:rPr>
        <w:t>Interim Reporting (Topic 270).</w:t>
      </w:r>
      <w:r>
        <w:rPr>
          <w:rFonts w:ascii="Times New Roman" w:cs="Times New Roman" w:eastAsia="Times New Roman" w:hAnsi="Times New Roman"/>
          <w:sz w:val="14"/>
          <w:szCs w:val="14"/>
          <w:color w:val="auto"/>
        </w:rPr>
        <w:t xml:space="preserve"> ASU 2025-11 clarifies the interim disclosure requirements, the applicability of Topic 270, the types of interim reporting, and the form and content of interim financial statements in accordance with GAAP. The ASU requires entities to disclose events since the end of the last annual reporting period that have a material impact on the entity. The ASU is effective for interim reporting periods within annual reporting periods beginning after December 15, 2027, with early adoption permitted. The Company is currently evaluating the impact of adopting this new accounting guidance on its financial statements and related disclosures.</w:t>
      </w:r>
    </w:p>
    <w:p>
      <w:pPr>
        <w:spacing w:after="0" w:line="1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 xml:space="preserve">In December 2025, the FASB issued ASU No. 2025-12, </w:t>
      </w:r>
      <w:r>
        <w:rPr>
          <w:rFonts w:ascii="Times New Roman" w:cs="Times New Roman" w:eastAsia="Times New Roman" w:hAnsi="Times New Roman"/>
          <w:sz w:val="14"/>
          <w:szCs w:val="14"/>
          <w:i w:val="1"/>
          <w:iCs w:val="1"/>
          <w:color w:val="auto"/>
        </w:rPr>
        <w:t>Codification Improvements.</w:t>
      </w:r>
      <w:r>
        <w:rPr>
          <w:rFonts w:ascii="Times New Roman" w:cs="Times New Roman" w:eastAsia="Times New Roman" w:hAnsi="Times New Roman"/>
          <w:sz w:val="14"/>
          <w:szCs w:val="14"/>
          <w:color w:val="auto"/>
        </w:rPr>
        <w:t xml:space="preserve"> ASU 2025-12 represents changes to the Codification that</w:t>
      </w:r>
    </w:p>
    <w:p>
      <w:pPr>
        <w:spacing w:after="0" w:line="23" w:lineRule="exact"/>
        <w:rPr>
          <w:sz w:val="20"/>
          <w:szCs w:val="20"/>
          <w:color w:val="auto"/>
        </w:rPr>
      </w:pPr>
    </w:p>
    <w:p>
      <w:pPr>
        <w:jc w:val="both"/>
        <w:ind w:left="1400" w:right="559" w:hanging="10"/>
        <w:spacing w:after="0" w:line="251" w:lineRule="auto"/>
        <w:tabs>
          <w:tab w:leader="none" w:pos="159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clarify, (2) correct errors, or (3) make minor improvements. The amendments make the Codification easier to understand and apply. The ASU is effective for annual reporting periods beginning after December 15, 2026, and interim reporting periods within those annual reporting periods, with early adoption permitted. The Company is currently evaluating the impact of adopting this new accounting guidance on its financial statements and related disclosures.</w:t>
      </w:r>
    </w:p>
    <w:p>
      <w:pPr>
        <w:spacing w:after="0" w:line="146" w:lineRule="exact"/>
        <w:rPr>
          <w:sz w:val="20"/>
          <w:szCs w:val="20"/>
          <w:color w:val="auto"/>
        </w:rPr>
      </w:pPr>
    </w:p>
    <w:p>
      <w:pPr>
        <w:ind w:left="1400" w:right="499"/>
        <w:spacing w:after="0" w:line="279" w:lineRule="auto"/>
        <w:rPr>
          <w:sz w:val="20"/>
          <w:szCs w:val="20"/>
          <w:color w:val="auto"/>
        </w:rPr>
      </w:pPr>
      <w:r>
        <w:rPr>
          <w:rFonts w:ascii="Times New Roman" w:cs="Times New Roman" w:eastAsia="Times New Roman" w:hAnsi="Times New Roman"/>
          <w:sz w:val="14"/>
          <w:szCs w:val="14"/>
          <w:color w:val="auto"/>
        </w:rPr>
        <w:t>The Company believes, based on its preliminary assessment, that any other recently issued, but not yet adopted, accounting pronouncements will not have a material impact on the Company’s financial statements or related disclosures, or do not apply to the Company.</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3. ACCRUED EXPENSES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Accrued expenses was as follows at March 31, 2026 and December 31, 2025:</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4"/>
        </w:trPr>
        <w:tc>
          <w:tcPr>
            <w:tcW w:w="2240" w:type="dxa"/>
            <w:vAlign w:val="bottom"/>
            <w:tcBorders>
              <w:bottom w:val="single" w:sz="8" w:color="CCEEFF"/>
            </w:tcBorders>
          </w:tcPr>
          <w:p>
            <w:pPr>
              <w:spacing w:after="0"/>
              <w:rPr>
                <w:sz w:val="11"/>
                <w:szCs w:val="11"/>
                <w:color w:val="auto"/>
              </w:rPr>
            </w:pPr>
          </w:p>
        </w:tc>
        <w:tc>
          <w:tcPr>
            <w:tcW w:w="2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11"/>
                <w:szCs w:val="11"/>
                <w:color w:val="auto"/>
              </w:rPr>
            </w:pPr>
          </w:p>
        </w:tc>
      </w:tr>
      <w:tr>
        <w:trPr>
          <w:trHeight w:val="157"/>
        </w:trPr>
        <w:tc>
          <w:tcPr>
            <w:tcW w:w="22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Legal fees</w:t>
            </w:r>
          </w:p>
        </w:tc>
        <w:tc>
          <w:tcPr>
            <w:tcW w:w="2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50,000</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957,751</w:t>
            </w:r>
          </w:p>
        </w:tc>
        <w:tc>
          <w:tcPr>
            <w:tcW w:w="60" w:type="dxa"/>
            <w:vAlign w:val="bottom"/>
            <w:shd w:val="clear" w:color="auto" w:fill="CCEEFF"/>
          </w:tcPr>
          <w:p>
            <w:pPr>
              <w:spacing w:after="0"/>
              <w:rPr>
                <w:sz w:val="13"/>
                <w:szCs w:val="13"/>
                <w:color w:val="auto"/>
              </w:rPr>
            </w:pPr>
          </w:p>
        </w:tc>
      </w:tr>
      <w:tr>
        <w:trPr>
          <w:trHeight w:val="167"/>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Credit card obligations</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443</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2,657</w:t>
            </w:r>
          </w:p>
        </w:tc>
      </w:tr>
      <w:tr>
        <w:trPr>
          <w:trHeight w:val="16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202,387</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77,950</w:t>
            </w:r>
          </w:p>
        </w:tc>
      </w:tr>
      <w:tr>
        <w:trPr>
          <w:trHeight w:val="167"/>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r>
      <w:tr>
        <w:trPr>
          <w:trHeight w:val="16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legal settlement</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11,655,362</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16,345,000</w:t>
            </w:r>
          </w:p>
        </w:tc>
      </w:tr>
      <w:tr>
        <w:trPr>
          <w:trHeight w:val="16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2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11,908,228</w:t>
            </w:r>
          </w:p>
        </w:tc>
        <w:tc>
          <w:tcPr>
            <w:tcW w:w="3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17,383,394</w:t>
            </w:r>
          </w:p>
        </w:tc>
        <w:tc>
          <w:tcPr>
            <w:tcW w:w="60" w:type="dxa"/>
            <w:vAlign w:val="bottom"/>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240" w:type="dxa"/>
            <w:vAlign w:val="bottom"/>
          </w:tcPr>
          <w:p>
            <w:pPr>
              <w:spacing w:after="0"/>
              <w:rPr>
                <w:sz w:val="22"/>
                <w:szCs w:val="22"/>
                <w:color w:val="auto"/>
              </w:rPr>
            </w:pPr>
          </w:p>
        </w:tc>
        <w:tc>
          <w:tcPr>
            <w:tcW w:w="2320" w:type="dxa"/>
            <w:vAlign w:val="bottom"/>
            <w:gridSpan w:val="2"/>
          </w:tcPr>
          <w:p>
            <w:pPr>
              <w:jc w:val="right"/>
              <w:ind w:right="1131"/>
              <w:spacing w:after="0"/>
              <w:rPr>
                <w:sz w:val="20"/>
                <w:szCs w:val="20"/>
                <w:color w:val="auto"/>
              </w:rPr>
            </w:pPr>
            <w:r>
              <w:rPr>
                <w:rFonts w:ascii="Times New Roman" w:cs="Times New Roman" w:eastAsia="Times New Roman" w:hAnsi="Times New Roman"/>
                <w:sz w:val="14"/>
                <w:szCs w:val="14"/>
                <w:color w:val="auto"/>
              </w:rPr>
              <w:t>F-66</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ectPr>
          <w:pgSz w:w="11900" w:h="16838" w:orient="portrait"/>
          <w:cols w:equalWidth="0" w:num="1">
            <w:col w:w="10159"/>
          </w:cols>
          <w:pgMar w:left="300" w:top="404"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p>
      <w:pPr>
        <w:spacing w:after="0" w:line="1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Property and equipment was as follows at March 31, 2026 and December 31, 2025:</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2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4"/>
        </w:trPr>
        <w:tc>
          <w:tcPr>
            <w:tcW w:w="20" w:type="dxa"/>
            <w:vAlign w:val="bottom"/>
          </w:tcPr>
          <w:p>
            <w:pPr>
              <w:spacing w:after="0"/>
              <w:rPr>
                <w:sz w:val="11"/>
                <w:szCs w:val="11"/>
                <w:color w:val="auto"/>
              </w:rPr>
            </w:pPr>
          </w:p>
        </w:tc>
        <w:tc>
          <w:tcPr>
            <w:tcW w:w="47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47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Furniture</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$ 15,857</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15,857</w:t>
            </w:r>
          </w:p>
        </w:tc>
        <w:tc>
          <w:tcPr>
            <w:tcW w:w="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28,215</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44,072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44,072</w:t>
            </w: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(8,653)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(6,708)</w:t>
            </w:r>
          </w:p>
        </w:tc>
      </w:tr>
      <w:tr>
        <w:trPr>
          <w:trHeight w:val="167"/>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property and equipment, net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$ 35,419</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37,364</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Depreciation expense for the three months ended March 31, 2026 and 2025 was $1,945 and $178, respectively.</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5. SIMPLE AGREEMENTS FOR FUTURE EQUITY (SAFEs)</w:t>
      </w:r>
    </w:p>
    <w:p>
      <w:pPr>
        <w:spacing w:after="0" w:line="91"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w:t>
      </w:r>
    </w:p>
    <w:p>
      <w:pPr>
        <w:spacing w:after="0" w:line="145" w:lineRule="exact"/>
        <w:rPr>
          <w:sz w:val="20"/>
          <w:szCs w:val="20"/>
          <w:color w:val="auto"/>
        </w:rPr>
      </w:pPr>
    </w:p>
    <w:p>
      <w:pPr>
        <w:ind w:left="1400" w:right="299"/>
        <w:spacing w:after="0" w:line="256" w:lineRule="auto"/>
        <w:rPr>
          <w:sz w:val="20"/>
          <w:szCs w:val="20"/>
          <w:color w:val="auto"/>
        </w:rPr>
      </w:pPr>
      <w:r>
        <w:rPr>
          <w:rFonts w:ascii="Times New Roman" w:cs="Times New Roman" w:eastAsia="Times New Roman" w:hAnsi="Times New Roman"/>
          <w:sz w:val="14"/>
          <w:szCs w:val="14"/>
          <w:color w:val="auto"/>
        </w:rPr>
        <w:t>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w:t>
      </w:r>
    </w:p>
    <w:p>
      <w:pPr>
        <w:spacing w:after="0" w:line="140"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 xml:space="preserve">The Company determined that the SAFEs should be accounted for at fair value as a liability under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fair value of the SAFEs issued during the period was determined based on the following significant unobservable inputs:</w:t>
      </w:r>
    </w:p>
    <w:p>
      <w:pPr>
        <w:spacing w:after="0" w:line="208" w:lineRule="exact"/>
        <w:rPr>
          <w:sz w:val="20"/>
          <w:szCs w:val="20"/>
          <w:color w:val="auto"/>
        </w:rPr>
      </w:pPr>
    </w:p>
    <w:tbl>
      <w:tblPr>
        <w:tblLayout w:type="fixed"/>
        <w:tblInd w:w="2760" w:type="dxa"/>
        <w:tblCellMar>
          <w:top w:w="0" w:type="dxa"/>
          <w:left w:w="0" w:type="dxa"/>
          <w:bottom w:w="0" w:type="dxa"/>
          <w:right w:w="0" w:type="dxa"/>
        </w:tblCellMar>
      </w:tblPr>
      <w:tr>
        <w:trPr>
          <w:trHeight w:val="16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scenario</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67"/>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Liquidity event scenario</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6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term to projected financing date (in years)</w:t>
            </w:r>
          </w:p>
        </w:tc>
        <w:tc>
          <w:tcPr>
            <w:tcW w:w="1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0.42</w:t>
            </w:r>
          </w:p>
        </w:tc>
      </w:tr>
      <w:tr>
        <w:trPr>
          <w:trHeight w:val="167"/>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Project term to projected liquidity event date (in years)</w:t>
            </w:r>
          </w:p>
        </w:tc>
        <w:tc>
          <w:tcPr>
            <w:tcW w:w="18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0.12</w:t>
            </w:r>
          </w:p>
        </w:tc>
      </w:tr>
      <w:tr>
        <w:trPr>
          <w:trHeight w:val="16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67"/>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Risk-free rate (continuous)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86.0%—100.0%</w:t>
            </w:r>
          </w:p>
        </w:tc>
      </w:tr>
      <w:tr>
        <w:trPr>
          <w:trHeight w:val="282"/>
        </w:trPr>
        <w:tc>
          <w:tcPr>
            <w:tcW w:w="392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F-67</w:t>
            </w:r>
          </w:p>
        </w:tc>
        <w:tc>
          <w:tcPr>
            <w:tcW w:w="1860" w:type="dxa"/>
            <w:vAlign w:val="bottom"/>
          </w:tcPr>
          <w:p>
            <w:pPr>
              <w:spacing w:after="0"/>
              <w:rPr>
                <w:sz w:val="24"/>
                <w:szCs w:val="24"/>
                <w:color w:val="auto"/>
              </w:rPr>
            </w:pPr>
          </w:p>
        </w:tc>
      </w:tr>
    </w:tbl>
    <w:p>
      <w:pPr>
        <w:sectPr>
          <w:pgSz w:w="11900" w:h="16838" w:orient="portrait"/>
          <w:cols w:equalWidth="0" w:num="1">
            <w:col w:w="10159"/>
          </w:cols>
          <w:pgMar w:left="300" w:top="404"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The following table presents a reconciliation of the liabilities, measured at fair value on a recurring basis using significant unobservable inputs (Level 3)</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during the year ended March 31, 2026:</w:t>
      </w:r>
    </w:p>
    <w:p>
      <w:pPr>
        <w:spacing w:after="0" w:line="193" w:lineRule="exact"/>
        <w:rPr>
          <w:sz w:val="20"/>
          <w:szCs w:val="20"/>
          <w:color w:val="auto"/>
        </w:rPr>
      </w:pPr>
    </w:p>
    <w:tbl>
      <w:tblPr>
        <w:tblLayout w:type="fixed"/>
        <w:tblInd w:w="2760" w:type="dxa"/>
        <w:tblCellMar>
          <w:top w:w="0" w:type="dxa"/>
          <w:left w:w="0" w:type="dxa"/>
          <w:bottom w:w="0" w:type="dxa"/>
          <w:right w:w="0" w:type="dxa"/>
        </w:tblCellMar>
      </w:tblPr>
      <w:tr>
        <w:trPr>
          <w:trHeight w:val="16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7"/>
              </w:rPr>
              <w:t>$ 46,358,393</w:t>
            </w:r>
          </w:p>
        </w:tc>
        <w:tc>
          <w:tcPr>
            <w:tcW w:w="80" w:type="dxa"/>
            <w:vAlign w:val="bottom"/>
            <w:shd w:val="clear" w:color="auto" w:fill="CCEEFF"/>
          </w:tcPr>
          <w:p>
            <w:pPr>
              <w:spacing w:after="0"/>
              <w:rPr>
                <w:sz w:val="14"/>
                <w:szCs w:val="14"/>
                <w:color w:val="auto"/>
              </w:rPr>
            </w:pPr>
          </w:p>
        </w:tc>
      </w:tr>
      <w:tr>
        <w:trPr>
          <w:trHeight w:val="167"/>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SAFEs issued during the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period</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(13,419,233)</w:t>
            </w:r>
          </w:p>
        </w:tc>
      </w:tr>
      <w:tr>
        <w:trPr>
          <w:trHeight w:val="168"/>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$ 34,524,160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4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right="259"/>
        <w:spacing w:after="0" w:line="264" w:lineRule="auto"/>
        <w:rPr>
          <w:sz w:val="20"/>
          <w:szCs w:val="20"/>
          <w:color w:val="auto"/>
        </w:rPr>
      </w:pPr>
      <w:r>
        <w:rPr>
          <w:rFonts w:ascii="Times New Roman" w:cs="Times New Roman" w:eastAsia="Times New Roman" w:hAnsi="Times New Roman"/>
          <w:sz w:val="14"/>
          <w:szCs w:val="14"/>
          <w:color w:val="auto"/>
        </w:rPr>
        <w:t>As of March 31, 2026 and December 31, 2025, the estimated fair value of the SAFEs was $34,524,160 and $46,358,393, respectively. The change in fair value during the three months ended March 31, 2026 reflected in the above table, is included in other income (loss) in the accompanying statements of operations and comprehensive income (loss).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6. LEASES</w:t>
      </w:r>
    </w:p>
    <w:p>
      <w:pPr>
        <w:spacing w:after="0" w:line="91" w:lineRule="exact"/>
        <w:rPr>
          <w:sz w:val="20"/>
          <w:szCs w:val="20"/>
          <w:color w:val="auto"/>
        </w:rPr>
      </w:pPr>
    </w:p>
    <w:p>
      <w:pPr>
        <w:ind w:left="1400" w:right="379"/>
        <w:spacing w:after="0" w:line="279" w:lineRule="auto"/>
        <w:rPr>
          <w:sz w:val="20"/>
          <w:szCs w:val="20"/>
          <w:color w:val="auto"/>
        </w:rPr>
      </w:pPr>
      <w:r>
        <w:rPr>
          <w:rFonts w:ascii="Times New Roman" w:cs="Times New Roman" w:eastAsia="Times New Roman" w:hAnsi="Times New Roman"/>
          <w:sz w:val="14"/>
          <w:szCs w:val="14"/>
          <w:color w:val="auto"/>
        </w:rPr>
        <w:t>The Company has an operating lease for a vehicle entered into in February 2025 that expires in January 2028. Under the terms of the lease, base rent is $1,058 per month. There is no renewal options associated with the lease.</w:t>
      </w:r>
    </w:p>
    <w:p>
      <w:pPr>
        <w:spacing w:after="0" w:line="126"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4"/>
          <w:szCs w:val="14"/>
          <w:color w:val="auto"/>
        </w:rPr>
        <w:t>The Company has an operating lease for office space in Redwood City, California which was entered into in June 2025 and expires in June 2026. Under the terms of the lease, base rent is $6,006 per month. There is no renewal options associated with the lease.</w:t>
      </w:r>
    </w:p>
    <w:p>
      <w:pPr>
        <w:spacing w:after="0" w:line="126" w:lineRule="exact"/>
        <w:rPr>
          <w:sz w:val="20"/>
          <w:szCs w:val="20"/>
          <w:color w:val="auto"/>
        </w:rPr>
      </w:pPr>
    </w:p>
    <w:p>
      <w:pPr>
        <w:ind w:left="1400" w:right="479"/>
        <w:spacing w:after="0" w:line="259" w:lineRule="auto"/>
        <w:rPr>
          <w:sz w:val="20"/>
          <w:szCs w:val="20"/>
          <w:color w:val="auto"/>
        </w:rPr>
      </w:pPr>
      <w:r>
        <w:rPr>
          <w:rFonts w:ascii="Times New Roman" w:cs="Times New Roman" w:eastAsia="Times New Roman" w:hAnsi="Times New Roman"/>
          <w:sz w:val="14"/>
          <w:szCs w:val="14"/>
          <w:color w:val="auto"/>
        </w:rPr>
        <w:t>Operating lease costs for the three months ended March 31, 2026 and 2025 were $22,926 and $4,473, respectively. Cash payments included in the measurement of operating lease liabilities for the three months ended March 31, 2026 were $21,191 and $44,058, respectively. The weighted average remaining lease term as of March 31, 2026 was 1.21 years. The weighted-average discount rate during the three months ended March 31, 2026 was 22.54%.</w:t>
      </w:r>
    </w:p>
    <w:p>
      <w:pPr>
        <w:spacing w:after="0" w:line="139" w:lineRule="exact"/>
        <w:rPr>
          <w:sz w:val="20"/>
          <w:szCs w:val="20"/>
          <w:color w:val="auto"/>
        </w:rPr>
      </w:pPr>
    </w:p>
    <w:p>
      <w:pPr>
        <w:ind w:left="1400" w:right="519"/>
        <w:spacing w:after="0" w:line="279" w:lineRule="auto"/>
        <w:rPr>
          <w:sz w:val="20"/>
          <w:szCs w:val="20"/>
          <w:color w:val="auto"/>
        </w:rPr>
      </w:pPr>
      <w:r>
        <w:rPr>
          <w:rFonts w:ascii="Times New Roman" w:cs="Times New Roman" w:eastAsia="Times New Roman" w:hAnsi="Times New Roman"/>
          <w:sz w:val="14"/>
          <w:szCs w:val="14"/>
          <w:color w:val="auto"/>
        </w:rPr>
        <w:t>The Company utilizes the rate implicit in the lease or the estimated incremental borrowing rate at the commencement of the lease in determining the present value of future payments.</w:t>
      </w:r>
    </w:p>
    <w:p>
      <w:pPr>
        <w:spacing w:after="0" w:line="126"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color w:val="auto"/>
        </w:rPr>
        <w:t>Variable lease expense includes rental increases that are not fixed, such as those based on amounts paid to the lessor based on cost or consumption, such as maintenance and utilities. Operating lease costs are included in general and administrative expenses in the statements of operations and comprehensive income (loss).</w:t>
      </w:r>
    </w:p>
    <w:p>
      <w:pPr>
        <w:spacing w:after="0" w:line="1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Maturities of the operating lease liabilities are summarized as follows as of March 31, 2026:</w:t>
      </w:r>
    </w:p>
    <w:p>
      <w:pPr>
        <w:spacing w:after="0" w:line="189" w:lineRule="exact"/>
        <w:rPr>
          <w:sz w:val="20"/>
          <w:szCs w:val="20"/>
          <w:color w:val="auto"/>
        </w:rPr>
      </w:pPr>
    </w:p>
    <w:tbl>
      <w:tblPr>
        <w:tblLayout w:type="fixed"/>
        <w:tblInd w:w="2760" w:type="dxa"/>
        <w:tblCellMar>
          <w:top w:w="0" w:type="dxa"/>
          <w:left w:w="0" w:type="dxa"/>
          <w:bottom w:w="0" w:type="dxa"/>
          <w:right w:w="0" w:type="dxa"/>
        </w:tblCellMar>
      </w:tblPr>
      <w:tr>
        <w:trPr>
          <w:trHeight w:val="134"/>
        </w:trPr>
        <w:tc>
          <w:tcPr>
            <w:tcW w:w="2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5"/>
              </w:rPr>
              <w:t>(in thousands)</w:t>
            </w:r>
          </w:p>
        </w:tc>
      </w:tr>
      <w:tr>
        <w:trPr>
          <w:trHeight w:val="157"/>
        </w:trPr>
        <w:tc>
          <w:tcPr>
            <w:tcW w:w="2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2026 (remaining nine months)</w:t>
            </w:r>
          </w:p>
        </w:tc>
        <w:tc>
          <w:tcPr>
            <w:tcW w:w="24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ind w:left="100"/>
              <w:spacing w:after="0" w:line="157" w:lineRule="exact"/>
              <w:rPr>
                <w:sz w:val="20"/>
                <w:szCs w:val="20"/>
                <w:color w:val="auto"/>
              </w:rPr>
            </w:pPr>
            <w:r>
              <w:rPr>
                <w:rFonts w:ascii="Times New Roman" w:cs="Times New Roman" w:eastAsia="Times New Roman" w:hAnsi="Times New Roman"/>
                <w:sz w:val="14"/>
                <w:szCs w:val="14"/>
                <w:color w:val="auto"/>
                <w:w w:val="93"/>
              </w:rPr>
              <w:t>21,533</w:t>
            </w:r>
          </w:p>
        </w:tc>
        <w:tc>
          <w:tcPr>
            <w:tcW w:w="100" w:type="dxa"/>
            <w:vAlign w:val="bottom"/>
            <w:tcBorders>
              <w:top w:val="single" w:sz="8" w:color="CCEEFF"/>
            </w:tcBorders>
            <w:shd w:val="clear" w:color="auto" w:fill="CCEEFF"/>
          </w:tcPr>
          <w:p>
            <w:pPr>
              <w:spacing w:after="0"/>
              <w:rPr>
                <w:sz w:val="13"/>
                <w:szCs w:val="13"/>
                <w:color w:val="auto"/>
              </w:rPr>
            </w:pPr>
          </w:p>
        </w:tc>
      </w:tr>
      <w:tr>
        <w:trPr>
          <w:trHeight w:val="167"/>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12,694</w:t>
            </w:r>
          </w:p>
        </w:tc>
      </w:tr>
      <w:tr>
        <w:trPr>
          <w:trHeight w:val="16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1,552</w:t>
            </w:r>
          </w:p>
        </w:tc>
      </w:tr>
      <w:tr>
        <w:trPr>
          <w:trHeight w:val="168"/>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Minimum lease payments</w:t>
            </w:r>
          </w:p>
        </w:tc>
        <w:tc>
          <w:tcPr>
            <w:tcW w:w="2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3"/>
              </w:rPr>
              <w:t>35,779</w:t>
            </w:r>
          </w:p>
        </w:tc>
        <w:tc>
          <w:tcPr>
            <w:tcW w:w="100" w:type="dxa"/>
            <w:vAlign w:val="bottom"/>
          </w:tcPr>
          <w:p>
            <w:pPr>
              <w:spacing w:after="0"/>
              <w:rPr>
                <w:sz w:val="14"/>
                <w:szCs w:val="14"/>
                <w:color w:val="auto"/>
              </w:rPr>
            </w:pPr>
          </w:p>
        </w:tc>
      </w:tr>
      <w:tr>
        <w:trPr>
          <w:trHeight w:val="16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(4,810)</w:t>
            </w:r>
          </w:p>
        </w:tc>
      </w:tr>
      <w:tr>
        <w:trPr>
          <w:trHeight w:val="168"/>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Present value of operating lease liabilities</w:t>
            </w:r>
          </w:p>
        </w:tc>
        <w:tc>
          <w:tcPr>
            <w:tcW w:w="24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w w:val="93"/>
              </w:rPr>
              <w:t>30,969</w:t>
            </w:r>
          </w:p>
        </w:tc>
        <w:tc>
          <w:tcPr>
            <w:tcW w:w="100" w:type="dxa"/>
            <w:vAlign w:val="bottom"/>
          </w:tcPr>
          <w:p>
            <w:pPr>
              <w:spacing w:after="0"/>
              <w:rPr>
                <w:sz w:val="14"/>
                <w:szCs w:val="14"/>
                <w:color w:val="auto"/>
              </w:rPr>
            </w:pPr>
          </w:p>
        </w:tc>
      </w:tr>
      <w:tr>
        <w:trPr>
          <w:trHeight w:val="20"/>
        </w:trPr>
        <w:tc>
          <w:tcPr>
            <w:tcW w:w="2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portion</w:t>
            </w:r>
          </w:p>
        </w:tc>
        <w:tc>
          <w:tcPr>
            <w:tcW w:w="2600" w:type="dxa"/>
            <w:vAlign w:val="bottom"/>
            <w:gridSpan w:val="2"/>
            <w:shd w:val="clear" w:color="auto" w:fill="CCEEFF"/>
          </w:tcPr>
          <w:p>
            <w:pPr>
              <w:jc w:val="right"/>
              <w:ind w:right="67"/>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20,946</w:t>
            </w:r>
          </w:p>
        </w:tc>
      </w:tr>
      <w:tr>
        <w:trPr>
          <w:trHeight w:val="167"/>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w:t>
            </w: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10,023</w:t>
            </w:r>
          </w:p>
        </w:tc>
      </w:tr>
      <w:tr>
        <w:trPr>
          <w:trHeight w:val="21"/>
        </w:trPr>
        <w:tc>
          <w:tcPr>
            <w:tcW w:w="2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lease liabilities</w:t>
            </w:r>
          </w:p>
        </w:tc>
        <w:tc>
          <w:tcPr>
            <w:tcW w:w="2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30,969</w:t>
            </w:r>
          </w:p>
        </w:tc>
      </w:tr>
      <w:tr>
        <w:trPr>
          <w:trHeight w:val="20"/>
        </w:trPr>
        <w:tc>
          <w:tcPr>
            <w:tcW w:w="2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600" w:type="dxa"/>
            <w:vAlign w:val="bottom"/>
          </w:tcPr>
          <w:p>
            <w:pPr>
              <w:spacing w:after="0"/>
              <w:rPr>
                <w:sz w:val="22"/>
                <w:szCs w:val="22"/>
                <w:color w:val="auto"/>
              </w:rPr>
            </w:pPr>
          </w:p>
        </w:tc>
        <w:tc>
          <w:tcPr>
            <w:tcW w:w="2600" w:type="dxa"/>
            <w:vAlign w:val="bottom"/>
            <w:gridSpan w:val="2"/>
          </w:tcPr>
          <w:p>
            <w:pPr>
              <w:jc w:val="right"/>
              <w:ind w:right="2127"/>
              <w:spacing w:after="0"/>
              <w:rPr>
                <w:sz w:val="20"/>
                <w:szCs w:val="20"/>
                <w:color w:val="auto"/>
              </w:rPr>
            </w:pPr>
            <w:r>
              <w:rPr>
                <w:rFonts w:ascii="Times New Roman" w:cs="Times New Roman" w:eastAsia="Times New Roman" w:hAnsi="Times New Roman"/>
                <w:sz w:val="14"/>
                <w:szCs w:val="14"/>
                <w:color w:val="auto"/>
              </w:rPr>
              <w:t>F-68</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ectPr>
          <w:pgSz w:w="11900" w:h="16838" w:orient="portrait"/>
          <w:cols w:equalWidth="0" w:num="1">
            <w:col w:w="10159"/>
          </w:cols>
          <w:pgMar w:left="300" w:top="404"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7. STOCKHOLDERS’ DEFICIT</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1" w:lineRule="exact"/>
        <w:rPr>
          <w:sz w:val="20"/>
          <w:szCs w:val="20"/>
          <w:color w:val="auto"/>
        </w:rPr>
      </w:pPr>
    </w:p>
    <w:p>
      <w:pPr>
        <w:ind w:left="1400" w:right="419"/>
        <w:spacing w:after="0" w:line="259" w:lineRule="auto"/>
        <w:rPr>
          <w:sz w:val="20"/>
          <w:szCs w:val="20"/>
          <w:color w:val="auto"/>
        </w:rPr>
      </w:pPr>
      <w:r>
        <w:rPr>
          <w:rFonts w:ascii="Times New Roman" w:cs="Times New Roman" w:eastAsia="Times New Roman" w:hAnsi="Times New Roman"/>
          <w:sz w:val="14"/>
          <w:szCs w:val="14"/>
          <w:color w:val="auto"/>
        </w:rPr>
        <w:t>Pursuant to the certificate of incorporation dated October 30, 2024, the Company was authorized to issue 2,000,000 shares of common stock par value of $0.0001 per share. The holders of common stock have one vote for each share of common stock held of record by such holder as of the applicable record date. The Company’s founder contributed $250 upon the formation of Hadron Energy, LLC on July 8, 2024. On October 30, 2024, 900,000 shares of common stock were issued to the Company’s founder in exchange for his sole member interest in Hadron Energy, LLC.</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 Based Compensation</w:t>
      </w:r>
    </w:p>
    <w:p>
      <w:pPr>
        <w:spacing w:after="0" w:line="91" w:lineRule="exact"/>
        <w:rPr>
          <w:sz w:val="20"/>
          <w:szCs w:val="20"/>
          <w:color w:val="auto"/>
        </w:rPr>
      </w:pPr>
    </w:p>
    <w:p>
      <w:pPr>
        <w:ind w:left="1400" w:right="259"/>
        <w:spacing w:after="0" w:line="259" w:lineRule="auto"/>
        <w:rPr>
          <w:sz w:val="20"/>
          <w:szCs w:val="20"/>
          <w:color w:val="auto"/>
        </w:rPr>
      </w:pPr>
      <w:r>
        <w:rPr>
          <w:rFonts w:ascii="Times New Roman" w:cs="Times New Roman" w:eastAsia="Times New Roman" w:hAnsi="Times New Roman"/>
          <w:sz w:val="14"/>
          <w:szCs w:val="14"/>
          <w:color w:val="auto"/>
        </w:rPr>
        <w:t>On October 30, 2024, the Company adopted the Hadron Energy, Inc. 2024 Equity Incentive Plan (the “Plan”) whereby employees, officers, directors and consultants of the Company and its affiliates and others performing services to the Company may be given an opportunity to acquire up to 100,000 shares of common stock in the form of options and restricted stock purchase agreements (“RSPAs”). The exercise price, vesting and expiry date is determined for each grant by the Company’s Board of Directors.</w:t>
      </w:r>
    </w:p>
    <w:p>
      <w:pPr>
        <w:spacing w:after="0" w:line="139" w:lineRule="exact"/>
        <w:rPr>
          <w:sz w:val="20"/>
          <w:szCs w:val="20"/>
          <w:color w:val="auto"/>
        </w:rPr>
      </w:pPr>
    </w:p>
    <w:p>
      <w:pPr>
        <w:jc w:val="both"/>
        <w:ind w:left="1400" w:right="419"/>
        <w:spacing w:after="0" w:line="264" w:lineRule="auto"/>
        <w:rPr>
          <w:sz w:val="20"/>
          <w:szCs w:val="20"/>
          <w:color w:val="auto"/>
        </w:rPr>
      </w:pPr>
      <w:r>
        <w:rPr>
          <w:rFonts w:ascii="Times New Roman" w:cs="Times New Roman" w:eastAsia="Times New Roman" w:hAnsi="Times New Roman"/>
          <w:sz w:val="14"/>
          <w:szCs w:val="14"/>
          <w:color w:val="auto"/>
        </w:rPr>
        <w:t>On December 22, 2025, the Board of Directors approved an amendment to the Plan to increase the number of shares authorized for issuance under the Plan. The maximum aggregate number of shares of common stock that the Company may award under the Plan is 160,000. The term of the Plan is 10 years.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Purchase Awards</w:t>
      </w:r>
    </w:p>
    <w:p>
      <w:pPr>
        <w:spacing w:after="0" w:line="91" w:lineRule="exact"/>
        <w:rPr>
          <w:sz w:val="20"/>
          <w:szCs w:val="20"/>
          <w:color w:val="auto"/>
        </w:rPr>
      </w:pPr>
    </w:p>
    <w:p>
      <w:pPr>
        <w:ind w:left="1400" w:right="519"/>
        <w:spacing w:after="0" w:line="254" w:lineRule="auto"/>
        <w:rPr>
          <w:sz w:val="20"/>
          <w:szCs w:val="20"/>
          <w:color w:val="auto"/>
        </w:rPr>
      </w:pPr>
      <w:r>
        <w:rPr>
          <w:rFonts w:ascii="Times New Roman" w:cs="Times New Roman" w:eastAsia="Times New Roman" w:hAnsi="Times New Roman"/>
          <w:sz w:val="14"/>
          <w:szCs w:val="14"/>
          <w:color w:val="auto"/>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in accordance with ASC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This total compensation cost is then amortized to expense over the grantee’s vesting period. As no observable market price per share is available for the Company’s common stock, the Company uses a reasonable valuation method to estimate the current fair value per share of its common stock.</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following table summarizes the RSPAs activity during the year ended March 31, 2026:</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00" w:type="dxa"/>
            <w:vAlign w:val="bottom"/>
            <w:gridSpan w:val="3"/>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140" w:type="dxa"/>
            <w:vAlign w:val="bottom"/>
            <w:gridSpan w:val="2"/>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Unvested as of December 31, 2025</w:t>
            </w:r>
          </w:p>
        </w:tc>
        <w:tc>
          <w:tcPr>
            <w:tcW w:w="5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21,146</w:t>
            </w:r>
          </w:p>
        </w:tc>
        <w:tc>
          <w:tcPr>
            <w:tcW w:w="6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460.61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33,500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702.63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Cancelled</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485.33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Vested</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(2,813)</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627.75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as of March 31, 2026</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31,833</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685.02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right="479"/>
        <w:spacing w:after="0" w:line="259" w:lineRule="auto"/>
        <w:rPr>
          <w:sz w:val="20"/>
          <w:szCs w:val="20"/>
          <w:color w:val="auto"/>
        </w:rPr>
      </w:pPr>
      <w:r>
        <w:rPr>
          <w:rFonts w:ascii="Times New Roman" w:cs="Times New Roman" w:eastAsia="Times New Roman" w:hAnsi="Times New Roman"/>
          <w:sz w:val="14"/>
          <w:szCs w:val="14"/>
          <w:color w:val="auto"/>
        </w:rPr>
        <w:t>As of March 31, 2026, total unrecognized compensation cost related to RSPAs was $20,028,499, which is expected to be recognized over a weighted average period of 3.2 years. The weighted average grant date fair values per share of RSPAs granted during the period from January 1, 2026 to March 31, 2026 was $702.63 per share. The weighted average grant date fair values of RSPAs that vested during the period from January 1, 2026 to March 31, 2026 was $627.75 per share.</w:t>
      </w:r>
    </w:p>
    <w:p>
      <w:pPr>
        <w:spacing w:after="0" w:line="139"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4"/>
          <w:szCs w:val="14"/>
          <w:color w:val="auto"/>
        </w:rPr>
        <w:t>The Company recognized stock-based compensation of $2,734,113 for the three months ended March 31, 2026, of which $2,101,935 related to research and development and $632,178 related to general and administrative.</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F-69</w:t>
      </w:r>
    </w:p>
    <w:p>
      <w:pPr>
        <w:sectPr>
          <w:pgSz w:w="11900" w:h="16838" w:orient="portrait"/>
          <w:cols w:equalWidth="0" w:num="1">
            <w:col w:w="10159"/>
          </w:cols>
          <w:pgMar w:left="300" w:top="404"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639"/>
        <w:spacing w:after="0" w:line="279" w:lineRule="auto"/>
        <w:rPr>
          <w:sz w:val="20"/>
          <w:szCs w:val="20"/>
          <w:color w:val="auto"/>
        </w:rPr>
      </w:pPr>
      <w:r>
        <w:rPr>
          <w:rFonts w:ascii="Times New Roman" w:cs="Times New Roman" w:eastAsia="Times New Roman" w:hAnsi="Times New Roman"/>
          <w:sz w:val="14"/>
          <w:szCs w:val="14"/>
          <w:color w:val="auto"/>
        </w:rPr>
        <w:t>The Company recognized stock-based compensation expense of $9,013 for the three months ended March 31, 2025, which related to research and development.</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 stock options were granted during the three months ended March 31, 2026 and 2025.</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8. INCOME TAXES</w:t>
      </w:r>
    </w:p>
    <w:p>
      <w:pPr>
        <w:spacing w:after="0" w:line="91"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For the three months ended March 31, 2026 and 2025, the Company recorded no provision for income taxes, resulting in an effective tax rate of 0% for each period. This reflects the US federal statutory rate of 21% on pre-tax loss offset by a full valuation allowance against its net deferred tax assets where it is more likely than not that the deferred tax assets will not be realized. Although the Company generated pretax income during the three months ended March 31, 2026, no income tax expense was recorded due to the existence of a full valuation allowance against the Company’s federal and state deferred tax assets.</w:t>
      </w:r>
    </w:p>
    <w:p>
      <w:pPr>
        <w:spacing w:after="0" w:line="140" w:lineRule="exact"/>
        <w:rPr>
          <w:sz w:val="20"/>
          <w:szCs w:val="20"/>
          <w:color w:val="auto"/>
        </w:rPr>
      </w:pPr>
    </w:p>
    <w:p>
      <w:pPr>
        <w:ind w:left="1400" w:right="359"/>
        <w:spacing w:after="0" w:line="286" w:lineRule="auto"/>
        <w:rPr>
          <w:sz w:val="20"/>
          <w:szCs w:val="20"/>
          <w:color w:val="auto"/>
        </w:rPr>
      </w:pPr>
      <w:r>
        <w:rPr>
          <w:rFonts w:ascii="Times New Roman" w:cs="Times New Roman" w:eastAsia="Times New Roman" w:hAnsi="Times New Roman"/>
          <w:sz w:val="13"/>
          <w:szCs w:val="13"/>
          <w:color w:val="auto"/>
        </w:rPr>
        <w:t xml:space="preserve">ASC 740-10, </w:t>
      </w:r>
      <w:r>
        <w:rPr>
          <w:rFonts w:ascii="Times New Roman" w:cs="Times New Roman" w:eastAsia="Times New Roman" w:hAnsi="Times New Roman"/>
          <w:sz w:val="13"/>
          <w:szCs w:val="13"/>
          <w:i w:val="1"/>
          <w:iCs w:val="1"/>
          <w:color w:val="auto"/>
        </w:rPr>
        <w:t>Accounting for Uncertainty in Income Taxes</w:t>
      </w:r>
      <w:r>
        <w:rPr>
          <w:rFonts w:ascii="Times New Roman" w:cs="Times New Roman" w:eastAsia="Times New Roman" w:hAnsi="Times New Roman"/>
          <w:sz w:val="13"/>
          <w:szCs w:val="13"/>
          <w:color w:val="auto"/>
        </w:rPr>
        <w:t>, prescribes a comprehensive model for the recognition, measurement, presentation, and disclosure in the financial statements for any uncertain tax positions that have been taken or expected to be taken on a tax return. As of March 31, 2026 and December 31, 2025, the Company had no unrecognized tax benefits. The amount of unrecognized tax benefits is not expected to significantly change over the next twelve months. No amounts, outside of valuation allowance, would impact the effective tax rate on continuing operations.</w:t>
      </w:r>
    </w:p>
    <w:p>
      <w:pPr>
        <w:spacing w:after="0" w:line="124" w:lineRule="exact"/>
        <w:rPr>
          <w:sz w:val="20"/>
          <w:szCs w:val="20"/>
          <w:color w:val="auto"/>
        </w:rPr>
      </w:pPr>
    </w:p>
    <w:p>
      <w:pPr>
        <w:ind w:left="1400" w:right="339"/>
        <w:spacing w:after="0" w:line="256" w:lineRule="auto"/>
        <w:rPr>
          <w:sz w:val="20"/>
          <w:szCs w:val="20"/>
          <w:color w:val="auto"/>
        </w:rPr>
      </w:pPr>
      <w:r>
        <w:rPr>
          <w:rFonts w:ascii="Times New Roman" w:cs="Times New Roman" w:eastAsia="Times New Roman" w:hAnsi="Times New Roman"/>
          <w:sz w:val="14"/>
          <w:szCs w:val="14"/>
          <w:color w:val="auto"/>
        </w:rPr>
        <w:t>On July 4, 2025, the One Big Beautiful Bill (“OBBB”) was signed into law, making permanent several provisions of the Tax Cuts and Jobs Act of 2017 and introducing additional reforms to U.S. tax law. Although 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2026 and 2025. However, the legislation is expected to influence future tax planning, entity structuring, and investment decisions.</w:t>
      </w:r>
    </w:p>
    <w:p>
      <w:pPr>
        <w:spacing w:after="0" w:line="142" w:lineRule="exact"/>
        <w:rPr>
          <w:sz w:val="20"/>
          <w:szCs w:val="20"/>
          <w:color w:val="auto"/>
        </w:rPr>
      </w:pPr>
    </w:p>
    <w:p>
      <w:pPr>
        <w:ind w:left="1400" w:right="719"/>
        <w:spacing w:after="0" w:line="279" w:lineRule="auto"/>
        <w:rPr>
          <w:sz w:val="20"/>
          <w:szCs w:val="20"/>
          <w:color w:val="auto"/>
        </w:rPr>
      </w:pPr>
      <w:r>
        <w:rPr>
          <w:rFonts w:ascii="Times New Roman" w:cs="Times New Roman" w:eastAsia="Times New Roman" w:hAnsi="Times New Roman"/>
          <w:sz w:val="14"/>
          <w:szCs w:val="14"/>
          <w:color w:val="auto"/>
        </w:rPr>
        <w:t>All tax returns will remain open for examination by the federal and state taxing authorities for three and four years, respectively, from the date of utilization of any net operating loss carryforwards.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9. RELATED PARTY TRANSACTIONS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Reimbursement of costs</w:t>
      </w:r>
    </w:p>
    <w:p>
      <w:pPr>
        <w:spacing w:after="0" w:line="91"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The Company has entered into SAFEs (Note 5) and RSPAs (Note 7) with certain individuals, who have also provided services to the Company. The Company incurred costs related to contract labor of $1,946 and $26,149 for the three months ended March 31, 2026 and 2025, respectively, to these individuals, which is included in general and administrative and research and development expenses in the accompanying statements of operations and comprehensive income (loss). Additionally, the Company paid $12,000 to a SAFE Note Holder for public relations services (monthly retainer) during the three months ended March 31, 2026, which is included in general and administrative expense in the accompanying condensed statement of operations and comprehensive income (loss).</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91" w:lineRule="exact"/>
        <w:rPr>
          <w:sz w:val="20"/>
          <w:szCs w:val="20"/>
          <w:color w:val="auto"/>
        </w:rPr>
      </w:pPr>
    </w:p>
    <w:p>
      <w:pPr>
        <w:ind w:left="1400" w:right="419"/>
        <w:spacing w:after="0" w:line="256" w:lineRule="auto"/>
        <w:rPr>
          <w:sz w:val="20"/>
          <w:szCs w:val="20"/>
          <w:color w:val="auto"/>
        </w:rPr>
      </w:pPr>
      <w:r>
        <w:rPr>
          <w:rFonts w:ascii="Times New Roman" w:cs="Times New Roman" w:eastAsia="Times New Roman" w:hAnsi="Times New Roman"/>
          <w:sz w:val="14"/>
          <w:szCs w:val="14"/>
          <w:color w:val="auto"/>
        </w:rPr>
        <w:t>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F-70</w:t>
      </w:r>
    </w:p>
    <w:p>
      <w:pPr>
        <w:sectPr>
          <w:pgSz w:w="11900" w:h="16838" w:orient="portrait"/>
          <w:cols w:equalWidth="0" w:num="1">
            <w:col w:w="10159"/>
          </w:cols>
          <w:pgMar w:left="300" w:top="404"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 is engaged in an ongoing legal matter with a former employee related to their departure in December 2025. The Company was expected</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incur a settlement cost of $16,345,000 to resolve the dispute, which was deemed probable and estimable and was recognized within general and</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administrative expenses during the year ended December 31, 2025. The proposed settlement includes $100,000 of cash with the remaining amount to be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settled in stock upon final resolution of the legal matter. As of March 31, 2026, the settlement cost to resolve the dispute was estimated to be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$11,655,362, resulting in a change in fair value of legal settlement liability of $4,689,638, which was recorded in general and administrative expense in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statements of operations and comprehensive income (loss) for the three months ended March 31, 2026. As of March 31, 2026, the accrued legal</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settlement of $11,655,362 was recorded in accrued expenses.</w:t>
      </w:r>
    </w:p>
    <w:p>
      <w:pPr>
        <w:spacing w:after="0" w:line="158" w:lineRule="exact"/>
        <w:rPr>
          <w:sz w:val="20"/>
          <w:szCs w:val="20"/>
          <w:color w:val="auto"/>
        </w:rPr>
      </w:pPr>
    </w:p>
    <w:p>
      <w:pPr>
        <w:ind w:left="1400" w:right="399"/>
        <w:spacing w:after="0" w:line="279" w:lineRule="auto"/>
        <w:rPr>
          <w:sz w:val="20"/>
          <w:szCs w:val="20"/>
          <w:color w:val="auto"/>
        </w:rPr>
      </w:pPr>
      <w:r>
        <w:rPr>
          <w:rFonts w:ascii="Times New Roman" w:cs="Times New Roman" w:eastAsia="Times New Roman" w:hAnsi="Times New Roman"/>
          <w:sz w:val="14"/>
          <w:szCs w:val="14"/>
          <w:color w:val="auto"/>
        </w:rPr>
        <w:t>Other than the above, management is not aware of any other legal proceedings or adverse outcome of which, in management’s opinion, individually or in the aggregate, could have a material adverse effect on the Company’s results of operations, financial position or cash flows.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11. SUBSEQUENT EVENTS</w:t>
      </w:r>
    </w:p>
    <w:p>
      <w:pPr>
        <w:spacing w:after="0" w:line="91" w:lineRule="exact"/>
        <w:rPr>
          <w:sz w:val="20"/>
          <w:szCs w:val="20"/>
          <w:color w:val="auto"/>
        </w:rPr>
      </w:pPr>
    </w:p>
    <w:p>
      <w:pPr>
        <w:ind w:left="1400" w:right="459"/>
        <w:spacing w:after="0" w:line="319" w:lineRule="auto"/>
        <w:rPr>
          <w:sz w:val="20"/>
          <w:szCs w:val="20"/>
          <w:color w:val="auto"/>
        </w:rPr>
      </w:pPr>
      <w:r>
        <w:rPr>
          <w:rFonts w:ascii="Times New Roman" w:cs="Times New Roman" w:eastAsia="Times New Roman" w:hAnsi="Times New Roman"/>
          <w:sz w:val="13"/>
          <w:szCs w:val="13"/>
          <w:color w:val="auto"/>
        </w:rPr>
        <w:t>The Company has evaluated all events or transactions that occurred after March 31, 2026 through May 29, 2026, which is the date that the condensed financial statements were available to be issued. During this period, there were no material subsequent events requiring disclosure except as follows:</w:t>
      </w:r>
    </w:p>
    <w:p>
      <w:pPr>
        <w:spacing w:after="0" w:line="10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Subsequent to March 31, 2026, the Company received gross proceeds associated with SAFE equity financings aggregating approximately $1,710,000.</w:t>
      </w:r>
    </w:p>
    <w:p>
      <w:pPr>
        <w:spacing w:after="0" w:line="173" w:lineRule="exact"/>
        <w:rPr>
          <w:sz w:val="20"/>
          <w:szCs w:val="20"/>
          <w:color w:val="auto"/>
        </w:rPr>
      </w:pPr>
    </w:p>
    <w:p>
      <w:pPr>
        <w:ind w:left="1400" w:right="279"/>
        <w:spacing w:after="0" w:line="276" w:lineRule="auto"/>
        <w:rPr>
          <w:sz w:val="20"/>
          <w:szCs w:val="20"/>
          <w:color w:val="auto"/>
        </w:rPr>
      </w:pPr>
      <w:r>
        <w:rPr>
          <w:rFonts w:ascii="Times New Roman" w:cs="Times New Roman" w:eastAsia="Times New Roman" w:hAnsi="Times New Roman"/>
          <w:sz w:val="13"/>
          <w:szCs w:val="13"/>
          <w:color w:val="auto"/>
        </w:rPr>
        <w:t>On April 16, 2026, GigCapital7, Merger Sub, and the Company entered into a second amendment to the Business Combination Agreement (the “Second Amendment”), which amends the Business Combination Agreement to (a) adjust the valuation of the Company and (b) extend the Outside Date. The Second Amendment amends the definition of “Public Company (Pre-Capital Raise) Valuation” set forth in Article X of the Business Combination Agreement to mean $776,599,997, which has the effect of reducing the Aggregate Merger Consideration to be issued for the securities of the Company to 60,000,000 shares of Domesticated Purchaser Common Stock, which at a nominal value of $10.00 per share would have a valuation for the Company of $600 million. The Second Amendment also amends Section 8.01(c) of the Business Combination Agreement to replace the date “April 30, 2026” with the date “May 31, 2026.” As a result, all references to the “Outside Date” in the Business Combination Agreement now refer to May 31, 2026.</w:t>
      </w:r>
    </w:p>
    <w:p>
      <w:pPr>
        <w:spacing w:after="0" w:line="13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On May 7, 2026, at the extraordinary general meeting, the Company and the shareholders of GigCapital7 approved the Business Combination contemplated by the Business Combination Agreement, and as amended, including the merger of Merger Sub with and into Hadron, with Hadron surviving the merger, and issuance of common stock of the Company to Hadron equity holders as merger consideration. On May 22, 2026, the Business Combination was consummated. Net proceeds to be received by the Company upon consummation of the Business Combination, after giving effect to 16,834,491 shares tendered for redemption, are approximately $33.9 million. Additionally, a forward stock purchase agreement was entered into for a purchase amount of $5.9 million paid at closing from the cash released from the GigCapital7 trust account.</w:t>
      </w:r>
    </w:p>
    <w:p>
      <w:pPr>
        <w:spacing w:after="0" w:line="145"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color w:val="auto"/>
        </w:rPr>
        <w:t>Upon consummation of the Business Combination, all outstanding historical Hadron Energy equity interests, including common shares, SAFEs, and stock awards, were converted or exchanged into shares of, or rights to acquire shares of, Class A or Class B common stock in the combined company in accordance with the terms of the Business Combination Agreement and the applicable Exchange Ratio.</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F-71</w:t>
      </w:r>
    </w:p>
    <w:p>
      <w:pPr>
        <w:sectPr>
          <w:pgSz w:w="11900" w:h="16838" w:orient="portrait"/>
          <w:cols w:equalWidth="0" w:num="1">
            <w:col w:w="10159"/>
          </w:cols>
          <w:pgMar w:left="300" w:top="404"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1"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p>
      <w:pPr>
        <w:spacing w:after="0" w:line="143" w:lineRule="exact"/>
        <w:rPr>
          <w:sz w:val="20"/>
          <w:szCs w:val="20"/>
          <w:color w:val="auto"/>
        </w:rPr>
      </w:pPr>
    </w:p>
    <w:tbl>
      <w:tblPr>
        <w:tblLayout w:type="fixed"/>
        <w:tblInd w:w="2760" w:type="dxa"/>
        <w:tblCellMar>
          <w:top w:w="0" w:type="dxa"/>
          <w:left w:w="0" w:type="dxa"/>
          <w:bottom w:w="0" w:type="dxa"/>
          <w:right w:w="0" w:type="dxa"/>
        </w:tblCellMar>
      </w:tblPr>
      <w:tr>
        <w:trPr>
          <w:trHeight w:val="134"/>
        </w:trPr>
        <w:tc>
          <w:tcPr>
            <w:tcW w:w="3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57"/>
        </w:trPr>
        <w:tc>
          <w:tcPr>
            <w:tcW w:w="32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SEC registration fee</w:t>
            </w:r>
          </w:p>
        </w:tc>
        <w:tc>
          <w:tcPr>
            <w:tcW w:w="16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68,559.86</w:t>
            </w:r>
          </w:p>
        </w:tc>
        <w:tc>
          <w:tcPr>
            <w:tcW w:w="60" w:type="dxa"/>
            <w:vAlign w:val="bottom"/>
            <w:tcBorders>
              <w:top w:val="single" w:sz="8" w:color="CCEEFF"/>
            </w:tcBorders>
            <w:shd w:val="clear" w:color="auto" w:fill="CCEEFF"/>
          </w:tcPr>
          <w:p>
            <w:pPr>
              <w:spacing w:after="0"/>
              <w:rPr>
                <w:sz w:val="13"/>
                <w:szCs w:val="13"/>
                <w:color w:val="auto"/>
              </w:rPr>
            </w:pPr>
          </w:p>
        </w:tc>
      </w:tr>
      <w:tr>
        <w:trPr>
          <w:trHeight w:val="167"/>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75,000</w:t>
            </w:r>
          </w:p>
        </w:tc>
      </w:tr>
      <w:tr>
        <w:trPr>
          <w:trHeight w:val="16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tcPr>
          <w:p>
            <w:pPr>
              <w:spacing w:after="0"/>
              <w:rPr>
                <w:sz w:val="14"/>
                <w:szCs w:val="14"/>
                <w:color w:val="auto"/>
              </w:rPr>
            </w:pPr>
          </w:p>
        </w:tc>
      </w:tr>
      <w:tr>
        <w:trPr>
          <w:trHeight w:val="16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198,559.86</w:t>
            </w:r>
          </w:p>
        </w:tc>
      </w:tr>
      <w:tr>
        <w:trPr>
          <w:trHeight w:val="20"/>
        </w:trPr>
        <w:tc>
          <w:tcPr>
            <w:tcW w:w="3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We will bear all costs, expenses and fees in connection with the registration of the securities, including with regard to compliance with state securities or “blue sky” laws. The Selling Securityholders, however, will bear all underwriting commissions and discounts, if any, attributable to their sale of the securities. All amounts are estimates except the SEC registration fee.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91"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Our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Section 145. Indemnification of officers, directors, employees, and agents; insurance.</w:t>
      </w:r>
    </w:p>
    <w:p>
      <w:pPr>
        <w:spacing w:after="0" w:line="173" w:lineRule="exact"/>
        <w:rPr>
          <w:sz w:val="20"/>
          <w:szCs w:val="20"/>
          <w:color w:val="auto"/>
        </w:rPr>
      </w:pPr>
    </w:p>
    <w:p>
      <w:pPr>
        <w:ind w:left="1400" w:right="259" w:firstLine="330"/>
        <w:spacing w:after="0" w:line="251" w:lineRule="auto"/>
        <w:tabs>
          <w:tab w:leader="none" w:pos="19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49" w:lineRule="exact"/>
        <w:rPr>
          <w:rFonts w:ascii="Times New Roman" w:cs="Times New Roman" w:eastAsia="Times New Roman" w:hAnsi="Times New Roman"/>
          <w:sz w:val="14"/>
          <w:szCs w:val="14"/>
          <w:color w:val="auto"/>
        </w:rPr>
      </w:pPr>
    </w:p>
    <w:p>
      <w:pPr>
        <w:ind w:left="1400" w:right="299" w:firstLine="330"/>
        <w:spacing w:after="0" w:line="253" w:lineRule="auto"/>
        <w:tabs>
          <w:tab w:leader="none" w:pos="193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405"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539"/>
        <w:spacing w:after="0" w:line="264" w:lineRule="auto"/>
        <w:rPr>
          <w:sz w:val="20"/>
          <w:szCs w:val="20"/>
          <w:color w:val="auto"/>
        </w:rPr>
      </w:pPr>
      <w:r>
        <w:rPr>
          <w:rFonts w:ascii="Times New Roman" w:cs="Times New Roman" w:eastAsia="Times New Roman" w:hAnsi="Times New Roman"/>
          <w:sz w:val="14"/>
          <w:szCs w:val="14"/>
          <w:color w:val="auto"/>
        </w:rPr>
        <w:t>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6" w:lineRule="exact"/>
        <w:rPr>
          <w:sz w:val="20"/>
          <w:szCs w:val="20"/>
          <w:color w:val="auto"/>
        </w:rPr>
      </w:pPr>
    </w:p>
    <w:p>
      <w:pPr>
        <w:ind w:left="1400" w:right="439" w:firstLine="330"/>
        <w:spacing w:after="0" w:line="264" w:lineRule="auto"/>
        <w:tabs>
          <w:tab w:leader="none" w:pos="1929"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36" w:lineRule="exact"/>
        <w:rPr>
          <w:rFonts w:ascii="Times New Roman" w:cs="Times New Roman" w:eastAsia="Times New Roman" w:hAnsi="Times New Roman"/>
          <w:sz w:val="14"/>
          <w:szCs w:val="14"/>
          <w:color w:val="auto"/>
        </w:rPr>
      </w:pPr>
    </w:p>
    <w:p>
      <w:pPr>
        <w:ind w:left="1400" w:right="279" w:firstLine="330"/>
        <w:spacing w:after="0" w:line="271" w:lineRule="auto"/>
        <w:tabs>
          <w:tab w:leader="none" w:pos="1937"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w:t>
      </w:r>
    </w:p>
    <w:p>
      <w:pPr>
        <w:spacing w:after="0" w:line="3" w:lineRule="exact"/>
        <w:rPr>
          <w:rFonts w:ascii="Times New Roman" w:cs="Times New Roman" w:eastAsia="Times New Roman" w:hAnsi="Times New Roman"/>
          <w:sz w:val="13"/>
          <w:szCs w:val="13"/>
          <w:color w:val="auto"/>
        </w:rPr>
      </w:pPr>
    </w:p>
    <w:p>
      <w:pPr>
        <w:ind w:left="1580" w:hanging="190"/>
        <w:spacing w:after="0"/>
        <w:tabs>
          <w:tab w:leader="none" w:pos="15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stockholders.</w:t>
      </w:r>
    </w:p>
    <w:p>
      <w:pPr>
        <w:spacing w:after="0" w:line="157" w:lineRule="exact"/>
        <w:rPr>
          <w:rFonts w:ascii="Times New Roman" w:cs="Times New Roman" w:eastAsia="Times New Roman" w:hAnsi="Times New Roman"/>
          <w:sz w:val="14"/>
          <w:szCs w:val="14"/>
          <w:color w:val="auto"/>
        </w:rPr>
      </w:pPr>
    </w:p>
    <w:p>
      <w:pPr>
        <w:ind w:left="1400" w:right="279" w:firstLine="330"/>
        <w:spacing w:after="0" w:line="256" w:lineRule="auto"/>
        <w:tabs>
          <w:tab w:leader="none" w:pos="1929"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42" w:lineRule="exact"/>
        <w:rPr>
          <w:rFonts w:ascii="Times New Roman" w:cs="Times New Roman" w:eastAsia="Times New Roman" w:hAnsi="Times New Roman"/>
          <w:sz w:val="14"/>
          <w:szCs w:val="14"/>
          <w:color w:val="auto"/>
        </w:rPr>
      </w:pPr>
    </w:p>
    <w:p>
      <w:pPr>
        <w:ind w:left="1400" w:right="299" w:firstLine="330"/>
        <w:spacing w:after="0" w:line="276" w:lineRule="auto"/>
        <w:tabs>
          <w:tab w:leader="none" w:pos="1914"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31" w:lineRule="exact"/>
        <w:rPr>
          <w:rFonts w:ascii="Times New Roman" w:cs="Times New Roman" w:eastAsia="Times New Roman" w:hAnsi="Times New Roman"/>
          <w:sz w:val="13"/>
          <w:szCs w:val="13"/>
          <w:color w:val="auto"/>
        </w:rPr>
      </w:pPr>
    </w:p>
    <w:p>
      <w:pPr>
        <w:ind w:left="1400" w:right="319" w:firstLine="330"/>
        <w:spacing w:after="0" w:line="256" w:lineRule="auto"/>
        <w:tabs>
          <w:tab w:leader="none" w:pos="1937"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42" w:lineRule="exact"/>
        <w:rPr>
          <w:rFonts w:ascii="Times New Roman" w:cs="Times New Roman" w:eastAsia="Times New Roman" w:hAnsi="Times New Roman"/>
          <w:sz w:val="14"/>
          <w:szCs w:val="14"/>
          <w:color w:val="auto"/>
        </w:rPr>
      </w:pPr>
    </w:p>
    <w:p>
      <w:pPr>
        <w:ind w:left="1400" w:right="299" w:firstLine="330"/>
        <w:spacing w:after="0" w:line="256" w:lineRule="auto"/>
        <w:tabs>
          <w:tab w:leader="none" w:pos="1937"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405"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79" w:lineRule="auto"/>
        <w:rPr>
          <w:sz w:val="20"/>
          <w:szCs w:val="20"/>
          <w:color w:val="auto"/>
        </w:rPr>
      </w:pPr>
      <w:r>
        <w:rPr>
          <w:rFonts w:ascii="Times New Roman" w:cs="Times New Roman" w:eastAsia="Times New Roman" w:hAnsi="Times New Roman"/>
          <w:sz w:val="14"/>
          <w:szCs w:val="14"/>
          <w:color w:val="auto"/>
        </w:rPr>
        <w:t>shall stand in the same position under this section with respect to the resulting or surviving corporation as such person would have with respect to such constituent corporation if its separate existence had continued.</w:t>
      </w:r>
    </w:p>
    <w:p>
      <w:pPr>
        <w:spacing w:after="0" w:line="126" w:lineRule="exact"/>
        <w:rPr>
          <w:sz w:val="20"/>
          <w:szCs w:val="20"/>
          <w:color w:val="auto"/>
        </w:rPr>
      </w:pPr>
    </w:p>
    <w:p>
      <w:pPr>
        <w:ind w:left="1400" w:right="299" w:firstLine="330"/>
        <w:spacing w:after="0" w:line="254" w:lineRule="auto"/>
        <w:tabs>
          <w:tab w:leader="none" w:pos="190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45" w:lineRule="exact"/>
        <w:rPr>
          <w:rFonts w:ascii="Times New Roman" w:cs="Times New Roman" w:eastAsia="Times New Roman" w:hAnsi="Times New Roman"/>
          <w:sz w:val="14"/>
          <w:szCs w:val="14"/>
          <w:color w:val="auto"/>
        </w:rPr>
      </w:pPr>
    </w:p>
    <w:p>
      <w:pPr>
        <w:jc w:val="both"/>
        <w:ind w:left="1400" w:right="599" w:firstLine="330"/>
        <w:spacing w:after="0" w:line="264" w:lineRule="auto"/>
        <w:tabs>
          <w:tab w:leader="none" w:pos="190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36" w:lineRule="exact"/>
        <w:rPr>
          <w:rFonts w:ascii="Times New Roman" w:cs="Times New Roman" w:eastAsia="Times New Roman" w:hAnsi="Times New Roman"/>
          <w:sz w:val="14"/>
          <w:szCs w:val="14"/>
          <w:color w:val="auto"/>
        </w:rPr>
      </w:pPr>
    </w:p>
    <w:p>
      <w:pPr>
        <w:ind w:left="1400" w:right="479" w:firstLine="330"/>
        <w:spacing w:after="0" w:line="264" w:lineRule="auto"/>
        <w:tabs>
          <w:tab w:leader="none" w:pos="1937"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47"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47"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42"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Our Charter also provides that we will, to the fullest extent authorized or permitted by applicable law, indemnify our current and former officers and directors, as well as those persons who, while directors or officers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405"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479"/>
        <w:spacing w:after="0" w:line="259" w:lineRule="auto"/>
        <w:rPr>
          <w:sz w:val="20"/>
          <w:szCs w:val="20"/>
          <w:color w:val="auto"/>
        </w:rPr>
      </w:pPr>
      <w:r>
        <w:rPr>
          <w:rFonts w:ascii="Times New Roman" w:cs="Times New Roman" w:eastAsia="Times New Roman" w:hAnsi="Times New Roman"/>
          <w:sz w:val="14"/>
          <w:szCs w:val="14"/>
          <w:color w:val="auto"/>
        </w:rPr>
        <w:t>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39" w:lineRule="exact"/>
        <w:rPr>
          <w:sz w:val="20"/>
          <w:szCs w:val="20"/>
          <w:color w:val="auto"/>
        </w:rPr>
      </w:pPr>
    </w:p>
    <w:p>
      <w:pPr>
        <w:jc w:val="both"/>
        <w:ind w:left="1400" w:right="679" w:firstLine="340"/>
        <w:spacing w:after="0" w:line="264" w:lineRule="auto"/>
        <w:rPr>
          <w:sz w:val="20"/>
          <w:szCs w:val="20"/>
          <w:color w:val="auto"/>
        </w:rPr>
      </w:pPr>
      <w:r>
        <w:rPr>
          <w:rFonts w:ascii="Times New Roman" w:cs="Times New Roman" w:eastAsia="Times New Roman" w:hAnsi="Times New Roman"/>
          <w:sz w:val="14"/>
          <w:szCs w:val="14"/>
          <w:color w:val="auto"/>
        </w:rPr>
        <w:t>Notwithstanding the foregoing, a person eligible for indemnification pursuant to our Charter will be indemnified by us in connection with a proceeding initiated by such person only if such proceeding was authorized by our board of directors, except for proceedings to enforce rights to indemnification.</w:t>
      </w:r>
    </w:p>
    <w:p>
      <w:pPr>
        <w:spacing w:after="0" w:line="136" w:lineRule="exact"/>
        <w:rPr>
          <w:sz w:val="20"/>
          <w:szCs w:val="20"/>
          <w:color w:val="auto"/>
        </w:rPr>
      </w:pPr>
    </w:p>
    <w:p>
      <w:pPr>
        <w:ind w:left="1400" w:right="399" w:firstLine="340"/>
        <w:spacing w:after="0" w:line="256" w:lineRule="auto"/>
        <w:rPr>
          <w:sz w:val="20"/>
          <w:szCs w:val="20"/>
          <w:color w:val="auto"/>
        </w:rPr>
      </w:pPr>
      <w:r>
        <w:rPr>
          <w:rFonts w:ascii="Times New Roman" w:cs="Times New Roman" w:eastAsia="Times New Roman" w:hAnsi="Times New Roman"/>
          <w:sz w:val="14"/>
          <w:szCs w:val="14"/>
          <w:color w:val="auto"/>
        </w:rPr>
        <w:t>The right to indemnification which will be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spacing w:after="0" w:line="142" w:lineRule="exact"/>
        <w:rPr>
          <w:sz w:val="20"/>
          <w:szCs w:val="20"/>
          <w:color w:val="auto"/>
        </w:rPr>
      </w:pPr>
    </w:p>
    <w:p>
      <w:pPr>
        <w:ind w:left="1400" w:right="459" w:firstLine="340"/>
        <w:spacing w:after="0" w:line="319" w:lineRule="auto"/>
        <w:rPr>
          <w:sz w:val="20"/>
          <w:szCs w:val="20"/>
          <w:color w:val="auto"/>
        </w:rPr>
      </w:pPr>
      <w:r>
        <w:rPr>
          <w:rFonts w:ascii="Times New Roman" w:cs="Times New Roman" w:eastAsia="Times New Roman" w:hAnsi="Times New Roman"/>
          <w:sz w:val="13"/>
          <w:szCs w:val="13"/>
          <w:color w:val="auto"/>
        </w:rPr>
        <w:t>The rights to indemnification and advancement of expenses will not be deemed exclusive of any other rights which any person covered by our Charter may have or hereafter acquire under law, our Charter, our Bylaws, an agreement, vote of stockholders or disinterested directors, or otherwise.</w:t>
      </w:r>
    </w:p>
    <w:p>
      <w:pPr>
        <w:spacing w:after="0" w:line="103" w:lineRule="exact"/>
        <w:rPr>
          <w:sz w:val="20"/>
          <w:szCs w:val="20"/>
          <w:color w:val="auto"/>
        </w:rPr>
      </w:pPr>
    </w:p>
    <w:p>
      <w:pPr>
        <w:ind w:left="1400" w:right="399" w:firstLine="340"/>
        <w:spacing w:after="0" w:line="278" w:lineRule="auto"/>
        <w:rPr>
          <w:sz w:val="20"/>
          <w:szCs w:val="20"/>
          <w:color w:val="auto"/>
        </w:rPr>
      </w:pPr>
      <w:r>
        <w:rPr>
          <w:rFonts w:ascii="Times New Roman" w:cs="Times New Roman" w:eastAsia="Times New Roman" w:hAnsi="Times New Roman"/>
          <w:sz w:val="13"/>
          <w:szCs w:val="13"/>
          <w:color w:val="auto"/>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also permits us, to the extent and in the manner authorized or permitted by law, to indemnify and to advance expenses to persons other than those specifically covered by our Charter.</w:t>
      </w:r>
    </w:p>
    <w:p>
      <w:pPr>
        <w:spacing w:after="0" w:line="129"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Our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42" w:lineRule="exact"/>
        <w:rPr>
          <w:sz w:val="20"/>
          <w:szCs w:val="20"/>
          <w:color w:val="auto"/>
        </w:rPr>
      </w:pPr>
    </w:p>
    <w:p>
      <w:pPr>
        <w:ind w:left="1400" w:right="459" w:firstLine="340"/>
        <w:spacing w:after="0" w:line="256" w:lineRule="auto"/>
        <w:rPr>
          <w:sz w:val="20"/>
          <w:szCs w:val="20"/>
          <w:color w:val="auto"/>
        </w:rPr>
      </w:pPr>
      <w:r>
        <w:rPr>
          <w:rFonts w:ascii="Times New Roman" w:cs="Times New Roman" w:eastAsia="Times New Roman" w:hAnsi="Times New Roman"/>
          <w:sz w:val="14"/>
          <w:szCs w:val="14"/>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42" w:lineRule="exact"/>
        <w:rPr>
          <w:sz w:val="20"/>
          <w:szCs w:val="20"/>
          <w:color w:val="auto"/>
        </w:rPr>
      </w:pPr>
    </w:p>
    <w:p>
      <w:pPr>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405"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Founder Shares</w:t>
      </w:r>
    </w:p>
    <w:p>
      <w:pPr>
        <w:spacing w:after="0" w:line="91" w:lineRule="exact"/>
        <w:rPr>
          <w:sz w:val="20"/>
          <w:szCs w:val="20"/>
          <w:color w:val="auto"/>
        </w:rPr>
      </w:pPr>
    </w:p>
    <w:p>
      <w:pPr>
        <w:ind w:left="1400" w:right="539" w:firstLine="340"/>
        <w:spacing w:after="0" w:line="259" w:lineRule="auto"/>
        <w:rPr>
          <w:sz w:val="20"/>
          <w:szCs w:val="20"/>
          <w:color w:val="auto"/>
        </w:rPr>
      </w:pPr>
      <w:r>
        <w:rPr>
          <w:rFonts w:ascii="Times New Roman" w:cs="Times New Roman" w:eastAsia="Times New Roman" w:hAnsi="Times New Roman"/>
          <w:sz w:val="14"/>
          <w:szCs w:val="14"/>
          <w:color w:val="auto"/>
        </w:rPr>
        <w:t>Prior to the GigCapital7 IPO, the Sponsor purchased 10,207,246 Founder Shares for an aggregate purchase price of $100,000, of which the Sponsor retains 9,932,246 following transfers of (i) 100,000 shares to the NY Philharmonic as a charitable contribution, (ii) 175,000 shares to Yield Point on January 21, 2026, for an aggregate purchase price of $148,750 and (iii) 300,000 Founder Shares to a consultant for consulting services in connection with the GigCapital7 IPO for an aggregate purchase price of $3,000.</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Shares</w:t>
      </w:r>
    </w:p>
    <w:p>
      <w:pPr>
        <w:spacing w:after="0" w:line="91" w:lineRule="exact"/>
        <w:rPr>
          <w:sz w:val="20"/>
          <w:szCs w:val="20"/>
          <w:color w:val="auto"/>
        </w:rPr>
      </w:pPr>
    </w:p>
    <w:p>
      <w:pPr>
        <w:ind w:left="1400" w:right="2539" w:firstLine="340"/>
        <w:spacing w:after="0" w:line="259" w:lineRule="auto"/>
        <w:rPr>
          <w:sz w:val="20"/>
          <w:szCs w:val="20"/>
          <w:color w:val="auto"/>
        </w:rPr>
      </w:pPr>
      <w:r>
        <w:rPr>
          <w:rFonts w:ascii="Times New Roman" w:cs="Times New Roman" w:eastAsia="Times New Roman" w:hAnsi="Times New Roman"/>
          <w:sz w:val="14"/>
          <w:szCs w:val="14"/>
          <w:color w:val="auto"/>
        </w:rPr>
        <w:t>On August 30, 2024, simultaneously with the closing of GigCapital7’s IPO, GigCapital7 completed the private sale and issuance of an aggregate of 2,826,087 Class B ordinary shares to thirteen groups of institutional investors. The private placement shares were sold at a purchase price of $1.15 per share, for aggregate gross proceeds of approximately $3,250,000.</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w:t>
      </w:r>
    </w:p>
    <w:p>
      <w:pPr>
        <w:spacing w:after="0" w:line="91" w:lineRule="exact"/>
        <w:rPr>
          <w:sz w:val="20"/>
          <w:szCs w:val="20"/>
          <w:color w:val="auto"/>
        </w:rPr>
      </w:pPr>
    </w:p>
    <w:p>
      <w:pPr>
        <w:ind w:left="1400" w:right="279" w:firstLine="340"/>
        <w:spacing w:after="0" w:line="319" w:lineRule="auto"/>
        <w:rPr>
          <w:sz w:val="20"/>
          <w:szCs w:val="20"/>
          <w:color w:val="auto"/>
        </w:rPr>
      </w:pPr>
      <w:r>
        <w:rPr>
          <w:rFonts w:ascii="Times New Roman" w:cs="Times New Roman" w:eastAsia="Times New Roman" w:hAnsi="Times New Roman"/>
          <w:sz w:val="13"/>
          <w:szCs w:val="13"/>
          <w:color w:val="auto"/>
        </w:rPr>
        <w:t>On August 30, 2024, simultaneously with the closing of GigCapital7’s IPO, GigCapital7 completed the private sale and issuance of 3,719,000 private placement warrants to the Sponsor. The warrants were sold at a purchase price of $0.01561 per warrant, for aggregate gross proceeds of $58,060.</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91" w:lineRule="exact"/>
        <w:rPr>
          <w:sz w:val="20"/>
          <w:szCs w:val="20"/>
          <w:color w:val="auto"/>
        </w:rPr>
      </w:pPr>
    </w:p>
    <w:tbl>
      <w:tblPr>
        <w:tblLayout w:type="fixed"/>
        <w:tblInd w:w="1400" w:type="dxa"/>
        <w:tblCellMar>
          <w:top w:w="0" w:type="dxa"/>
          <w:left w:w="0" w:type="dxa"/>
          <w:bottom w:w="0" w:type="dxa"/>
          <w:right w:w="0" w:type="dxa"/>
        </w:tblCellMar>
      </w:tblPr>
      <w:tr>
        <w:trPr>
          <w:trHeight w:val="147"/>
        </w:trPr>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40" w:type="dxa"/>
            <w:vAlign w:val="bottom"/>
            <w:gridSpan w:val="10"/>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6"/>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2.1†</w:t>
            </w:r>
          </w:p>
        </w:tc>
        <w:tc>
          <w:tcPr>
            <w:tcW w:w="730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251">
              <w:r>
                <w:rPr>
                  <w:rFonts w:ascii="Times New Roman" w:cs="Times New Roman" w:eastAsia="Times New Roman" w:hAnsi="Times New Roman"/>
                  <w:sz w:val="14"/>
                  <w:szCs w:val="14"/>
                  <w:color w:val="0000EE"/>
                  <w:w w:val="98"/>
                </w:rPr>
                <w:t>Business Combination Agreement, dated as of September 27, 2025, by and among GigCapital7 Corp., MMR Merger Sub, Inc., and</w:t>
              </w:r>
            </w:hyperlink>
          </w:p>
        </w:tc>
        <w:tc>
          <w:tcPr>
            <w:tcW w:w="140" w:type="dxa"/>
            <w:vAlign w:val="bottom"/>
            <w:gridSpan w:val="4"/>
          </w:tcPr>
          <w:p>
            <w:pPr>
              <w:spacing w:after="0"/>
              <w:rPr>
                <w:sz w:val="17"/>
                <w:szCs w:val="17"/>
                <w:color w:val="auto"/>
              </w:rPr>
            </w:pPr>
          </w:p>
        </w:tc>
      </w:tr>
      <w:tr>
        <w:trPr>
          <w:trHeight w:val="147"/>
        </w:trPr>
        <w:tc>
          <w:tcPr>
            <w:tcW w:w="1040" w:type="dxa"/>
            <w:vAlign w:val="bottom"/>
          </w:tcPr>
          <w:p>
            <w:pPr>
              <w:spacing w:after="0"/>
              <w:rPr>
                <w:sz w:val="12"/>
                <w:szCs w:val="12"/>
                <w:color w:val="auto"/>
              </w:rPr>
            </w:pPr>
          </w:p>
        </w:tc>
        <w:tc>
          <w:tcPr>
            <w:tcW w:w="664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251">
              <w:r>
                <w:rPr>
                  <w:rFonts w:ascii="Times New Roman" w:cs="Times New Roman" w:eastAsia="Times New Roman" w:hAnsi="Times New Roman"/>
                  <w:sz w:val="14"/>
                  <w:szCs w:val="14"/>
                  <w:color w:val="0000EE"/>
                  <w:w w:val="98"/>
                </w:rPr>
                <w:t>Hadron Energy, Inc. (incorporated by reference to Exhibit 2.1 to the Current Report on Form 8-K filed with the SEC on</w:t>
              </w:r>
            </w:hyperlink>
          </w:p>
        </w:tc>
        <w:tc>
          <w:tcPr>
            <w:tcW w:w="800" w:type="dxa"/>
            <w:vAlign w:val="bottom"/>
            <w:gridSpan w:val="9"/>
          </w:tcPr>
          <w:p>
            <w:pPr>
              <w:spacing w:after="0"/>
              <w:rPr>
                <w:sz w:val="12"/>
                <w:szCs w:val="12"/>
                <w:color w:val="auto"/>
              </w:rPr>
            </w:pPr>
          </w:p>
        </w:tc>
      </w:tr>
      <w:tr>
        <w:trPr>
          <w:trHeight w:val="147"/>
        </w:trPr>
        <w:tc>
          <w:tcPr>
            <w:tcW w:w="1040" w:type="dxa"/>
            <w:vAlign w:val="bottom"/>
          </w:tcPr>
          <w:p>
            <w:pPr>
              <w:spacing w:after="0"/>
              <w:rPr>
                <w:sz w:val="12"/>
                <w:szCs w:val="12"/>
                <w:color w:val="auto"/>
              </w:rPr>
            </w:pPr>
          </w:p>
        </w:tc>
        <w:tc>
          <w:tcPr>
            <w:tcW w:w="7440" w:type="dxa"/>
            <w:vAlign w:val="bottom"/>
            <w:gridSpan w:val="16"/>
          </w:tcPr>
          <w:p>
            <w:pPr>
              <w:spacing w:after="0" w:line="147" w:lineRule="exact"/>
              <w:rPr>
                <w:rFonts w:ascii="Times New Roman" w:cs="Times New Roman" w:eastAsia="Times New Roman" w:hAnsi="Times New Roman"/>
                <w:sz w:val="14"/>
                <w:szCs w:val="14"/>
                <w:color w:val="0000EE"/>
              </w:rPr>
            </w:pPr>
            <w:hyperlink r:id="rId251">
              <w:r>
                <w:rPr>
                  <w:rFonts w:ascii="Times New Roman" w:cs="Times New Roman" w:eastAsia="Times New Roman" w:hAnsi="Times New Roman"/>
                  <w:sz w:val="14"/>
                  <w:szCs w:val="14"/>
                  <w:color w:val="0000EE"/>
                </w:rPr>
                <w:t>September 29, 2025).</w:t>
              </w:r>
            </w:hyperlink>
          </w:p>
        </w:tc>
      </w:tr>
      <w:tr>
        <w:trPr>
          <w:trHeight w:val="20"/>
        </w:trPr>
        <w:tc>
          <w:tcPr>
            <w:tcW w:w="10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2.2</w:t>
            </w:r>
          </w:p>
        </w:tc>
        <w:tc>
          <w:tcPr>
            <w:tcW w:w="718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w w:val="98"/>
              </w:rPr>
            </w:pPr>
            <w:hyperlink r:id="rId252">
              <w:r>
                <w:rPr>
                  <w:rFonts w:ascii="Times New Roman" w:cs="Times New Roman" w:eastAsia="Times New Roman" w:hAnsi="Times New Roman"/>
                  <w:sz w:val="14"/>
                  <w:szCs w:val="14"/>
                  <w:color w:val="0000EE"/>
                  <w:w w:val="98"/>
                </w:rPr>
                <w:t>First Amendment to Business Combination Agreement, dated as of December 12, 2025, by and among GigCapital7 Corp., MMR</w:t>
              </w:r>
            </w:hyperlink>
          </w:p>
        </w:tc>
        <w:tc>
          <w:tcPr>
            <w:tcW w:w="260" w:type="dxa"/>
            <w:vAlign w:val="bottom"/>
            <w:gridSpan w:val="7"/>
          </w:tcPr>
          <w:p>
            <w:pPr>
              <w:spacing w:after="0"/>
              <w:rPr>
                <w:sz w:val="20"/>
                <w:szCs w:val="20"/>
                <w:color w:val="auto"/>
              </w:rPr>
            </w:pPr>
          </w:p>
        </w:tc>
      </w:tr>
      <w:tr>
        <w:trPr>
          <w:trHeight w:val="147"/>
        </w:trPr>
        <w:tc>
          <w:tcPr>
            <w:tcW w:w="1040" w:type="dxa"/>
            <w:vAlign w:val="bottom"/>
          </w:tcPr>
          <w:p>
            <w:pPr>
              <w:spacing w:after="0"/>
              <w:rPr>
                <w:sz w:val="12"/>
                <w:szCs w:val="12"/>
                <w:color w:val="auto"/>
              </w:rPr>
            </w:pPr>
          </w:p>
        </w:tc>
        <w:tc>
          <w:tcPr>
            <w:tcW w:w="7440" w:type="dxa"/>
            <w:vAlign w:val="bottom"/>
            <w:gridSpan w:val="16"/>
          </w:tcPr>
          <w:p>
            <w:pPr>
              <w:spacing w:after="0" w:line="147" w:lineRule="exact"/>
              <w:rPr>
                <w:rFonts w:ascii="Times New Roman" w:cs="Times New Roman" w:eastAsia="Times New Roman" w:hAnsi="Times New Roman"/>
                <w:sz w:val="14"/>
                <w:szCs w:val="14"/>
                <w:color w:val="0000EE"/>
              </w:rPr>
            </w:pPr>
            <w:hyperlink r:id="rId252">
              <w:r>
                <w:rPr>
                  <w:rFonts w:ascii="Times New Roman" w:cs="Times New Roman" w:eastAsia="Times New Roman" w:hAnsi="Times New Roman"/>
                  <w:sz w:val="14"/>
                  <w:szCs w:val="14"/>
                  <w:color w:val="0000EE"/>
                </w:rPr>
                <w:t>Merger Sub, Inc., and Hadron Energy, Inc. (incorporated by reference to Exhibit 2.3 to the Registration Statement on Form S-4 filed</w:t>
              </w:r>
            </w:hyperlink>
          </w:p>
        </w:tc>
      </w:tr>
      <w:tr>
        <w:trPr>
          <w:trHeight w:val="147"/>
        </w:trPr>
        <w:tc>
          <w:tcPr>
            <w:tcW w:w="1040" w:type="dxa"/>
            <w:vAlign w:val="bottom"/>
          </w:tcPr>
          <w:p>
            <w:pPr>
              <w:spacing w:after="0"/>
              <w:rPr>
                <w:sz w:val="12"/>
                <w:szCs w:val="12"/>
                <w:color w:val="auto"/>
              </w:rPr>
            </w:pPr>
          </w:p>
        </w:tc>
        <w:tc>
          <w:tcPr>
            <w:tcW w:w="1860" w:type="dxa"/>
            <w:vAlign w:val="bottom"/>
            <w:tcBorders>
              <w:top w:val="single" w:sz="8" w:color="0000EE"/>
              <w:bottom w:val="single" w:sz="8" w:color="0000EE"/>
            </w:tcBorders>
            <w:gridSpan w:val="4"/>
          </w:tcPr>
          <w:p>
            <w:pPr>
              <w:spacing w:after="0" w:line="147" w:lineRule="exact"/>
              <w:rPr>
                <w:rFonts w:ascii="Times New Roman" w:cs="Times New Roman" w:eastAsia="Times New Roman" w:hAnsi="Times New Roman"/>
                <w:sz w:val="14"/>
                <w:szCs w:val="14"/>
                <w:color w:val="0000EE"/>
                <w:w w:val="98"/>
              </w:rPr>
            </w:pPr>
            <w:hyperlink r:id="rId252">
              <w:r>
                <w:rPr>
                  <w:rFonts w:ascii="Times New Roman" w:cs="Times New Roman" w:eastAsia="Times New Roman" w:hAnsi="Times New Roman"/>
                  <w:sz w:val="14"/>
                  <w:szCs w:val="14"/>
                  <w:color w:val="0000EE"/>
                  <w:w w:val="98"/>
                </w:rPr>
                <w:t>with the SEC on April 10, 2026).</w:t>
              </w:r>
            </w:hyperlink>
          </w:p>
        </w:tc>
        <w:tc>
          <w:tcPr>
            <w:tcW w:w="5480" w:type="dxa"/>
            <w:vAlign w:val="bottom"/>
            <w:tcBorders>
              <w:top w:val="single" w:sz="8" w:color="0000EE"/>
            </w:tcBorders>
            <w:gridSpan w:val="10"/>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2.3</w:t>
            </w:r>
          </w:p>
        </w:tc>
        <w:tc>
          <w:tcPr>
            <w:tcW w:w="706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8"/>
              </w:rPr>
            </w:pPr>
            <w:hyperlink r:id="rId253">
              <w:r>
                <w:rPr>
                  <w:rFonts w:ascii="Times New Roman" w:cs="Times New Roman" w:eastAsia="Times New Roman" w:hAnsi="Times New Roman"/>
                  <w:sz w:val="14"/>
                  <w:szCs w:val="14"/>
                  <w:color w:val="0000EE"/>
                  <w:w w:val="98"/>
                </w:rPr>
                <w:t>Second Amendment to Business Combination Agreement, dated as of April 16, 2026, by and among GigCapital7 Corp., MMR</w:t>
              </w:r>
            </w:hyperlink>
          </w:p>
        </w:tc>
        <w:tc>
          <w:tcPr>
            <w:tcW w:w="380" w:type="dxa"/>
            <w:vAlign w:val="bottom"/>
            <w:gridSpan w:val="8"/>
          </w:tcPr>
          <w:p>
            <w:pPr>
              <w:spacing w:after="0"/>
              <w:rPr>
                <w:sz w:val="20"/>
                <w:szCs w:val="20"/>
                <w:color w:val="auto"/>
              </w:rPr>
            </w:pPr>
          </w:p>
        </w:tc>
      </w:tr>
      <w:tr>
        <w:trPr>
          <w:trHeight w:val="147"/>
        </w:trPr>
        <w:tc>
          <w:tcPr>
            <w:tcW w:w="1040" w:type="dxa"/>
            <w:vAlign w:val="bottom"/>
          </w:tcPr>
          <w:p>
            <w:pPr>
              <w:spacing w:after="0"/>
              <w:rPr>
                <w:sz w:val="12"/>
                <w:szCs w:val="12"/>
                <w:color w:val="auto"/>
              </w:rPr>
            </w:pPr>
          </w:p>
        </w:tc>
        <w:tc>
          <w:tcPr>
            <w:tcW w:w="7420" w:type="dxa"/>
            <w:vAlign w:val="bottom"/>
            <w:tcBorders>
              <w:bottom w:val="single" w:sz="8" w:color="0000EE"/>
            </w:tcBorders>
            <w:gridSpan w:val="15"/>
          </w:tcPr>
          <w:p>
            <w:pPr>
              <w:spacing w:after="0" w:line="147" w:lineRule="exact"/>
              <w:rPr>
                <w:rFonts w:ascii="Times New Roman" w:cs="Times New Roman" w:eastAsia="Times New Roman" w:hAnsi="Times New Roman"/>
                <w:sz w:val="14"/>
                <w:szCs w:val="14"/>
                <w:color w:val="0000EE"/>
                <w:w w:val="98"/>
              </w:rPr>
            </w:pPr>
            <w:hyperlink r:id="rId253">
              <w:r>
                <w:rPr>
                  <w:rFonts w:ascii="Times New Roman" w:cs="Times New Roman" w:eastAsia="Times New Roman" w:hAnsi="Times New Roman"/>
                  <w:sz w:val="14"/>
                  <w:szCs w:val="14"/>
                  <w:color w:val="0000EE"/>
                  <w:w w:val="98"/>
                </w:rPr>
                <w:t>Merger Sub, Inc., and Hadron Energy, Inc. (incorporated by reference to Exhibit 2.1 to the Current Report on Form 8-K filed with the</w:t>
              </w:r>
            </w:hyperlink>
          </w:p>
        </w:tc>
        <w:tc>
          <w:tcPr>
            <w:tcW w:w="20" w:type="dxa"/>
            <w:vAlign w:val="bottom"/>
          </w:tcPr>
          <w:p>
            <w:pPr>
              <w:spacing w:after="0"/>
              <w:rPr>
                <w:sz w:val="12"/>
                <w:szCs w:val="12"/>
                <w:color w:val="auto"/>
              </w:rPr>
            </w:pPr>
          </w:p>
        </w:tc>
      </w:tr>
      <w:tr>
        <w:trPr>
          <w:trHeight w:val="147"/>
        </w:trPr>
        <w:tc>
          <w:tcPr>
            <w:tcW w:w="1040" w:type="dxa"/>
            <w:vAlign w:val="bottom"/>
          </w:tcPr>
          <w:p>
            <w:pPr>
              <w:spacing w:after="0"/>
              <w:rPr>
                <w:sz w:val="12"/>
                <w:szCs w:val="12"/>
                <w:color w:val="auto"/>
              </w:rPr>
            </w:pPr>
          </w:p>
        </w:tc>
        <w:tc>
          <w:tcPr>
            <w:tcW w:w="136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7"/>
              </w:rPr>
            </w:pPr>
            <w:hyperlink r:id="rId253">
              <w:r>
                <w:rPr>
                  <w:rFonts w:ascii="Times New Roman" w:cs="Times New Roman" w:eastAsia="Times New Roman" w:hAnsi="Times New Roman"/>
                  <w:sz w:val="14"/>
                  <w:szCs w:val="14"/>
                  <w:color w:val="0000EE"/>
                  <w:w w:val="97"/>
                </w:rPr>
                <w:t>SEC on April 20, 2026).</w:t>
              </w:r>
            </w:hyperlink>
          </w:p>
        </w:tc>
        <w:tc>
          <w:tcPr>
            <w:tcW w:w="6080" w:type="dxa"/>
            <w:vAlign w:val="bottom"/>
            <w:gridSpan w:val="14"/>
          </w:tcPr>
          <w:p>
            <w:pPr>
              <w:spacing w:after="0"/>
              <w:rPr>
                <w:sz w:val="12"/>
                <w:szCs w:val="12"/>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440" w:type="dxa"/>
            <w:vAlign w:val="bottom"/>
            <w:gridSpan w:val="16"/>
          </w:tcPr>
          <w:p>
            <w:pPr>
              <w:spacing w:after="0"/>
              <w:rPr>
                <w:rFonts w:ascii="Times New Roman" w:cs="Times New Roman" w:eastAsia="Times New Roman" w:hAnsi="Times New Roman"/>
                <w:sz w:val="14"/>
                <w:szCs w:val="14"/>
                <w:color w:val="0000EE"/>
              </w:rPr>
            </w:pPr>
            <w:hyperlink r:id="rId254">
              <w:r>
                <w:rPr>
                  <w:rFonts w:ascii="Times New Roman" w:cs="Times New Roman" w:eastAsia="Times New Roman" w:hAnsi="Times New Roman"/>
                  <w:sz w:val="14"/>
                  <w:szCs w:val="14"/>
                  <w:color w:val="0000EE"/>
                </w:rPr>
                <w:t>Amended and Restated Certificate of Incorporation of Hadron Energy, Inc. (incorporated by reference to Exhibit 3.1 to the Current</w:t>
              </w:r>
            </w:hyperlink>
          </w:p>
        </w:tc>
      </w:tr>
      <w:tr>
        <w:trPr>
          <w:trHeight w:val="147"/>
        </w:trPr>
        <w:tc>
          <w:tcPr>
            <w:tcW w:w="1040" w:type="dxa"/>
            <w:vAlign w:val="bottom"/>
          </w:tcPr>
          <w:p>
            <w:pPr>
              <w:spacing w:after="0"/>
              <w:rPr>
                <w:sz w:val="12"/>
                <w:szCs w:val="12"/>
                <w:color w:val="auto"/>
              </w:rPr>
            </w:pPr>
          </w:p>
        </w:tc>
        <w:tc>
          <w:tcPr>
            <w:tcW w:w="3200" w:type="dxa"/>
            <w:vAlign w:val="bottom"/>
            <w:tcBorders>
              <w:top w:val="single" w:sz="8" w:color="0000EE"/>
              <w:bottom w:val="single" w:sz="8" w:color="0000EE"/>
            </w:tcBorders>
            <w:gridSpan w:val="6"/>
          </w:tcPr>
          <w:p>
            <w:pPr>
              <w:spacing w:after="0" w:line="147" w:lineRule="exact"/>
              <w:rPr>
                <w:rFonts w:ascii="Times New Roman" w:cs="Times New Roman" w:eastAsia="Times New Roman" w:hAnsi="Times New Roman"/>
                <w:sz w:val="14"/>
                <w:szCs w:val="14"/>
                <w:color w:val="0000EE"/>
                <w:w w:val="98"/>
              </w:rPr>
            </w:pPr>
            <w:hyperlink r:id="rId254">
              <w:r>
                <w:rPr>
                  <w:rFonts w:ascii="Times New Roman" w:cs="Times New Roman" w:eastAsia="Times New Roman" w:hAnsi="Times New Roman"/>
                  <w:sz w:val="14"/>
                  <w:szCs w:val="14"/>
                  <w:color w:val="0000EE"/>
                  <w:w w:val="98"/>
                </w:rPr>
                <w:t>Report on Form 8-K filed with the SEC on June 1, 2026).</w:t>
              </w:r>
            </w:hyperlink>
          </w:p>
        </w:tc>
        <w:tc>
          <w:tcPr>
            <w:tcW w:w="4060" w:type="dxa"/>
            <w:vAlign w:val="bottom"/>
            <w:tcBorders>
              <w:top w:val="single" w:sz="8" w:color="0000EE"/>
            </w:tcBorders>
            <w:gridSpan w:val="4"/>
          </w:tcPr>
          <w:p>
            <w:pPr>
              <w:spacing w:after="0"/>
              <w:rPr>
                <w:sz w:val="12"/>
                <w:szCs w:val="12"/>
                <w:color w:val="auto"/>
              </w:rPr>
            </w:pPr>
          </w:p>
        </w:tc>
        <w:tc>
          <w:tcPr>
            <w:tcW w:w="180" w:type="dxa"/>
            <w:vAlign w:val="bottom"/>
            <w:gridSpan w:val="6"/>
          </w:tcPr>
          <w:p>
            <w:pPr>
              <w:spacing w:after="0"/>
              <w:rPr>
                <w:sz w:val="12"/>
                <w:szCs w:val="12"/>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440" w:type="dxa"/>
            <w:vAlign w:val="bottom"/>
            <w:gridSpan w:val="16"/>
          </w:tcPr>
          <w:p>
            <w:pPr>
              <w:spacing w:after="0"/>
              <w:rPr>
                <w:rFonts w:ascii="Times New Roman" w:cs="Times New Roman" w:eastAsia="Times New Roman" w:hAnsi="Times New Roman"/>
                <w:sz w:val="14"/>
                <w:szCs w:val="14"/>
                <w:color w:val="0000EE"/>
              </w:rPr>
            </w:pPr>
            <w:hyperlink r:id="rId255">
              <w:r>
                <w:rPr>
                  <w:rFonts w:ascii="Times New Roman" w:cs="Times New Roman" w:eastAsia="Times New Roman" w:hAnsi="Times New Roman"/>
                  <w:sz w:val="14"/>
                  <w:szCs w:val="14"/>
                  <w:color w:val="0000EE"/>
                </w:rPr>
                <w:t>Amended and Restated Bylaws of Hadron Energy, Inc. (incorporated by reference to Exhibit 3.2 to the Current Report on Form 8-K</w:t>
              </w:r>
            </w:hyperlink>
          </w:p>
        </w:tc>
      </w:tr>
      <w:tr>
        <w:trPr>
          <w:trHeight w:val="147"/>
        </w:trPr>
        <w:tc>
          <w:tcPr>
            <w:tcW w:w="1040" w:type="dxa"/>
            <w:vAlign w:val="bottom"/>
          </w:tcPr>
          <w:p>
            <w:pPr>
              <w:spacing w:after="0"/>
              <w:rPr>
                <w:sz w:val="12"/>
                <w:szCs w:val="12"/>
                <w:color w:val="auto"/>
              </w:rPr>
            </w:pPr>
          </w:p>
        </w:tc>
        <w:tc>
          <w:tcPr>
            <w:tcW w:w="2020" w:type="dxa"/>
            <w:vAlign w:val="bottom"/>
            <w:tcBorders>
              <w:top w:val="single" w:sz="8" w:color="0000EE"/>
              <w:bottom w:val="single" w:sz="8" w:color="0000EE"/>
            </w:tcBorders>
            <w:gridSpan w:val="5"/>
          </w:tcPr>
          <w:p>
            <w:pPr>
              <w:spacing w:after="0" w:line="147" w:lineRule="exact"/>
              <w:rPr>
                <w:rFonts w:ascii="Times New Roman" w:cs="Times New Roman" w:eastAsia="Times New Roman" w:hAnsi="Times New Roman"/>
                <w:sz w:val="14"/>
                <w:szCs w:val="14"/>
                <w:color w:val="0000EE"/>
                <w:w w:val="97"/>
              </w:rPr>
            </w:pPr>
            <w:hyperlink r:id="rId255">
              <w:r>
                <w:rPr>
                  <w:rFonts w:ascii="Times New Roman" w:cs="Times New Roman" w:eastAsia="Times New Roman" w:hAnsi="Times New Roman"/>
                  <w:sz w:val="14"/>
                  <w:szCs w:val="14"/>
                  <w:color w:val="0000EE"/>
                  <w:w w:val="97"/>
                </w:rPr>
                <w:t>filed with the SEC on June 1, 2026).</w:t>
              </w:r>
            </w:hyperlink>
          </w:p>
        </w:tc>
        <w:tc>
          <w:tcPr>
            <w:tcW w:w="5300" w:type="dxa"/>
            <w:vAlign w:val="bottom"/>
            <w:tcBorders>
              <w:top w:val="single" w:sz="8" w:color="0000EE"/>
            </w:tcBorders>
            <w:gridSpan w:val="8"/>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728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8"/>
              </w:rPr>
            </w:pPr>
            <w:hyperlink r:id="rId256">
              <w:r>
                <w:rPr>
                  <w:rFonts w:ascii="Times New Roman" w:cs="Times New Roman" w:eastAsia="Times New Roman" w:hAnsi="Times New Roman"/>
                  <w:sz w:val="14"/>
                  <w:szCs w:val="14"/>
                  <w:color w:val="0000EE"/>
                  <w:w w:val="98"/>
                </w:rPr>
                <w:t>Warrant Agreement, dated August 28, 2024, by and between the Company and Continental Stock Transfer &amp; Trust Company, LLC</w:t>
              </w:r>
            </w:hyperlink>
          </w:p>
        </w:tc>
        <w:tc>
          <w:tcPr>
            <w:tcW w:w="160" w:type="dxa"/>
            <w:vAlign w:val="bottom"/>
            <w:gridSpan w:val="5"/>
          </w:tcPr>
          <w:p>
            <w:pPr>
              <w:spacing w:after="0"/>
              <w:rPr>
                <w:sz w:val="20"/>
                <w:szCs w:val="20"/>
                <w:color w:val="auto"/>
              </w:rPr>
            </w:pPr>
          </w:p>
        </w:tc>
      </w:tr>
      <w:tr>
        <w:trPr>
          <w:trHeight w:val="147"/>
        </w:trPr>
        <w:tc>
          <w:tcPr>
            <w:tcW w:w="1040" w:type="dxa"/>
            <w:vAlign w:val="bottom"/>
          </w:tcPr>
          <w:p>
            <w:pPr>
              <w:spacing w:after="0"/>
              <w:rPr>
                <w:sz w:val="12"/>
                <w:szCs w:val="12"/>
                <w:color w:val="auto"/>
              </w:rPr>
            </w:pPr>
          </w:p>
        </w:tc>
        <w:tc>
          <w:tcPr>
            <w:tcW w:w="7440" w:type="dxa"/>
            <w:vAlign w:val="bottom"/>
            <w:gridSpan w:val="16"/>
          </w:tcPr>
          <w:p>
            <w:pPr>
              <w:spacing w:after="0" w:line="147" w:lineRule="exact"/>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(incorporated by reference to Exhibit 4.1 to the Current Report on Form 8-K filed with the SEC on September 3, 2024).</w:t>
              </w:r>
            </w:hyperlink>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18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8"/>
              </w:rPr>
              <w:t>Opinion of DLA Piper LLP (US)</w:t>
            </w:r>
          </w:p>
        </w:tc>
        <w:tc>
          <w:tcPr>
            <w:tcW w:w="4800" w:type="dxa"/>
            <w:vAlign w:val="bottom"/>
            <w:tcBorders>
              <w:top w:val="single" w:sz="8" w:color="0000EE"/>
            </w:tcBorders>
            <w:gridSpan w:val="4"/>
          </w:tcPr>
          <w:p>
            <w:pPr>
              <w:spacing w:after="0"/>
              <w:rPr>
                <w:sz w:val="20"/>
                <w:szCs w:val="20"/>
                <w:color w:val="auto"/>
              </w:rPr>
            </w:pPr>
          </w:p>
        </w:tc>
        <w:tc>
          <w:tcPr>
            <w:tcW w:w="800" w:type="dxa"/>
            <w:vAlign w:val="bottom"/>
            <w:gridSpan w:val="9"/>
          </w:tcPr>
          <w:p>
            <w:pPr>
              <w:spacing w:after="0"/>
              <w:rPr>
                <w:sz w:val="20"/>
                <w:szCs w:val="20"/>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10.1</w:t>
            </w:r>
          </w:p>
        </w:tc>
        <w:tc>
          <w:tcPr>
            <w:tcW w:w="744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8"/>
              </w:rPr>
            </w:pPr>
            <w:hyperlink r:id="rId257">
              <w:r>
                <w:rPr>
                  <w:rFonts w:ascii="Times New Roman" w:cs="Times New Roman" w:eastAsia="Times New Roman" w:hAnsi="Times New Roman"/>
                  <w:sz w:val="14"/>
                  <w:szCs w:val="14"/>
                  <w:color w:val="0000EE"/>
                  <w:w w:val="98"/>
                </w:rPr>
                <w:t>Insider Letter Agreement, dated August 28, 2024, by and among Hadron Energy, Inc., its directors and officers, and GigAcquisitions7</w:t>
              </w:r>
            </w:hyperlink>
          </w:p>
        </w:tc>
      </w:tr>
      <w:tr>
        <w:trPr>
          <w:trHeight w:val="147"/>
        </w:trPr>
        <w:tc>
          <w:tcPr>
            <w:tcW w:w="1040" w:type="dxa"/>
            <w:vAlign w:val="bottom"/>
          </w:tcPr>
          <w:p>
            <w:pPr>
              <w:spacing w:after="0"/>
              <w:rPr>
                <w:sz w:val="12"/>
                <w:szCs w:val="12"/>
                <w:color w:val="auto"/>
              </w:rPr>
            </w:pPr>
          </w:p>
        </w:tc>
        <w:tc>
          <w:tcPr>
            <w:tcW w:w="7060" w:type="dxa"/>
            <w:vAlign w:val="bottom"/>
            <w:tcBorders>
              <w:bottom w:val="single" w:sz="8" w:color="0000EE"/>
            </w:tcBorders>
            <w:gridSpan w:val="8"/>
          </w:tcPr>
          <w:p>
            <w:pPr>
              <w:spacing w:after="0" w:line="147" w:lineRule="exact"/>
              <w:rPr>
                <w:rFonts w:ascii="Times New Roman" w:cs="Times New Roman" w:eastAsia="Times New Roman" w:hAnsi="Times New Roman"/>
                <w:sz w:val="14"/>
                <w:szCs w:val="14"/>
                <w:color w:val="0000EE"/>
                <w:w w:val="98"/>
              </w:rPr>
            </w:pPr>
            <w:hyperlink r:id="rId257">
              <w:r>
                <w:rPr>
                  <w:rFonts w:ascii="Times New Roman" w:cs="Times New Roman" w:eastAsia="Times New Roman" w:hAnsi="Times New Roman"/>
                  <w:sz w:val="14"/>
                  <w:szCs w:val="14"/>
                  <w:color w:val="0000EE"/>
                  <w:w w:val="98"/>
                </w:rPr>
                <w:t>Corp. (incorporated by reference to Exhibit 10.1 to the Current Report on Form 8-K filed with the SEC on September 3, 2024).</w:t>
              </w:r>
            </w:hyperlink>
          </w:p>
        </w:tc>
        <w:tc>
          <w:tcPr>
            <w:tcW w:w="380" w:type="dxa"/>
            <w:vAlign w:val="bottom"/>
            <w:gridSpan w:val="8"/>
          </w:tcPr>
          <w:p>
            <w:pPr>
              <w:spacing w:after="0"/>
              <w:rPr>
                <w:sz w:val="12"/>
                <w:szCs w:val="12"/>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405"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1400" w:type="dxa"/>
        <w:tblCellMar>
          <w:top w:w="0" w:type="dxa"/>
          <w:left w:w="0" w:type="dxa"/>
          <w:bottom w:w="0" w:type="dxa"/>
          <w:right w:w="0" w:type="dxa"/>
        </w:tblCellMar>
      </w:tblPr>
      <w:tr>
        <w:trPr>
          <w:trHeight w:val="147"/>
        </w:trPr>
        <w:tc>
          <w:tcPr>
            <w:tcW w:w="10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40" w:type="dxa"/>
            <w:vAlign w:val="bottom"/>
            <w:gridSpan w:val="10"/>
          </w:tcPr>
          <w:p>
            <w:pPr>
              <w:ind w:left="1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10.2</w:t>
            </w:r>
          </w:p>
        </w:tc>
        <w:tc>
          <w:tcPr>
            <w:tcW w:w="730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8"/>
              </w:rPr>
            </w:pPr>
            <w:hyperlink r:id="rId259">
              <w:r>
                <w:rPr>
                  <w:rFonts w:ascii="Times New Roman" w:cs="Times New Roman" w:eastAsia="Times New Roman" w:hAnsi="Times New Roman"/>
                  <w:sz w:val="14"/>
                  <w:szCs w:val="14"/>
                  <w:color w:val="0000EE"/>
                  <w:w w:val="98"/>
                </w:rPr>
                <w:t>Amended and Restated Registration Rights Agreement, dated May 22, 2026, by and among Hadron Energy, Inc., GigAcquisitions7</w:t>
              </w:r>
            </w:hyperlink>
          </w:p>
        </w:tc>
        <w:tc>
          <w:tcPr>
            <w:tcW w:w="140" w:type="dxa"/>
            <w:vAlign w:val="bottom"/>
          </w:tcPr>
          <w:p>
            <w:pPr>
              <w:spacing w:after="0"/>
              <w:rPr>
                <w:sz w:val="17"/>
                <w:szCs w:val="17"/>
                <w:color w:val="auto"/>
              </w:rPr>
            </w:pPr>
          </w:p>
        </w:tc>
      </w:tr>
      <w:tr>
        <w:trPr>
          <w:trHeight w:val="147"/>
        </w:trPr>
        <w:tc>
          <w:tcPr>
            <w:tcW w:w="1020" w:type="dxa"/>
            <w:vAlign w:val="bottom"/>
          </w:tcPr>
          <w:p>
            <w:pPr>
              <w:spacing w:after="0"/>
              <w:rPr>
                <w:sz w:val="12"/>
                <w:szCs w:val="12"/>
                <w:color w:val="auto"/>
              </w:rPr>
            </w:pPr>
          </w:p>
        </w:tc>
        <w:tc>
          <w:tcPr>
            <w:tcW w:w="7440" w:type="dxa"/>
            <w:vAlign w:val="bottom"/>
            <w:gridSpan w:val="20"/>
          </w:tcPr>
          <w:p>
            <w:pPr>
              <w:spacing w:after="0" w:line="147" w:lineRule="exact"/>
              <w:rPr>
                <w:rFonts w:ascii="Times New Roman" w:cs="Times New Roman" w:eastAsia="Times New Roman" w:hAnsi="Times New Roman"/>
                <w:sz w:val="14"/>
                <w:szCs w:val="14"/>
                <w:color w:val="0000EE"/>
              </w:rPr>
            </w:pPr>
            <w:hyperlink r:id="rId259">
              <w:r>
                <w:rPr>
                  <w:rFonts w:ascii="Times New Roman" w:cs="Times New Roman" w:eastAsia="Times New Roman" w:hAnsi="Times New Roman"/>
                  <w:sz w:val="14"/>
                  <w:szCs w:val="14"/>
                  <w:color w:val="0000EE"/>
                </w:rPr>
                <w:t>Corp. and certain stockholders (incorporated by reference to Exhibit 10.1 to the Current Report on Form 8-K filed with the SEC on</w:t>
              </w:r>
            </w:hyperlink>
          </w:p>
        </w:tc>
      </w:tr>
      <w:tr>
        <w:trPr>
          <w:trHeight w:val="147"/>
        </w:trPr>
        <w:tc>
          <w:tcPr>
            <w:tcW w:w="1020" w:type="dxa"/>
            <w:vAlign w:val="bottom"/>
          </w:tcPr>
          <w:p>
            <w:pPr>
              <w:spacing w:after="0"/>
              <w:rPr>
                <w:sz w:val="12"/>
                <w:szCs w:val="12"/>
                <w:color w:val="auto"/>
              </w:rPr>
            </w:pPr>
          </w:p>
        </w:tc>
        <w:tc>
          <w:tcPr>
            <w:tcW w:w="7280" w:type="dxa"/>
            <w:vAlign w:val="bottom"/>
            <w:tcBorders>
              <w:top w:val="single" w:sz="8" w:color="0000EE"/>
            </w:tcBorders>
            <w:gridSpan w:val="18"/>
          </w:tcPr>
          <w:p>
            <w:pPr>
              <w:spacing w:after="0" w:line="147" w:lineRule="exact"/>
              <w:rPr>
                <w:rFonts w:ascii="Times New Roman" w:cs="Times New Roman" w:eastAsia="Times New Roman" w:hAnsi="Times New Roman"/>
                <w:sz w:val="14"/>
                <w:szCs w:val="14"/>
                <w:color w:val="0000EE"/>
              </w:rPr>
            </w:pPr>
            <w:hyperlink r:id="rId259">
              <w:r>
                <w:rPr>
                  <w:rFonts w:ascii="Times New Roman" w:cs="Times New Roman" w:eastAsia="Times New Roman" w:hAnsi="Times New Roman"/>
                  <w:sz w:val="14"/>
                  <w:szCs w:val="14"/>
                  <w:color w:val="0000EE"/>
                </w:rPr>
                <w:t>May 28, 2026).</w:t>
              </w:r>
            </w:hyperlink>
          </w:p>
        </w:tc>
        <w:tc>
          <w:tcPr>
            <w:tcW w:w="160" w:type="dxa"/>
            <w:vAlign w:val="bottom"/>
            <w:gridSpan w:val="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10.3#</w:t>
            </w:r>
          </w:p>
        </w:tc>
        <w:tc>
          <w:tcPr>
            <w:tcW w:w="744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8"/>
              </w:rPr>
            </w:pPr>
            <w:hyperlink r:id="rId260">
              <w:r>
                <w:rPr>
                  <w:rFonts w:ascii="Times New Roman" w:cs="Times New Roman" w:eastAsia="Times New Roman" w:hAnsi="Times New Roman"/>
                  <w:sz w:val="14"/>
                  <w:szCs w:val="14"/>
                  <w:color w:val="0000EE"/>
                  <w:w w:val="98"/>
                </w:rPr>
                <w:t>Form of Indemnification Agreement (incorporated by reference to Exhibit 10.1 to the Current Report on Form 8-K filed with the SEC</w:t>
              </w:r>
            </w:hyperlink>
          </w:p>
        </w:tc>
      </w:tr>
      <w:tr>
        <w:trPr>
          <w:trHeight w:val="147"/>
        </w:trPr>
        <w:tc>
          <w:tcPr>
            <w:tcW w:w="1020" w:type="dxa"/>
            <w:vAlign w:val="bottom"/>
          </w:tcPr>
          <w:p>
            <w:pPr>
              <w:spacing w:after="0"/>
              <w:rPr>
                <w:sz w:val="12"/>
                <w:szCs w:val="12"/>
                <w:color w:val="auto"/>
              </w:rPr>
            </w:pPr>
          </w:p>
        </w:tc>
        <w:tc>
          <w:tcPr>
            <w:tcW w:w="960" w:type="dxa"/>
            <w:vAlign w:val="bottom"/>
            <w:tcBorders>
              <w:bottom w:val="single" w:sz="8" w:color="0000EE"/>
            </w:tcBorders>
            <w:gridSpan w:val="3"/>
          </w:tcPr>
          <w:p>
            <w:pPr>
              <w:spacing w:after="0" w:line="147" w:lineRule="exact"/>
              <w:rPr>
                <w:rFonts w:ascii="Times New Roman" w:cs="Times New Roman" w:eastAsia="Times New Roman" w:hAnsi="Times New Roman"/>
                <w:sz w:val="14"/>
                <w:szCs w:val="14"/>
                <w:color w:val="0000EE"/>
                <w:w w:val="97"/>
              </w:rPr>
            </w:pPr>
            <w:hyperlink r:id="rId260">
              <w:r>
                <w:rPr>
                  <w:rFonts w:ascii="Times New Roman" w:cs="Times New Roman" w:eastAsia="Times New Roman" w:hAnsi="Times New Roman"/>
                  <w:sz w:val="14"/>
                  <w:szCs w:val="14"/>
                  <w:color w:val="0000EE"/>
                  <w:w w:val="97"/>
                </w:rPr>
                <w:t>on June 1, 2026).</w:t>
              </w:r>
            </w:hyperlink>
          </w:p>
        </w:tc>
        <w:tc>
          <w:tcPr>
            <w:tcW w:w="6480" w:type="dxa"/>
            <w:vAlign w:val="bottom"/>
            <w:gridSpan w:val="17"/>
          </w:tcPr>
          <w:p>
            <w:pPr>
              <w:spacing w:after="0"/>
              <w:rPr>
                <w:sz w:val="12"/>
                <w:szCs w:val="12"/>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10.4</w:t>
            </w:r>
          </w:p>
        </w:tc>
        <w:tc>
          <w:tcPr>
            <w:tcW w:w="710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8"/>
              </w:rPr>
            </w:pPr>
            <w:hyperlink r:id="rId261">
              <w:r>
                <w:rPr>
                  <w:rFonts w:ascii="Times New Roman" w:cs="Times New Roman" w:eastAsia="Times New Roman" w:hAnsi="Times New Roman"/>
                  <w:sz w:val="14"/>
                  <w:szCs w:val="14"/>
                  <w:color w:val="0000EE"/>
                  <w:w w:val="98"/>
                </w:rPr>
                <w:t>Sponsor Support Agreement, dated September 27, 2025, by and among GigCapital7 Corp., GigAcquisitions7 Corp. and Hadron</w:t>
              </w:r>
            </w:hyperlink>
          </w:p>
        </w:tc>
        <w:tc>
          <w:tcPr>
            <w:tcW w:w="340" w:type="dxa"/>
            <w:vAlign w:val="bottom"/>
            <w:gridSpan w:val="6"/>
          </w:tcPr>
          <w:p>
            <w:pPr>
              <w:spacing w:after="0"/>
              <w:rPr>
                <w:sz w:val="20"/>
                <w:szCs w:val="20"/>
                <w:color w:val="auto"/>
              </w:rPr>
            </w:pPr>
          </w:p>
        </w:tc>
      </w:tr>
      <w:tr>
        <w:trPr>
          <w:trHeight w:val="147"/>
        </w:trPr>
        <w:tc>
          <w:tcPr>
            <w:tcW w:w="1020" w:type="dxa"/>
            <w:vAlign w:val="bottom"/>
          </w:tcPr>
          <w:p>
            <w:pPr>
              <w:spacing w:after="0"/>
              <w:rPr>
                <w:sz w:val="12"/>
                <w:szCs w:val="12"/>
                <w:color w:val="auto"/>
              </w:rPr>
            </w:pPr>
          </w:p>
        </w:tc>
        <w:tc>
          <w:tcPr>
            <w:tcW w:w="7440" w:type="dxa"/>
            <w:vAlign w:val="bottom"/>
            <w:gridSpan w:val="20"/>
          </w:tcPr>
          <w:p>
            <w:pPr>
              <w:spacing w:after="0" w:line="147" w:lineRule="exact"/>
              <w:rPr>
                <w:rFonts w:ascii="Times New Roman" w:cs="Times New Roman" w:eastAsia="Times New Roman" w:hAnsi="Times New Roman"/>
                <w:sz w:val="14"/>
                <w:szCs w:val="14"/>
                <w:color w:val="0000EE"/>
              </w:rPr>
            </w:pPr>
            <w:hyperlink r:id="rId261">
              <w:r>
                <w:rPr>
                  <w:rFonts w:ascii="Times New Roman" w:cs="Times New Roman" w:eastAsia="Times New Roman" w:hAnsi="Times New Roman"/>
                  <w:sz w:val="14"/>
                  <w:szCs w:val="14"/>
                  <w:color w:val="0000EE"/>
                </w:rPr>
                <w:t>Energy, Inc. (incorporated by reference to Exhibit 10.1 to the Current Report on Form 8-K filed with the SEC on September 29,</w:t>
              </w:r>
            </w:hyperlink>
          </w:p>
        </w:tc>
      </w:tr>
      <w:tr>
        <w:trPr>
          <w:trHeight w:val="147"/>
        </w:trPr>
        <w:tc>
          <w:tcPr>
            <w:tcW w:w="102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93"/>
              </w:rPr>
            </w:pPr>
            <w:hyperlink r:id="rId261">
              <w:r>
                <w:rPr>
                  <w:rFonts w:ascii="Times New Roman" w:cs="Times New Roman" w:eastAsia="Times New Roman" w:hAnsi="Times New Roman"/>
                  <w:sz w:val="14"/>
                  <w:szCs w:val="14"/>
                  <w:color w:val="0000EE"/>
                  <w:w w:val="93"/>
                </w:rPr>
                <w:t>2025).</w:t>
              </w:r>
            </w:hyperlink>
          </w:p>
        </w:tc>
        <w:tc>
          <w:tcPr>
            <w:tcW w:w="4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10.5</w:t>
            </w:r>
          </w:p>
        </w:tc>
        <w:tc>
          <w:tcPr>
            <w:tcW w:w="71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262">
              <w:r>
                <w:rPr>
                  <w:rFonts w:ascii="Times New Roman" w:cs="Times New Roman" w:eastAsia="Times New Roman" w:hAnsi="Times New Roman"/>
                  <w:sz w:val="14"/>
                  <w:szCs w:val="14"/>
                  <w:color w:val="0000EE"/>
                  <w:w w:val="98"/>
                </w:rPr>
                <w:t>Lock-Up Agreement, dated May 22, 2026, by and among Hadron Energy, Inc., Hadron Energy Operating Company Inc. and the</w:t>
              </w:r>
            </w:hyperlink>
          </w:p>
        </w:tc>
        <w:tc>
          <w:tcPr>
            <w:tcW w:w="320" w:type="dxa"/>
            <w:vAlign w:val="bottom"/>
            <w:gridSpan w:val="5"/>
          </w:tcPr>
          <w:p>
            <w:pPr>
              <w:spacing w:after="0"/>
              <w:rPr>
                <w:sz w:val="20"/>
                <w:szCs w:val="20"/>
                <w:color w:val="auto"/>
              </w:rPr>
            </w:pPr>
          </w:p>
        </w:tc>
      </w:tr>
      <w:tr>
        <w:trPr>
          <w:trHeight w:val="147"/>
        </w:trPr>
        <w:tc>
          <w:tcPr>
            <w:tcW w:w="1020" w:type="dxa"/>
            <w:vAlign w:val="bottom"/>
          </w:tcPr>
          <w:p>
            <w:pPr>
              <w:spacing w:after="0"/>
              <w:rPr>
                <w:sz w:val="12"/>
                <w:szCs w:val="12"/>
                <w:color w:val="auto"/>
              </w:rPr>
            </w:pPr>
          </w:p>
        </w:tc>
        <w:tc>
          <w:tcPr>
            <w:tcW w:w="7260" w:type="dxa"/>
            <w:vAlign w:val="bottom"/>
            <w:tcBorders>
              <w:bottom w:val="single" w:sz="8" w:color="0000EE"/>
            </w:tcBorders>
            <w:gridSpan w:val="17"/>
          </w:tcPr>
          <w:p>
            <w:pPr>
              <w:spacing w:after="0" w:line="147" w:lineRule="exact"/>
              <w:rPr>
                <w:rFonts w:ascii="Times New Roman" w:cs="Times New Roman" w:eastAsia="Times New Roman" w:hAnsi="Times New Roman"/>
                <w:sz w:val="14"/>
                <w:szCs w:val="14"/>
                <w:color w:val="0000EE"/>
                <w:w w:val="98"/>
              </w:rPr>
            </w:pPr>
            <w:hyperlink r:id="rId262">
              <w:r>
                <w:rPr>
                  <w:rFonts w:ascii="Times New Roman" w:cs="Times New Roman" w:eastAsia="Times New Roman" w:hAnsi="Times New Roman"/>
                  <w:sz w:val="14"/>
                  <w:szCs w:val="14"/>
                  <w:color w:val="0000EE"/>
                  <w:w w:val="98"/>
                </w:rPr>
                <w:t>Lock-Up Parties listed therein (incorporated by reference to Exhibit 10.2 to the Current Report on Form 8-K filed with the SEC on</w:t>
              </w:r>
            </w:hyperlink>
          </w:p>
        </w:tc>
        <w:tc>
          <w:tcPr>
            <w:tcW w:w="180" w:type="dxa"/>
            <w:vAlign w:val="bottom"/>
            <w:gridSpan w:val="3"/>
          </w:tcPr>
          <w:p>
            <w:pPr>
              <w:spacing w:after="0"/>
              <w:rPr>
                <w:sz w:val="12"/>
                <w:szCs w:val="12"/>
                <w:color w:val="auto"/>
              </w:rPr>
            </w:pPr>
          </w:p>
        </w:tc>
      </w:tr>
      <w:tr>
        <w:trPr>
          <w:trHeight w:val="147"/>
        </w:trPr>
        <w:tc>
          <w:tcPr>
            <w:tcW w:w="1020" w:type="dxa"/>
            <w:vAlign w:val="bottom"/>
          </w:tcPr>
          <w:p>
            <w:pPr>
              <w:spacing w:after="0"/>
              <w:rPr>
                <w:sz w:val="12"/>
                <w:szCs w:val="12"/>
                <w:color w:val="auto"/>
              </w:rPr>
            </w:pPr>
          </w:p>
        </w:tc>
        <w:tc>
          <w:tcPr>
            <w:tcW w:w="7440" w:type="dxa"/>
            <w:vAlign w:val="bottom"/>
            <w:gridSpan w:val="20"/>
          </w:tcPr>
          <w:p>
            <w:pPr>
              <w:spacing w:after="0" w:line="147" w:lineRule="exact"/>
              <w:rPr>
                <w:rFonts w:ascii="Times New Roman" w:cs="Times New Roman" w:eastAsia="Times New Roman" w:hAnsi="Times New Roman"/>
                <w:sz w:val="14"/>
                <w:szCs w:val="14"/>
                <w:color w:val="0000EE"/>
              </w:rPr>
            </w:pPr>
            <w:hyperlink r:id="rId262">
              <w:r>
                <w:rPr>
                  <w:rFonts w:ascii="Times New Roman" w:cs="Times New Roman" w:eastAsia="Times New Roman" w:hAnsi="Times New Roman"/>
                  <w:sz w:val="14"/>
                  <w:szCs w:val="14"/>
                  <w:color w:val="0000EE"/>
                </w:rPr>
                <w:t>May 28, 2026).</w:t>
              </w:r>
            </w:hyperlink>
          </w:p>
        </w:tc>
      </w:tr>
      <w:tr>
        <w:trPr>
          <w:trHeight w:val="20"/>
        </w:trPr>
        <w:tc>
          <w:tcPr>
            <w:tcW w:w="102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10.6</w:t>
            </w:r>
          </w:p>
        </w:tc>
        <w:tc>
          <w:tcPr>
            <w:tcW w:w="7440" w:type="dxa"/>
            <w:vAlign w:val="bottom"/>
            <w:gridSpan w:val="20"/>
          </w:tcPr>
          <w:p>
            <w:pPr>
              <w:spacing w:after="0"/>
              <w:rPr>
                <w:rFonts w:ascii="Times New Roman" w:cs="Times New Roman" w:eastAsia="Times New Roman" w:hAnsi="Times New Roman"/>
                <w:sz w:val="14"/>
                <w:szCs w:val="14"/>
                <w:color w:val="0000EE"/>
              </w:rPr>
            </w:pPr>
            <w:hyperlink r:id="rId263">
              <w:r>
                <w:rPr>
                  <w:rFonts w:ascii="Times New Roman" w:cs="Times New Roman" w:eastAsia="Times New Roman" w:hAnsi="Times New Roman"/>
                  <w:sz w:val="14"/>
                  <w:szCs w:val="14"/>
                  <w:color w:val="0000EE"/>
                </w:rPr>
                <w:t>2026 Equity Incentive Plan (incorporated by reference to Exhibit 10.2 to the Current Report on Form 8-K filed with the SEC on</w:t>
              </w:r>
            </w:hyperlink>
          </w:p>
        </w:tc>
      </w:tr>
      <w:tr>
        <w:trPr>
          <w:trHeight w:val="147"/>
        </w:trPr>
        <w:tc>
          <w:tcPr>
            <w:tcW w:w="1020" w:type="dxa"/>
            <w:vAlign w:val="bottom"/>
          </w:tcPr>
          <w:p>
            <w:pPr>
              <w:spacing w:after="0"/>
              <w:rPr>
                <w:sz w:val="12"/>
                <w:szCs w:val="12"/>
                <w:color w:val="auto"/>
              </w:rPr>
            </w:pPr>
          </w:p>
        </w:tc>
        <w:tc>
          <w:tcPr>
            <w:tcW w:w="840" w:type="dxa"/>
            <w:vAlign w:val="bottom"/>
            <w:tcBorders>
              <w:top w:val="single" w:sz="8" w:color="0000EE"/>
              <w:bottom w:val="single" w:sz="8" w:color="0000EE"/>
            </w:tcBorders>
            <w:gridSpan w:val="2"/>
          </w:tcPr>
          <w:p>
            <w:pPr>
              <w:spacing w:after="0" w:line="147" w:lineRule="exact"/>
              <w:rPr>
                <w:rFonts w:ascii="Times New Roman" w:cs="Times New Roman" w:eastAsia="Times New Roman" w:hAnsi="Times New Roman"/>
                <w:sz w:val="14"/>
                <w:szCs w:val="14"/>
                <w:color w:val="0000EE"/>
              </w:rPr>
            </w:pPr>
            <w:hyperlink r:id="rId263">
              <w:r>
                <w:rPr>
                  <w:rFonts w:ascii="Times New Roman" w:cs="Times New Roman" w:eastAsia="Times New Roman" w:hAnsi="Times New Roman"/>
                  <w:sz w:val="14"/>
                  <w:szCs w:val="14"/>
                  <w:color w:val="0000EE"/>
                </w:rPr>
                <w:t>June 1, 2026).</w:t>
              </w:r>
            </w:hyperlink>
          </w:p>
        </w:tc>
        <w:tc>
          <w:tcPr>
            <w:tcW w:w="6260" w:type="dxa"/>
            <w:vAlign w:val="bottom"/>
            <w:tcBorders>
              <w:top w:val="single" w:sz="8" w:color="0000EE"/>
            </w:tcBorders>
            <w:gridSpan w:val="12"/>
          </w:tcPr>
          <w:p>
            <w:pPr>
              <w:spacing w:after="0"/>
              <w:rPr>
                <w:sz w:val="12"/>
                <w:szCs w:val="12"/>
                <w:color w:val="auto"/>
              </w:rPr>
            </w:pPr>
          </w:p>
        </w:tc>
        <w:tc>
          <w:tcPr>
            <w:tcW w:w="340" w:type="dxa"/>
            <w:vAlign w:val="bottom"/>
            <w:gridSpan w:val="6"/>
          </w:tcPr>
          <w:p>
            <w:pPr>
              <w:spacing w:after="0"/>
              <w:rPr>
                <w:sz w:val="12"/>
                <w:szCs w:val="12"/>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7440" w:type="dxa"/>
            <w:vAlign w:val="bottom"/>
            <w:gridSpan w:val="20"/>
          </w:tcPr>
          <w:p>
            <w:pPr>
              <w:spacing w:after="0"/>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Form of Forward Purchase Agreement (incorporated by reference to Exhibit 10.2 to the Current Report on Form 8-K filed with the</w:t>
              </w:r>
            </w:hyperlink>
          </w:p>
        </w:tc>
      </w:tr>
      <w:tr>
        <w:trPr>
          <w:trHeight w:val="147"/>
        </w:trPr>
        <w:tc>
          <w:tcPr>
            <w:tcW w:w="1020" w:type="dxa"/>
            <w:vAlign w:val="bottom"/>
          </w:tcPr>
          <w:p>
            <w:pPr>
              <w:spacing w:after="0"/>
              <w:rPr>
                <w:sz w:val="12"/>
                <w:szCs w:val="12"/>
                <w:color w:val="auto"/>
              </w:rPr>
            </w:pPr>
          </w:p>
        </w:tc>
        <w:tc>
          <w:tcPr>
            <w:tcW w:w="7260" w:type="dxa"/>
            <w:vAlign w:val="bottom"/>
            <w:tcBorders>
              <w:top w:val="single" w:sz="8" w:color="0000EE"/>
            </w:tcBorders>
            <w:gridSpan w:val="17"/>
          </w:tcPr>
          <w:p>
            <w:pPr>
              <w:spacing w:after="0" w:line="147" w:lineRule="exact"/>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SEC on May 7, 2026)</w:t>
              </w:r>
            </w:hyperlink>
          </w:p>
        </w:tc>
        <w:tc>
          <w:tcPr>
            <w:tcW w:w="180" w:type="dxa"/>
            <w:vAlign w:val="bottom"/>
            <w:gridSpan w:val="3"/>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10.8</w:t>
            </w:r>
          </w:p>
        </w:tc>
        <w:tc>
          <w:tcPr>
            <w:tcW w:w="7440" w:type="dxa"/>
            <w:vAlign w:val="bottom"/>
            <w:gridSpan w:val="20"/>
          </w:tcPr>
          <w:p>
            <w:pPr>
              <w:spacing w:after="0"/>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Form of Non-Redemption Agreement (incorporated by reference to Exhibit 10.1 to the Current Report on Form 8-K filed with the</w:t>
              </w:r>
            </w:hyperlink>
          </w:p>
        </w:tc>
      </w:tr>
      <w:tr>
        <w:trPr>
          <w:trHeight w:val="147"/>
        </w:trPr>
        <w:tc>
          <w:tcPr>
            <w:tcW w:w="1020" w:type="dxa"/>
            <w:vAlign w:val="bottom"/>
          </w:tcPr>
          <w:p>
            <w:pPr>
              <w:spacing w:after="0"/>
              <w:rPr>
                <w:sz w:val="12"/>
                <w:szCs w:val="12"/>
                <w:color w:val="auto"/>
              </w:rPr>
            </w:pPr>
          </w:p>
        </w:tc>
        <w:tc>
          <w:tcPr>
            <w:tcW w:w="7220" w:type="dxa"/>
            <w:vAlign w:val="bottom"/>
            <w:tcBorders>
              <w:top w:val="single" w:sz="8" w:color="0000EE"/>
            </w:tcBorders>
            <w:gridSpan w:val="16"/>
          </w:tcPr>
          <w:p>
            <w:pPr>
              <w:spacing w:after="0" w:line="147" w:lineRule="exact"/>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SEC on May 1, 2026)</w:t>
              </w:r>
            </w:hyperlink>
          </w:p>
        </w:tc>
        <w:tc>
          <w:tcPr>
            <w:tcW w:w="220" w:type="dxa"/>
            <w:vAlign w:val="bottom"/>
            <w:gridSpan w:val="4"/>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14*</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Code of Business Conduct and Ethics</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21.1*</w:t>
            </w:r>
          </w:p>
        </w:tc>
        <w:tc>
          <w:tcPr>
            <w:tcW w:w="20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8"/>
              </w:rPr>
              <w:t>List of Subsidiaries of the Registrant</w:t>
            </w:r>
          </w:p>
        </w:tc>
        <w:tc>
          <w:tcPr>
            <w:tcW w:w="40" w:type="dxa"/>
            <w:vAlign w:val="bottom"/>
            <w:tcBorders>
              <w:top w:val="single" w:sz="8" w:color="0000EE"/>
            </w:tcBorders>
          </w:tcPr>
          <w:p>
            <w:pPr>
              <w:spacing w:after="0"/>
              <w:rPr>
                <w:sz w:val="20"/>
                <w:szCs w:val="20"/>
                <w:color w:val="auto"/>
              </w:rPr>
            </w:pPr>
          </w:p>
        </w:tc>
        <w:tc>
          <w:tcPr>
            <w:tcW w:w="5360" w:type="dxa"/>
            <w:vAlign w:val="bottom"/>
            <w:gridSpan w:val="12"/>
          </w:tcPr>
          <w:p>
            <w:pPr>
              <w:spacing w:after="0"/>
              <w:rPr>
                <w:sz w:val="20"/>
                <w:szCs w:val="20"/>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Consent of BPM LLP, independent registered public accounting firm for GigCapital7 Corp.</w:t>
            </w:r>
          </w:p>
        </w:tc>
      </w:tr>
      <w:tr>
        <w:trPr>
          <w:trHeight w:val="20"/>
        </w:trPr>
        <w:tc>
          <w:tcPr>
            <w:tcW w:w="102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61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8"/>
              </w:rPr>
              <w:t>Consent of WithumSmith+Brown, PC, independent registered public accounting firm for Hadron Energy, Inc.</w:t>
            </w:r>
          </w:p>
        </w:tc>
        <w:tc>
          <w:tcPr>
            <w:tcW w:w="1340" w:type="dxa"/>
            <w:vAlign w:val="bottom"/>
            <w:gridSpan w:val="7"/>
          </w:tcPr>
          <w:p>
            <w:pPr>
              <w:spacing w:after="0"/>
              <w:rPr>
                <w:sz w:val="20"/>
                <w:szCs w:val="20"/>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23.3*</w:t>
            </w:r>
          </w:p>
        </w:tc>
        <w:tc>
          <w:tcPr>
            <w:tcW w:w="3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8"/>
              </w:rPr>
              <w:t>Consent of DLA Piper LLP (US) (included in Exhibit 5.1)</w:t>
            </w:r>
          </w:p>
        </w:tc>
        <w:tc>
          <w:tcPr>
            <w:tcW w:w="4200" w:type="dxa"/>
            <w:vAlign w:val="bottom"/>
            <w:gridSpan w:val="11"/>
          </w:tcPr>
          <w:p>
            <w:pPr>
              <w:spacing w:after="0"/>
              <w:rPr>
                <w:sz w:val="20"/>
                <w:szCs w:val="20"/>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24*</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 to initial filing of this registration statement)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99.1*</w:t>
            </w:r>
          </w:p>
        </w:tc>
        <w:tc>
          <w:tcPr>
            <w:tcW w:w="14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7"/>
              </w:rPr>
              <w:t>Audit Committee Charter</w:t>
            </w:r>
          </w:p>
        </w:tc>
        <w:tc>
          <w:tcPr>
            <w:tcW w:w="3680" w:type="dxa"/>
            <w:vAlign w:val="bottom"/>
            <w:tcBorders>
              <w:top w:val="single" w:sz="8" w:color="0000EE"/>
            </w:tcBorders>
            <w:gridSpan w:val="7"/>
          </w:tcPr>
          <w:p>
            <w:pPr>
              <w:spacing w:after="0"/>
              <w:rPr>
                <w:sz w:val="20"/>
                <w:szCs w:val="20"/>
                <w:color w:val="auto"/>
              </w:rPr>
            </w:pPr>
          </w:p>
        </w:tc>
        <w:tc>
          <w:tcPr>
            <w:tcW w:w="2340" w:type="dxa"/>
            <w:vAlign w:val="bottom"/>
            <w:gridSpan w:val="8"/>
          </w:tcPr>
          <w:p>
            <w:pPr>
              <w:spacing w:after="0"/>
              <w:rPr>
                <w:sz w:val="20"/>
                <w:szCs w:val="20"/>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99.2*</w:t>
            </w:r>
          </w:p>
        </w:tc>
        <w:tc>
          <w:tcPr>
            <w:tcW w:w="1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7"/>
              </w:rPr>
              <w:t>Compensation Committee Charter</w:t>
            </w:r>
          </w:p>
        </w:tc>
        <w:tc>
          <w:tcPr>
            <w:tcW w:w="5540" w:type="dxa"/>
            <w:vAlign w:val="bottom"/>
            <w:gridSpan w:val="14"/>
          </w:tcPr>
          <w:p>
            <w:pPr>
              <w:spacing w:after="0"/>
              <w:rPr>
                <w:sz w:val="20"/>
                <w:szCs w:val="20"/>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  99.3*</w:t>
            </w:r>
          </w:p>
        </w:tc>
        <w:tc>
          <w:tcPr>
            <w:tcW w:w="33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8"/>
              </w:rPr>
              <w:t>Nominating and Corporate Governance Committee Charter</w:t>
            </w:r>
          </w:p>
        </w:tc>
        <w:tc>
          <w:tcPr>
            <w:tcW w:w="4140" w:type="dxa"/>
            <w:vAlign w:val="bottom"/>
            <w:gridSpan w:val="10"/>
          </w:tcPr>
          <w:p>
            <w:pPr>
              <w:spacing w:after="0"/>
              <w:rPr>
                <w:sz w:val="20"/>
                <w:szCs w:val="20"/>
                <w:color w:val="auto"/>
              </w:rPr>
            </w:pPr>
          </w:p>
        </w:tc>
      </w:tr>
      <w:tr>
        <w:trPr>
          <w:trHeight w:val="24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w:t>
            </w:r>
          </w:p>
        </w:tc>
      </w:tr>
      <w:tr>
        <w:trPr>
          <w:trHeight w:val="182"/>
        </w:trPr>
        <w:tc>
          <w:tcPr>
            <w:tcW w:w="1020" w:type="dxa"/>
            <w:vAlign w:val="bottom"/>
          </w:tcPr>
          <w:p>
            <w:pPr>
              <w:spacing w:after="0"/>
              <w:rPr>
                <w:sz w:val="15"/>
                <w:szCs w:val="15"/>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Labels Linkbase Document</w:t>
            </w: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Cover Page Interactive Data File (as formatted as Inline XBRL and contained in Exhibit 101)</w:t>
            </w:r>
          </w:p>
        </w:tc>
      </w:tr>
      <w:tr>
        <w:trPr>
          <w:trHeight w:val="21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744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Filing Fee Table</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1720" w:hanging="330"/>
        <w:spacing w:after="0"/>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1" w:lineRule="exact"/>
        <w:rPr>
          <w:sz w:val="20"/>
          <w:szCs w:val="20"/>
          <w:color w:val="auto"/>
        </w:rPr>
      </w:pPr>
    </w:p>
    <w:p>
      <w:pPr>
        <w:ind w:left="1720" w:right="639" w:hanging="330"/>
        <w:spacing w:after="0" w:line="257"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(indicated by “[***]”) have been omitted pursuant to Item 601(b)(10)(iv) of Regulation S-K because it is not material and is the type of information that the Registrant treats as private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405"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or confidential. The Registrant agrees to furnish supplementally a copy of such schedules, or any section thereof, to the SEC upon request.</w:t>
      </w:r>
    </w:p>
    <w:p>
      <w:pPr>
        <w:spacing w:after="0" w:line="21" w:lineRule="exact"/>
        <w:rPr>
          <w:sz w:val="20"/>
          <w:szCs w:val="20"/>
          <w:color w:val="auto"/>
        </w:rPr>
      </w:pPr>
    </w:p>
    <w:p>
      <w:pPr>
        <w:ind w:left="1720" w:hanging="330"/>
        <w:spacing w:after="0"/>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 management contract or compensatory plan or arrangement.</w:t>
      </w: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 To file, during any period in which offers or sales are being made, a post-effective amendment to this registration statement:</w:t>
      </w:r>
    </w:p>
    <w:p>
      <w:pPr>
        <w:spacing w:after="0" w:line="89" w:lineRule="exact"/>
        <w:rPr>
          <w:sz w:val="20"/>
          <w:szCs w:val="20"/>
          <w:color w:val="auto"/>
        </w:rPr>
      </w:pPr>
    </w:p>
    <w:p>
      <w:pPr>
        <w:ind w:left="1900" w:hanging="170"/>
        <w:spacing w:after="0"/>
        <w:tabs>
          <w:tab w:leader="none" w:pos="19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2" w:lineRule="exact"/>
        <w:rPr>
          <w:rFonts w:ascii="Times New Roman" w:cs="Times New Roman" w:eastAsia="Times New Roman" w:hAnsi="Times New Roman"/>
          <w:sz w:val="14"/>
          <w:szCs w:val="14"/>
          <w:color w:val="auto"/>
        </w:rPr>
      </w:pPr>
    </w:p>
    <w:p>
      <w:pPr>
        <w:ind w:left="1400" w:right="399" w:firstLine="330"/>
        <w:spacing w:after="0" w:line="254" w:lineRule="auto"/>
        <w:tabs>
          <w:tab w:leader="none" w:pos="1945"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45" w:lineRule="exact"/>
        <w:rPr>
          <w:rFonts w:ascii="Times New Roman" w:cs="Times New Roman" w:eastAsia="Times New Roman" w:hAnsi="Times New Roman"/>
          <w:sz w:val="14"/>
          <w:szCs w:val="14"/>
          <w:color w:val="auto"/>
        </w:rPr>
      </w:pPr>
    </w:p>
    <w:p>
      <w:pPr>
        <w:ind w:left="1400" w:right="679" w:firstLine="330"/>
        <w:spacing w:after="0" w:line="279" w:lineRule="auto"/>
        <w:tabs>
          <w:tab w:leader="none" w:pos="1983"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6"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6" w:lineRule="exact"/>
        <w:rPr>
          <w:sz w:val="20"/>
          <w:szCs w:val="20"/>
          <w:color w:val="auto"/>
        </w:rPr>
      </w:pPr>
    </w:p>
    <w:p>
      <w:pPr>
        <w:ind w:left="1400" w:right="799" w:firstLine="340"/>
        <w:spacing w:after="0" w:line="279" w:lineRule="auto"/>
        <w:rPr>
          <w:sz w:val="20"/>
          <w:szCs w:val="20"/>
          <w:color w:val="auto"/>
        </w:rPr>
      </w:pPr>
      <w:r>
        <w:rPr>
          <w:rFonts w:ascii="Times New Roman" w:cs="Times New Roman" w:eastAsia="Times New Roman" w:hAnsi="Times New Roman"/>
          <w:sz w:val="14"/>
          <w:szCs w:val="14"/>
          <w:color w:val="auto"/>
        </w:rPr>
        <w:t>C. To remove from registration by means of a post-effective amendment any of the securities being registered which remain unsold at the termination of the offering.</w:t>
      </w:r>
    </w:p>
    <w:p>
      <w:pPr>
        <w:spacing w:after="0" w:line="126"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7" w:lineRule="exact"/>
        <w:rPr>
          <w:sz w:val="20"/>
          <w:szCs w:val="20"/>
          <w:color w:val="auto"/>
        </w:rPr>
      </w:pPr>
    </w:p>
    <w:p>
      <w:pPr>
        <w:ind w:left="1400" w:right="559" w:firstLine="340"/>
        <w:spacing w:after="0" w:line="285" w:lineRule="auto"/>
        <w:rPr>
          <w:sz w:val="20"/>
          <w:szCs w:val="20"/>
          <w:color w:val="auto"/>
        </w:rPr>
      </w:pPr>
      <w:r>
        <w:rPr>
          <w:rFonts w:ascii="Times New Roman" w:cs="Times New Roman" w:eastAsia="Times New Roman" w:hAnsi="Times New Roman"/>
          <w:sz w:val="13"/>
          <w:szCs w:val="13"/>
          <w:color w:val="auto"/>
        </w:rPr>
        <w:t>E. 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1" w:lineRule="exact"/>
        <w:rPr>
          <w:sz w:val="20"/>
          <w:szCs w:val="20"/>
          <w:color w:val="auto"/>
        </w:rPr>
      </w:pPr>
    </w:p>
    <w:p>
      <w:pPr>
        <w:ind w:left="1900" w:hanging="170"/>
        <w:spacing w:after="0"/>
        <w:tabs>
          <w:tab w:leader="none" w:pos="19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2" w:lineRule="exact"/>
        <w:rPr>
          <w:rFonts w:ascii="Times New Roman" w:cs="Times New Roman" w:eastAsia="Times New Roman" w:hAnsi="Times New Roman"/>
          <w:sz w:val="14"/>
          <w:szCs w:val="14"/>
          <w:color w:val="auto"/>
        </w:rPr>
      </w:pPr>
    </w:p>
    <w:p>
      <w:pPr>
        <w:ind w:left="1400" w:right="759" w:firstLine="330"/>
        <w:spacing w:after="0" w:line="279" w:lineRule="auto"/>
        <w:tabs>
          <w:tab w:leader="none" w:pos="194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405"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30"/>
        <w:spacing w:after="0" w:line="279" w:lineRule="auto"/>
        <w:tabs>
          <w:tab w:leader="none" w:pos="1983"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6" w:lineRule="exact"/>
        <w:rPr>
          <w:rFonts w:ascii="Times New Roman" w:cs="Times New Roman" w:eastAsia="Times New Roman" w:hAnsi="Times New Roman"/>
          <w:sz w:val="14"/>
          <w:szCs w:val="14"/>
          <w:color w:val="auto"/>
        </w:rPr>
      </w:pPr>
    </w:p>
    <w:p>
      <w:pPr>
        <w:ind w:left="1960" w:hanging="230"/>
        <w:spacing w:after="0"/>
        <w:tabs>
          <w:tab w:leader="none" w:pos="19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3" w:lineRule="exact"/>
        <w:rPr>
          <w:sz w:val="20"/>
          <w:szCs w:val="20"/>
          <w:color w:val="auto"/>
        </w:rPr>
      </w:pPr>
    </w:p>
    <w:p>
      <w:pPr>
        <w:ind w:left="1400" w:right="359" w:firstLine="340"/>
        <w:spacing w:after="0" w:line="253" w:lineRule="auto"/>
        <w:rPr>
          <w:sz w:val="20"/>
          <w:szCs w:val="20"/>
          <w:color w:val="auto"/>
        </w:rPr>
      </w:pPr>
      <w:r>
        <w:rPr>
          <w:rFonts w:ascii="Times New Roman" w:cs="Times New Roman" w:eastAsia="Times New Roman" w:hAnsi="Times New Roman"/>
          <w:sz w:val="14"/>
          <w:szCs w:val="14"/>
          <w:color w:val="auto"/>
        </w:rPr>
        <w:t>F.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4"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G. That every prospectus (i) that is filed pursuant to paragraph (F)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H. To supply by means of a post-effective amendment all information concerning a transaction, and the company being acquired involved therein, that was not the subject of and included in the registration statement when it became effective.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10159"/>
          </w:cols>
          <w:pgMar w:left="300" w:top="405"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5"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Redwood City, State of California on June 15, 2026.</w:t>
      </w:r>
    </w:p>
    <w:p>
      <w:pPr>
        <w:spacing w:after="0" w:line="1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HADRON ENERGY, INC.</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13335</wp:posOffset>
            </wp:positionV>
            <wp:extent cx="215836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2158365" cy="6350"/>
                    </a:xfrm>
                    <a:prstGeom prst="rect">
                      <a:avLst/>
                    </a:prstGeom>
                    <a:noFill/>
                  </pic:spPr>
                </pic:pic>
              </a:graphicData>
            </a:graphic>
          </wp:anchor>
        </w:drawing>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Name: Samuel Gibson</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Samuel Gibson his/her</w:t>
      </w:r>
    </w:p>
    <w:p>
      <w:pPr>
        <w:spacing w:after="0" w:line="21" w:lineRule="exact"/>
        <w:rPr>
          <w:sz w:val="20"/>
          <w:szCs w:val="20"/>
          <w:color w:val="auto"/>
        </w:rPr>
      </w:pPr>
    </w:p>
    <w:p>
      <w:pPr>
        <w:ind w:left="1400" w:right="319"/>
        <w:spacing w:after="0" w:line="274" w:lineRule="auto"/>
        <w:rPr>
          <w:sz w:val="20"/>
          <w:szCs w:val="20"/>
          <w:color w:val="auto"/>
        </w:rPr>
      </w:pPr>
      <w:r>
        <w:rPr>
          <w:rFonts w:ascii="Times New Roman" w:cs="Times New Roman" w:eastAsia="Times New Roman" w:hAnsi="Times New Roman"/>
          <w:sz w:val="13"/>
          <w:szCs w:val="13"/>
          <w:color w:val="auto"/>
        </w:rPr>
        <w:t>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33" w:lineRule="exact"/>
        <w:rPr>
          <w:sz w:val="20"/>
          <w:szCs w:val="20"/>
          <w:color w:val="auto"/>
        </w:rPr>
      </w:pPr>
    </w:p>
    <w:p>
      <w:pPr>
        <w:ind w:left="1400" w:right="639"/>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3" w:lineRule="exact"/>
        <w:rPr>
          <w:sz w:val="20"/>
          <w:szCs w:val="20"/>
          <w:color w:val="auto"/>
        </w:rPr>
      </w:pPr>
    </w:p>
    <w:tbl>
      <w:tblPr>
        <w:tblLayout w:type="fixed"/>
        <w:tblInd w:w="1400" w:type="dxa"/>
        <w:tblCellMar>
          <w:top w:w="0" w:type="dxa"/>
          <w:left w:w="0" w:type="dxa"/>
          <w:bottom w:w="0" w:type="dxa"/>
          <w:right w:w="0" w:type="dxa"/>
        </w:tblCellMar>
      </w:tblPr>
      <w:tr>
        <w:trPr>
          <w:trHeight w:val="147"/>
        </w:trPr>
        <w:tc>
          <w:tcPr>
            <w:tcW w:w="3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000" w:type="dxa"/>
            <w:vAlign w:val="bottom"/>
          </w:tcPr>
          <w:p>
            <w:pPr>
              <w:ind w:left="140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1060" w:type="dxa"/>
            <w:vAlign w:val="bottom"/>
          </w:tcPr>
          <w:p>
            <w:pPr>
              <w:ind w:left="840"/>
              <w:spacing w:after="0"/>
              <w:rPr>
                <w:sz w:val="20"/>
                <w:szCs w:val="20"/>
                <w:color w:val="auto"/>
              </w:rPr>
            </w:pPr>
            <w:r>
              <w:rPr>
                <w:rFonts w:ascii="Times New Roman" w:cs="Times New Roman" w:eastAsia="Times New Roman" w:hAnsi="Times New Roman"/>
                <w:sz w:val="11"/>
                <w:szCs w:val="11"/>
                <w:b w:val="1"/>
                <w:bCs w:val="1"/>
                <w:color w:val="auto"/>
                <w:w w:val="90"/>
              </w:rPr>
              <w:t>Date</w:t>
            </w:r>
          </w:p>
        </w:tc>
      </w:tr>
      <w:tr>
        <w:trPr>
          <w:trHeight w:val="320"/>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Samuel Gibson</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 and Director (Principal</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Samuel Gibson</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Officer)</w:t>
            </w:r>
          </w:p>
        </w:tc>
        <w:tc>
          <w:tcPr>
            <w:tcW w:w="1060" w:type="dxa"/>
            <w:vAlign w:val="bottom"/>
          </w:tcPr>
          <w:p>
            <w:pPr>
              <w:spacing w:after="0"/>
              <w:rPr>
                <w:sz w:val="14"/>
                <w:szCs w:val="14"/>
                <w:color w:val="auto"/>
              </w:rPr>
            </w:pPr>
          </w:p>
        </w:tc>
      </w:tr>
      <w:tr>
        <w:trPr>
          <w:trHeight w:val="3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Rahul Shukla</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Rahul Shukla</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060" w:type="dxa"/>
            <w:vAlign w:val="bottom"/>
          </w:tcPr>
          <w:p>
            <w:pPr>
              <w:spacing w:after="0"/>
              <w:rPr>
                <w:sz w:val="14"/>
                <w:szCs w:val="14"/>
                <w:color w:val="auto"/>
              </w:rPr>
            </w:pPr>
          </w:p>
        </w:tc>
      </w:tr>
      <w:tr>
        <w:trPr>
          <w:trHeight w:val="3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Avi S. Katz</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Chairman of the Board of Directors</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Dr. Avi S. Katz</w:t>
            </w:r>
          </w:p>
        </w:tc>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Raluca Dinu</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Dr. Raluca Dinu</w:t>
            </w:r>
          </w:p>
        </w:tc>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Raanan I. Horowitz</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Raanan I. Horowitz</w:t>
            </w:r>
          </w:p>
        </w:tc>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Ambassador Adrian Zuckerman</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Ralph L. Hunter</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Ralph L. Hunter</w:t>
            </w:r>
          </w:p>
        </w:tc>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J. Lewis</w:t>
            </w:r>
          </w:p>
        </w:tc>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Robert J. Lewis</w:t>
            </w:r>
          </w:p>
        </w:tc>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77"/>
        </w:trPr>
        <w:tc>
          <w:tcPr>
            <w:tcW w:w="3820" w:type="dxa"/>
            <w:vAlign w:val="bottom"/>
          </w:tcPr>
          <w:p>
            <w:pPr>
              <w:spacing w:after="0"/>
              <w:rPr>
                <w:sz w:val="24"/>
                <w:szCs w:val="24"/>
                <w:color w:val="auto"/>
              </w:rPr>
            </w:pPr>
          </w:p>
        </w:tc>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II-9</w:t>
            </w:r>
          </w:p>
        </w:tc>
        <w:tc>
          <w:tcPr>
            <w:tcW w:w="1060" w:type="dxa"/>
            <w:vAlign w:val="bottom"/>
          </w:tcPr>
          <w:p>
            <w:pPr>
              <w:spacing w:after="0"/>
              <w:rPr>
                <w:sz w:val="24"/>
                <w:szCs w:val="24"/>
                <w:color w:val="auto"/>
              </w:rPr>
            </w:pPr>
          </w:p>
        </w:tc>
      </w:tr>
    </w:tbl>
    <w:p>
      <w:pPr>
        <w:sectPr>
          <w:pgSz w:w="11900" w:h="16838" w:orient="portrait"/>
          <w:cols w:equalWidth="0" w:num="1">
            <w:col w:w="10159"/>
          </w:cols>
          <w:pgMar w:left="300" w:top="405"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7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202170" cy="45720"/>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1400" w:type="dxa"/>
        <w:tblCellMar>
          <w:top w:w="0" w:type="dxa"/>
          <w:left w:w="0" w:type="dxa"/>
          <w:bottom w:w="0" w:type="dxa"/>
          <w:right w:w="0" w:type="dxa"/>
        </w:tblCellMar>
      </w:tblPr>
      <w:tr>
        <w:trPr>
          <w:trHeight w:val="147"/>
        </w:trPr>
        <w:tc>
          <w:tcPr>
            <w:tcW w:w="3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500" w:type="dxa"/>
            <w:vAlign w:val="bottom"/>
          </w:tcPr>
          <w:p>
            <w:pPr>
              <w:jc w:val="right"/>
              <w:ind w:right="655"/>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156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w w:val="90"/>
              </w:rPr>
              <w:t>Date</w:t>
            </w:r>
          </w:p>
        </w:tc>
      </w:tr>
      <w:tr>
        <w:trPr>
          <w:trHeight w:val="34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Bryan L. Timm</w:t>
            </w:r>
          </w:p>
        </w:tc>
        <w:tc>
          <w:tcPr>
            <w:tcW w:w="2500" w:type="dxa"/>
            <w:vAlign w:val="bottom"/>
          </w:tcPr>
          <w:p>
            <w:pPr>
              <w:jc w:val="right"/>
              <w:ind w:right="1875"/>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June 15, 2026</w:t>
            </w:r>
          </w:p>
        </w:tc>
      </w:tr>
      <w:tr>
        <w:trPr>
          <w:trHeight w:val="17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Bryan L. Timm</w:t>
            </w:r>
          </w:p>
        </w:tc>
        <w:tc>
          <w:tcPr>
            <w:tcW w:w="25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77"/>
        </w:trPr>
        <w:tc>
          <w:tcPr>
            <w:tcW w:w="3820" w:type="dxa"/>
            <w:vAlign w:val="bottom"/>
          </w:tcPr>
          <w:p>
            <w:pPr>
              <w:spacing w:after="0"/>
              <w:rPr>
                <w:sz w:val="24"/>
                <w:szCs w:val="24"/>
                <w:color w:val="auto"/>
              </w:rPr>
            </w:pPr>
          </w:p>
        </w:tc>
        <w:tc>
          <w:tcPr>
            <w:tcW w:w="2500" w:type="dxa"/>
            <w:vAlign w:val="bottom"/>
          </w:tcPr>
          <w:p>
            <w:pPr>
              <w:jc w:val="right"/>
              <w:ind w:right="1875"/>
              <w:spacing w:after="0"/>
              <w:rPr>
                <w:sz w:val="20"/>
                <w:szCs w:val="20"/>
                <w:color w:val="auto"/>
              </w:rPr>
            </w:pPr>
            <w:r>
              <w:rPr>
                <w:rFonts w:ascii="Times New Roman" w:cs="Times New Roman" w:eastAsia="Times New Roman" w:hAnsi="Times New Roman"/>
                <w:sz w:val="14"/>
                <w:szCs w:val="14"/>
                <w:color w:val="auto"/>
              </w:rPr>
              <w:t>II-10</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405" w:right="1440" w:bottom="1440" w:gutter="0" w:footer="0" w:header="0"/>
        </w:sectPr>
      </w:pPr>
    </w:p>
    <w:bookmarkStart w:id="218" w:name="page219"/>
    <w:bookmarkEnd w:id="218"/>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DLA Piper LLP (US)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555 Mission Street, Suite 2400</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San Francisco, CA 94105-2933</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June 15, 2026</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Hadron Energy,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 Twin Dolphin Drive, Suite 260</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Redwood City, CA 94065</w:t>
      </w:r>
    </w:p>
    <w:p>
      <w:pPr>
        <w:spacing w:after="0" w:line="176" w:lineRule="exact"/>
        <w:rPr>
          <w:sz w:val="20"/>
          <w:szCs w:val="20"/>
          <w:color w:val="auto"/>
        </w:rPr>
      </w:pPr>
    </w:p>
    <w:p>
      <w:pPr>
        <w:ind w:left="58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Re:</w:t>
        <w:tab/>
        <w:t>Registration Statement on Form S-1 of Hadron Energy, Inc.</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We have acted as counsel to Hadron Energy,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formerly known as GigCapital7 Corp.</w:t>
      </w:r>
    </w:p>
    <w:p>
      <w:pPr>
        <w:spacing w:after="0" w:line="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GigCapital7</w:t>
      </w:r>
      <w:r>
        <w:rPr>
          <w:rFonts w:ascii="Times New Roman" w:cs="Times New Roman" w:eastAsia="Times New Roman" w:hAnsi="Times New Roman"/>
          <w:sz w:val="13"/>
          <w:szCs w:val="13"/>
          <w:color w:val="auto"/>
        </w:rPr>
        <w:t>”)), in connection with the preparation and filing by the Company with the United States Securities and Exchange Commission (the</w:t>
      </w:r>
    </w:p>
    <w:p>
      <w:pPr>
        <w:spacing w:after="0" w:line="17" w:lineRule="exact"/>
        <w:rPr>
          <w:sz w:val="20"/>
          <w:szCs w:val="20"/>
          <w:color w:val="auto"/>
        </w:rPr>
      </w:pPr>
    </w:p>
    <w:p>
      <w:pPr>
        <w:ind w:left="260" w:right="29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of a Registration Statement on Form S-1 filed by the Company with the Commission on June 15, 2026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pursuant to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for the issuance by the Company of up to 28,719,000 shares of common stock, $0.0001 par value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of the Company, including (i) up to 20,000,000 shares of Common Stock (the “</w:t>
      </w:r>
      <w:r>
        <w:rPr>
          <w:rFonts w:ascii="Times New Roman" w:cs="Times New Roman" w:eastAsia="Times New Roman" w:hAnsi="Times New Roman"/>
          <w:sz w:val="13"/>
          <w:szCs w:val="13"/>
          <w:b w:val="1"/>
          <w:bCs w:val="1"/>
          <w:i w:val="1"/>
          <w:iCs w:val="1"/>
          <w:color w:val="auto"/>
        </w:rPr>
        <w:t>Public Warrant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that are issuable upon the exercise of 20,000,000 warrants (the “</w:t>
      </w:r>
      <w:r>
        <w:rPr>
          <w:rFonts w:ascii="Times New Roman" w:cs="Times New Roman" w:eastAsia="Times New Roman" w:hAnsi="Times New Roman"/>
          <w:sz w:val="13"/>
          <w:szCs w:val="13"/>
          <w:b w:val="1"/>
          <w:bCs w:val="1"/>
          <w:i w:val="1"/>
          <w:iCs w:val="1"/>
          <w:color w:val="auto"/>
        </w:rPr>
        <w:t>Public Warrants</w:t>
      </w:r>
      <w:r>
        <w:rPr>
          <w:rFonts w:ascii="Times New Roman" w:cs="Times New Roman" w:eastAsia="Times New Roman" w:hAnsi="Times New Roman"/>
          <w:sz w:val="13"/>
          <w:szCs w:val="13"/>
          <w:color w:val="auto"/>
        </w:rPr>
        <w:t>”) by the holders of such warrants, (ii) up to 3,719,000 shares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Common Stock (the “</w:t>
      </w:r>
      <w:r>
        <w:rPr>
          <w:rFonts w:ascii="Times New Roman" w:cs="Times New Roman" w:eastAsia="Times New Roman" w:hAnsi="Times New Roman"/>
          <w:sz w:val="13"/>
          <w:szCs w:val="13"/>
          <w:b w:val="1"/>
          <w:bCs w:val="1"/>
          <w:i w:val="1"/>
          <w:iCs w:val="1"/>
          <w:color w:val="auto"/>
        </w:rPr>
        <w:t>Private Warrant Shares</w:t>
      </w:r>
      <w:r>
        <w:rPr>
          <w:rFonts w:ascii="Times New Roman" w:cs="Times New Roman" w:eastAsia="Times New Roman" w:hAnsi="Times New Roman"/>
          <w:sz w:val="13"/>
          <w:szCs w:val="13"/>
          <w:color w:val="auto"/>
        </w:rPr>
        <w:t>”) that are issuable upon the exercise of 3,719,000 private placement warrants (the “</w:t>
      </w:r>
      <w:r>
        <w:rPr>
          <w:rFonts w:ascii="Times New Roman" w:cs="Times New Roman" w:eastAsia="Times New Roman" w:hAnsi="Times New Roman"/>
          <w:sz w:val="13"/>
          <w:szCs w:val="13"/>
          <w:b w:val="1"/>
          <w:bCs w:val="1"/>
          <w:i w:val="1"/>
          <w:iCs w:val="1"/>
          <w:color w:val="auto"/>
        </w:rPr>
        <w:t>Private Warrants</w:t>
      </w:r>
      <w:r>
        <w:rPr>
          <w:rFonts w:ascii="Times New Roman" w:cs="Times New Roman" w:eastAsia="Times New Roman" w:hAnsi="Times New Roman"/>
          <w:sz w:val="13"/>
          <w:szCs w:val="13"/>
          <w:color w:val="auto"/>
        </w:rPr>
        <w:t>”) by the holders of such warrants, and (iii) up to 5,000,000 shares of Common Stock (the “</w:t>
      </w:r>
      <w:r>
        <w:rPr>
          <w:rFonts w:ascii="Times New Roman" w:cs="Times New Roman" w:eastAsia="Times New Roman" w:hAnsi="Times New Roman"/>
          <w:sz w:val="13"/>
          <w:szCs w:val="13"/>
          <w:b w:val="1"/>
          <w:bCs w:val="1"/>
          <w:i w:val="1"/>
          <w:iCs w:val="1"/>
          <w:color w:val="auto"/>
        </w:rPr>
        <w:t>Hadron Private Warrant Shares</w:t>
      </w:r>
      <w:r>
        <w:rPr>
          <w:rFonts w:ascii="Times New Roman" w:cs="Times New Roman" w:eastAsia="Times New Roman" w:hAnsi="Times New Roman"/>
          <w:sz w:val="13"/>
          <w:szCs w:val="13"/>
          <w:color w:val="auto"/>
        </w:rPr>
        <w:t>” and together with the Public Warrant Shares and Private Warrant Shares, the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that are issuable upon the exercise of 5,000,000 warrants (the “</w:t>
      </w:r>
      <w:r>
        <w:rPr>
          <w:rFonts w:ascii="Times New Roman" w:cs="Times New Roman" w:eastAsia="Times New Roman" w:hAnsi="Times New Roman"/>
          <w:sz w:val="13"/>
          <w:szCs w:val="13"/>
          <w:b w:val="1"/>
          <w:bCs w:val="1"/>
          <w:i w:val="1"/>
          <w:iCs w:val="1"/>
          <w:color w:val="auto"/>
        </w:rPr>
        <w:t>Hadron Private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and together with the Public Warrants and Private Warrants, the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originally issued at the closing of the merger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between MMR Merger Sub, Inc.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and Hadron Energy Operating Company, Inc. (“</w:t>
      </w:r>
      <w:r>
        <w:rPr>
          <w:rFonts w:ascii="Times New Roman" w:cs="Times New Roman" w:eastAsia="Times New Roman" w:hAnsi="Times New Roman"/>
          <w:sz w:val="13"/>
          <w:szCs w:val="13"/>
          <w:b w:val="1"/>
          <w:bCs w:val="1"/>
          <w:i w:val="1"/>
          <w:iCs w:val="1"/>
          <w:color w:val="auto"/>
        </w:rPr>
        <w:t>Hadron OpCo</w:t>
      </w:r>
      <w:r>
        <w:rPr>
          <w:rFonts w:ascii="Times New Roman" w:cs="Times New Roman" w:eastAsia="Times New Roman" w:hAnsi="Times New Roman"/>
          <w:sz w:val="13"/>
          <w:szCs w:val="13"/>
          <w:color w:val="auto"/>
        </w:rPr>
        <w:t>”) in exchange for warrants previously issued by Hadron OpCo. The Company is also registering on the Registration Statement the resale by the selling securityholders named in the prospectus or their permitted transferees from time to time of 57,432,395 shares of Common Stock and Private Warrants to purchase up to 3,719,000 shares of Common Stock, including (i) 10,207,246 outstanding shares of Common Stock (the “</w:t>
      </w:r>
      <w:r>
        <w:rPr>
          <w:rFonts w:ascii="Times New Roman" w:cs="Times New Roman" w:eastAsia="Times New Roman" w:hAnsi="Times New Roman"/>
          <w:sz w:val="13"/>
          <w:szCs w:val="13"/>
          <w:b w:val="1"/>
          <w:bCs w:val="1"/>
          <w:i w:val="1"/>
          <w:iCs w:val="1"/>
          <w:color w:val="auto"/>
        </w:rPr>
        <w:t>Founder Shares</w:t>
      </w:r>
      <w:r>
        <w:rPr>
          <w:rFonts w:ascii="Times New Roman" w:cs="Times New Roman" w:eastAsia="Times New Roman" w:hAnsi="Times New Roman"/>
          <w:sz w:val="13"/>
          <w:szCs w:val="13"/>
          <w:color w:val="auto"/>
        </w:rPr>
        <w:t>”) acquired by GigCapital7’s sponsor, GigAcquisitions7 Corp., a Cayman Islands exempted company (the “</w:t>
      </w:r>
      <w:r>
        <w:rPr>
          <w:rFonts w:ascii="Times New Roman" w:cs="Times New Roman" w:eastAsia="Times New Roman" w:hAnsi="Times New Roman"/>
          <w:sz w:val="13"/>
          <w:szCs w:val="13"/>
          <w:b w:val="1"/>
          <w:bCs w:val="1"/>
          <w:i w:val="1"/>
          <w:iCs w:val="1"/>
          <w:color w:val="auto"/>
        </w:rPr>
        <w:t>Sponsor</w:t>
      </w:r>
      <w:r>
        <w:rPr>
          <w:rFonts w:ascii="Times New Roman" w:cs="Times New Roman" w:eastAsia="Times New Roman" w:hAnsi="Times New Roman"/>
          <w:sz w:val="13"/>
          <w:szCs w:val="13"/>
          <w:color w:val="auto"/>
        </w:rPr>
        <w:t>”), of which the Sponsor retains 9,932,246 shares and previously transferred 100,000 shares to the Philharmonic-Symphonic Society of New York and 175,000 shares to Yield Point NY LLC, (ii) 3,126,087 outstanding shares of Common Stock (the “</w:t>
      </w:r>
      <w:r>
        <w:rPr>
          <w:rFonts w:ascii="Times New Roman" w:cs="Times New Roman" w:eastAsia="Times New Roman" w:hAnsi="Times New Roman"/>
          <w:sz w:val="13"/>
          <w:szCs w:val="13"/>
          <w:b w:val="1"/>
          <w:bCs w:val="1"/>
          <w:i w:val="1"/>
          <w:iCs w:val="1"/>
          <w:color w:val="auto"/>
        </w:rPr>
        <w:t>Private Placement Shares</w:t>
      </w:r>
      <w:r>
        <w:rPr>
          <w:rFonts w:ascii="Times New Roman" w:cs="Times New Roman" w:eastAsia="Times New Roman" w:hAnsi="Times New Roman"/>
          <w:sz w:val="13"/>
          <w:szCs w:val="13"/>
          <w:color w:val="auto"/>
        </w:rPr>
        <w:t>”) acquired by certain non-managing investors in private placements prior to the IPO (300,000 shares) or concurrently with the IPO (2,826,087 shares), (iii) 44,099,062 outstanding shares of Common Stock (the “</w:t>
      </w:r>
      <w:r>
        <w:rPr>
          <w:rFonts w:ascii="Times New Roman" w:cs="Times New Roman" w:eastAsia="Times New Roman" w:hAnsi="Times New Roman"/>
          <w:sz w:val="13"/>
          <w:szCs w:val="13"/>
          <w:b w:val="1"/>
          <w:bCs w:val="1"/>
          <w:i w:val="1"/>
          <w:iCs w:val="1"/>
          <w:color w:val="auto"/>
        </w:rPr>
        <w:t>Closing Shares</w:t>
      </w:r>
      <w:r>
        <w:rPr>
          <w:rFonts w:ascii="Times New Roman" w:cs="Times New Roman" w:eastAsia="Times New Roman" w:hAnsi="Times New Roman"/>
          <w:sz w:val="13"/>
          <w:szCs w:val="13"/>
          <w:color w:val="auto"/>
        </w:rPr>
        <w:t>” and together with the Founder Shares and Private Placement Shares, the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issued to former holders of shares of common stock of Hadron OpCo as merger consideration for such shares in connection with the Business Combination, and (iv) 3,719,000 Private Warrants issued to the Sponsor as a part of a private placement. Capitalized terms used herein but not otherwise defined herein have the meanings ascribed to them in the Registration Statement.</w:t>
      </w:r>
    </w:p>
    <w:p>
      <w:pPr>
        <w:spacing w:after="0" w:line="305" w:lineRule="exact"/>
        <w:rPr>
          <w:sz w:val="20"/>
          <w:szCs w:val="20"/>
          <w:color w:val="auto"/>
        </w:rPr>
      </w:pPr>
    </w:p>
    <w:p>
      <w:pPr>
        <w:ind w:left="260" w:right="439" w:firstLine="340"/>
        <w:spacing w:after="0" w:line="279" w:lineRule="auto"/>
        <w:rPr>
          <w:sz w:val="20"/>
          <w:szCs w:val="20"/>
          <w:color w:val="auto"/>
        </w:rPr>
      </w:pPr>
      <w:r>
        <w:rPr>
          <w:rFonts w:ascii="Times New Roman" w:cs="Times New Roman" w:eastAsia="Times New Roman" w:hAnsi="Times New Roman"/>
          <w:sz w:val="14"/>
          <w:szCs w:val="14"/>
          <w:color w:val="auto"/>
        </w:rPr>
        <w:t>This opinion letter is being furnished in accordance with the requirements of Item 601(b)(5) of Regulation S-K under the Securities Act, and no opinion is expressed herein as to any matter pertaining to the contents of the Registration Statement or any prospectus included therein.</w:t>
      </w:r>
    </w:p>
    <w:p>
      <w:pPr>
        <w:spacing w:after="0" w:line="126" w:lineRule="exact"/>
        <w:rPr>
          <w:sz w:val="20"/>
          <w:szCs w:val="20"/>
          <w:color w:val="auto"/>
        </w:rPr>
      </w:pPr>
    </w:p>
    <w:p>
      <w:pPr>
        <w:ind w:left="260" w:right="359" w:firstLine="340"/>
        <w:spacing w:after="0" w:line="279" w:lineRule="auto"/>
        <w:rPr>
          <w:sz w:val="20"/>
          <w:szCs w:val="20"/>
          <w:color w:val="auto"/>
        </w:rPr>
      </w:pPr>
      <w:r>
        <w:rPr>
          <w:rFonts w:ascii="Times New Roman" w:cs="Times New Roman" w:eastAsia="Times New Roman" w:hAnsi="Times New Roman"/>
          <w:sz w:val="13"/>
          <w:szCs w:val="13"/>
          <w:color w:val="auto"/>
        </w:rPr>
        <w:t>We have examined such documents and considered such legal matters as we have deemed necessary and relevant as the basis for the opinions set forth below, including (i) the Amended and Restated Certificate of Incorporation of the Company, filed as Exhibit 3.1 to the Registration Statement;</w:t>
      </w:r>
    </w:p>
    <w:p>
      <w:pPr>
        <w:spacing w:after="0" w:line="1" w:lineRule="exact"/>
        <w:rPr>
          <w:sz w:val="20"/>
          <w:szCs w:val="20"/>
          <w:color w:val="auto"/>
        </w:rPr>
      </w:pPr>
    </w:p>
    <w:p>
      <w:pPr>
        <w:ind w:left="260" w:right="659" w:hanging="10"/>
        <w:spacing w:after="0" w:line="267" w:lineRule="auto"/>
        <w:tabs>
          <w:tab w:leader="none" w:pos="465"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Amended and Restated Bylaws of the Company, filed as Exhibit 3.2 to the Registration Statement; (iii) the Registration Statement; (iv) the Warrant Agreement between Continental Stock Transfer &amp; Trust Company and the Company, filed as Exhibit 4.1 to the Registration Statement;</w:t>
      </w:r>
    </w:p>
    <w:p>
      <w:pPr>
        <w:spacing w:after="0" w:line="1" w:lineRule="exact"/>
        <w:rPr>
          <w:rFonts w:ascii="Times New Roman" w:cs="Times New Roman" w:eastAsia="Times New Roman" w:hAnsi="Times New Roman"/>
          <w:sz w:val="13"/>
          <w:szCs w:val="13"/>
          <w:color w:val="auto"/>
        </w:rPr>
      </w:pPr>
    </w:p>
    <w:p>
      <w:pPr>
        <w:ind w:left="440" w:hanging="190"/>
        <w:spacing w:after="0"/>
        <w:tabs>
          <w:tab w:leader="none" w:pos="4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resolutions adopted by the Board of Directors of the Company; and (vi) such other</w:t>
      </w:r>
    </w:p>
    <w:p>
      <w:pPr>
        <w:sectPr>
          <w:pgSz w:w="11900" w:h="16838" w:orient="portrait"/>
          <w:cols w:equalWidth="0" w:num="1">
            <w:col w:w="9019"/>
          </w:cols>
          <w:pgMar w:left="1440" w:top="123" w:right="1440" w:bottom="1440" w:gutter="0" w:footer="0" w:header="0"/>
        </w:sectPr>
      </w:pPr>
    </w:p>
    <w:bookmarkStart w:id="219" w:name="page220"/>
    <w:bookmarkEnd w:id="219"/>
    <w:p>
      <w:pPr>
        <w:ind w:left="26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records, documents, and certificates as in our judgment are necessary or appropriate to enable us to render the opinions expressed below. With respect to such examination, we have assumed, without independent investigation, (a) the genuineness of all signatures on all documents; (b) that each individual executing any document, whether on behalf of such individual or an entity, is legally competent to do so; (c) the due authority of the parties signing any document on behalf of a party (other than the Company); (d) the authenticity and completeness of all documents submitted to us as originals; (e) the completeness and conformity to the originals of all documents submitted to us as copies; (f) that all public records reviewed or relied upon by us are authentic, accurate and complete; (g) that all factual statements and information contained in any documents are true and complete; and (h) that there has been no oral or written modification or amendments to any documents by action or omission of the parties or otherwise. We have also assumed that the issuance of the shares complies and will comply in all respects with the terms, conditions and restrictions set forth in the Registration Statement. As to questions of fact material to this opinion letter, we have, to the extent deemed appropriate, relied upon certain certificates and representations of officers and employees of the Company.</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Based upon the foregoing, and subject to the assumptions, qualifications and limitations set forth herein, we are of the opinion that when the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Registration Statement becomes effective under the Securities Act:</w:t>
      </w:r>
    </w:p>
    <w:p>
      <w:pPr>
        <w:spacing w:after="0" w:line="85" w:lineRule="exact"/>
        <w:rPr>
          <w:sz w:val="20"/>
          <w:szCs w:val="20"/>
          <w:color w:val="auto"/>
        </w:rPr>
      </w:pPr>
    </w:p>
    <w:p>
      <w:pPr>
        <w:ind w:left="1000" w:right="719" w:hanging="416"/>
        <w:spacing w:after="0" w:line="279" w:lineRule="auto"/>
        <w:tabs>
          <w:tab w:leader="none" w:pos="10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 Shares are duly authorized, and when issued and delivered upon exercise of the Warrants in accordance with the terms thereof, will be validly issued, fully paid and non-assessable.</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duly authorized, validly issued, fully paid and non-assessable.</w:t>
      </w:r>
    </w:p>
    <w:p>
      <w:pPr>
        <w:spacing w:after="0" w:line="99" w:lineRule="exact"/>
        <w:rPr>
          <w:rFonts w:ascii="Times New Roman" w:cs="Times New Roman" w:eastAsia="Times New Roman" w:hAnsi="Times New Roman"/>
          <w:sz w:val="14"/>
          <w:szCs w:val="14"/>
          <w:color w:val="auto"/>
        </w:rPr>
      </w:pPr>
    </w:p>
    <w:p>
      <w:pPr>
        <w:ind w:left="1000" w:right="339" w:hanging="416"/>
        <w:spacing w:after="0" w:line="285" w:lineRule="auto"/>
        <w:tabs>
          <w:tab w:leader="none" w:pos="100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Private Warrants constitute legal, valid and binding obligations of the Company, enforceable against the Company in accordance with their respective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24" w:lineRule="exact"/>
        <w:rPr>
          <w:sz w:val="20"/>
          <w:szCs w:val="20"/>
          <w:color w:val="auto"/>
        </w:rPr>
      </w:pPr>
    </w:p>
    <w:p>
      <w:pPr>
        <w:ind w:left="260" w:right="319" w:firstLine="340"/>
        <w:spacing w:after="0" w:line="279" w:lineRule="auto"/>
        <w:rPr>
          <w:sz w:val="20"/>
          <w:szCs w:val="20"/>
          <w:color w:val="auto"/>
        </w:rPr>
      </w:pPr>
      <w:r>
        <w:rPr>
          <w:rFonts w:ascii="Times New Roman" w:cs="Times New Roman" w:eastAsia="Times New Roman" w:hAnsi="Times New Roman"/>
          <w:sz w:val="14"/>
          <w:szCs w:val="14"/>
          <w:color w:val="auto"/>
        </w:rPr>
        <w:t>This opinion letter is for your benefit in connection with the Registration Statement and may be relied upon by you and by persons entitled to rely upon it pursuant to the applicable provisions of the Securities Act.</w:t>
      </w:r>
    </w:p>
    <w:p>
      <w:pPr>
        <w:spacing w:after="0" w:line="126" w:lineRule="exact"/>
        <w:rPr>
          <w:sz w:val="20"/>
          <w:szCs w:val="20"/>
          <w:color w:val="auto"/>
        </w:rPr>
      </w:pPr>
    </w:p>
    <w:p>
      <w:pPr>
        <w:ind w:left="260" w:right="279" w:firstLine="340"/>
        <w:spacing w:after="0" w:line="252" w:lineRule="auto"/>
        <w:rPr>
          <w:sz w:val="20"/>
          <w:szCs w:val="20"/>
          <w:color w:val="auto"/>
        </w:rPr>
      </w:pPr>
      <w:r>
        <w:rPr>
          <w:rFonts w:ascii="Times New Roman" w:cs="Times New Roman" w:eastAsia="Times New Roman" w:hAnsi="Times New Roman"/>
          <w:sz w:val="14"/>
          <w:szCs w:val="14"/>
          <w:color w:val="auto"/>
        </w:rPr>
        <w:t>The opinions expressed herein are limited to the General Corporation Law of the state of Delaware (including the statutory provisions, all applicable provisions of the Delaware Constitution and the reported judicial decisions interpreting the foregoing) and, as to the Warrants constituting legally binding obligations of the Company, to the laws of the State of New York. Our opinions are based on these laws as in effect on the date hereof and as of the effective date of the Registration Statement, and we assume no obligation to revise or supplement this opinion letter after the effective date of the Registration Statement should the law be changed by legislative action, judicial decision, or otherwise. We express no opinion as to whether the laws of any other jurisdiction are applicable to the subject matter hereof. We are not rendering any opinion as to compliance with any other federal or state law, rule or regulation relating to securities, or to the sale or issuance thereof. No opinion is expressed herein with respect to the qualification of the shares and warrants under the securities or blue-sky laws of any state or any foreign jurisdiction. The opinions expressed herein are limited to the matters set forth in this letter and no other opinion should be inferred beyond the matters expressly stated.</w:t>
      </w:r>
    </w:p>
    <w:p>
      <w:pPr>
        <w:spacing w:after="0" w:line="147" w:lineRule="exact"/>
        <w:rPr>
          <w:sz w:val="20"/>
          <w:szCs w:val="20"/>
          <w:color w:val="auto"/>
        </w:rPr>
      </w:pPr>
    </w:p>
    <w:p>
      <w:pPr>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5.1 to the Registration Statement, to the use of our name as your counsel, and to all references made to us in the Registration Statement. In giving our consent, we do not admit that we are within the category of persons whose consent is required under Section 7 of the Securities Act or under the rules and regulations of the Commission promulgated thereunder (including Item 509 of Regulation S-K).</w:t>
      </w:r>
    </w:p>
    <w:p>
      <w:pPr>
        <w:spacing w:after="0" w:line="1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/s/ DLA PIPER LLP (US)</w:t>
      </w:r>
    </w:p>
    <w:p>
      <w:pPr>
        <w:spacing w:after="0" w:line="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DLA PIPER LLP (US)</w:t>
      </w:r>
    </w:p>
    <w:p>
      <w:pPr>
        <w:sectPr>
          <w:pgSz w:w="11900" w:h="16838" w:orient="portrait"/>
          <w:cols w:equalWidth="0" w:num="1">
            <w:col w:w="9019"/>
          </w:cols>
          <w:pgMar w:left="1440" w:top="240" w:right="1440" w:bottom="1440" w:gutter="0" w:footer="0" w:header="0"/>
        </w:sectPr>
      </w:pPr>
    </w:p>
    <w:bookmarkStart w:id="220" w:name="page221"/>
    <w:bookmarkEnd w:id="220"/>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14</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CORPORATE POLICY: Code of Business Conduct and Ethics</w:t>
      </w:r>
    </w:p>
    <w:p>
      <w:pPr>
        <w:sectPr>
          <w:pgSz w:w="11900" w:h="16838" w:orient="portrait"/>
          <w:cols w:equalWidth="0" w:num="1">
            <w:col w:w="9019"/>
          </w:cols>
          <w:pgMar w:left="1440" w:top="123" w:right="1440" w:bottom="1440" w:gutter="0" w:footer="0" w:header="0"/>
        </w:sectPr>
      </w:pP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Policy Name:</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Version:</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Effective Date:</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Code of Business Conduct and Ethics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May 22, 2026</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w:t>
      </w:r>
    </w:p>
    <w:p>
      <w:pPr>
        <w:spacing w:after="0" w:line="200" w:lineRule="exact"/>
        <w:rPr>
          <w:sz w:val="20"/>
          <w:szCs w:val="20"/>
          <w:color w:val="auto"/>
        </w:rPr>
      </w:pPr>
    </w:p>
    <w:p>
      <w:pPr>
        <w:sectPr>
          <w:pgSz w:w="11900" w:h="16838" w:orient="portrait"/>
          <w:cols w:equalWidth="0" w:num="2">
            <w:col w:w="1240" w:space="720"/>
            <w:col w:w="7059"/>
          </w:cols>
          <w:pgMar w:left="1440" w:top="123" w:right="1440" w:bottom="1440" w:gutter="0" w:footer="0" w:header="0"/>
          <w:type w:val="continuous"/>
        </w:sectPr>
      </w:pPr>
    </w:p>
    <w:p>
      <w:pPr>
        <w:spacing w:after="0" w:line="56" w:lineRule="exact"/>
        <w:rPr>
          <w:sz w:val="20"/>
          <w:szCs w:val="20"/>
          <w:color w:val="auto"/>
        </w:rPr>
      </w:pPr>
    </w:p>
    <w:p>
      <w:pPr>
        <w:ind w:left="260" w:right="7539" w:hanging="10"/>
        <w:spacing w:after="0" w:line="403" w:lineRule="auto"/>
        <w:tabs>
          <w:tab w:leader="none" w:pos="384" w:val="left"/>
        </w:tabs>
        <w:numPr>
          <w:ilvl w:val="0"/>
          <w:numId w:val="1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INTRODUCTION A. Purpose</w:t>
      </w:r>
    </w:p>
    <w:p>
      <w:pPr>
        <w:ind w:left="260" w:right="279"/>
        <w:spacing w:after="0" w:line="254" w:lineRule="auto"/>
        <w:rPr>
          <w:sz w:val="20"/>
          <w:szCs w:val="20"/>
          <w:color w:val="auto"/>
        </w:rPr>
      </w:pPr>
      <w:r>
        <w:rPr>
          <w:rFonts w:ascii="Times New Roman" w:cs="Times New Roman" w:eastAsia="Times New Roman" w:hAnsi="Times New Roman"/>
          <w:sz w:val="14"/>
          <w:szCs w:val="14"/>
          <w:color w:val="auto"/>
        </w:rPr>
        <w:t>The purpose of this Hadron Energy Code of Business Conduct and Ethics (the “Code”) is to confirm the commitment of Hadron Energy, Inc. (the “Company”) and its subsidiaries to conduct its business in strict compliance with all applicable laws and regulations, so too it expects its employees, officers, and directors to act in accordance with the highest standards of business ethics both on and off Company premises, and to avoid any appearance of impropriety. The Company greatly depends upon its employees, officers, and directors for their adherence to sound business principles, compliance with applicable laws, rules and regulations, and dedication to high ethical business standards. With this Code, we, as employees, officers and directors, share in the responsibility of developing and maintaining the honesty and integrity of our Company.</w:t>
      </w:r>
    </w:p>
    <w:p>
      <w:pPr>
        <w:spacing w:after="0" w:line="145" w:lineRule="exact"/>
        <w:rPr>
          <w:sz w:val="20"/>
          <w:szCs w:val="20"/>
          <w:color w:val="auto"/>
        </w:rPr>
      </w:pPr>
    </w:p>
    <w:p>
      <w:pPr>
        <w:ind w:left="260" w:right="459"/>
        <w:spacing w:after="0" w:line="259" w:lineRule="auto"/>
        <w:rPr>
          <w:sz w:val="20"/>
          <w:szCs w:val="20"/>
          <w:color w:val="auto"/>
        </w:rPr>
      </w:pPr>
      <w:r>
        <w:rPr>
          <w:rFonts w:ascii="Times New Roman" w:cs="Times New Roman" w:eastAsia="Times New Roman" w:hAnsi="Times New Roman"/>
          <w:sz w:val="14"/>
          <w:szCs w:val="14"/>
          <w:color w:val="auto"/>
        </w:rPr>
        <w:t>This Code is intended as one element in the Company’s efforts to ensure lawful and ethical conduct on the part of you and the Company. It includes general principles. You will have to apply these principles to your own specific responsibilities. This Code is part of a more extensive process that includes compliance with the Company’s policies, an open relationship between you and your supervisors that is conducive to good business conduct and, above all, your integrity and good judgment.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that regard, you must:</w:t>
      </w:r>
    </w:p>
    <w:p>
      <w:pPr>
        <w:spacing w:after="0" w:line="100" w:lineRule="exact"/>
        <w:rPr>
          <w:sz w:val="20"/>
          <w:szCs w:val="20"/>
          <w:color w:val="auto"/>
        </w:rPr>
      </w:pPr>
    </w:p>
    <w:p>
      <w:pPr>
        <w:ind w:left="1000" w:hanging="333"/>
        <w:spacing w:after="0"/>
        <w:tabs>
          <w:tab w:leader="none" w:pos="10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applicable laws, rules, and regulations;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all dealings with the Company’s customers, suppliers, and competitors fairly, with honesty, and with integrity;</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ethically manage conflicts of interest, both real and perceived, in personal and professional relationships;</w:t>
      </w:r>
    </w:p>
    <w:p>
      <w:pPr>
        <w:spacing w:after="0" w:line="99" w:lineRule="exact"/>
        <w:rPr>
          <w:rFonts w:ascii="Times New Roman" w:cs="Times New Roman" w:eastAsia="Times New Roman" w:hAnsi="Times New Roman"/>
          <w:sz w:val="14"/>
          <w:szCs w:val="14"/>
          <w:color w:val="auto"/>
        </w:rPr>
      </w:pPr>
    </w:p>
    <w:p>
      <w:pPr>
        <w:ind w:left="1000" w:right="259" w:hanging="333"/>
        <w:spacing w:after="0" w:line="279" w:lineRule="auto"/>
        <w:tabs>
          <w:tab w:leader="none" w:pos="10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produce, or cause to be produced, full, fair, accurate, timely and understandable disclosure in reports and documents that the Company files with or submits to the Securities and Exchange Commission (the “SEC”) and in other public communications.</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information, in any form, which belongs to the Company, its customers, and suppliers;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the Company’s assets and ensure their efficient use and report any suspected incident of fraud or theft immediately;</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never use your position with the Company or Company assets or information for improper personal gain.</w:t>
      </w:r>
    </w:p>
    <w:p>
      <w:pPr>
        <w:spacing w:after="0" w:line="173" w:lineRule="exact"/>
        <w:rPr>
          <w:sz w:val="20"/>
          <w:szCs w:val="20"/>
          <w:color w:val="auto"/>
        </w:rPr>
      </w:pPr>
    </w:p>
    <w:p>
      <w:pPr>
        <w:ind w:left="260" w:right="379"/>
        <w:spacing w:after="0" w:line="256" w:lineRule="auto"/>
        <w:rPr>
          <w:sz w:val="20"/>
          <w:szCs w:val="20"/>
          <w:color w:val="auto"/>
        </w:rPr>
      </w:pPr>
      <w:r>
        <w:rPr>
          <w:rFonts w:ascii="Times New Roman" w:cs="Times New Roman" w:eastAsia="Times New Roman" w:hAnsi="Times New Roman"/>
          <w:sz w:val="14"/>
          <w:szCs w:val="14"/>
          <w:color w:val="auto"/>
        </w:rPr>
        <w:t>The policies encompassed by this Code apply everywhere where the Company conducts business. Certain foreign and U.S. federal and state laws and regulations, and the rules governing transactions with foreign, federal, state, and municipal agencies, may apply to particular aspects of the Company’s business. Some of these laws are straightforward, but others may be relatively complex. In addition, the regulation of international business is quite complex, and international business practices and ethics may differ from those in the United States. This Code governs all of the Company’s affairs in the United States and abroad.</w:t>
      </w:r>
    </w:p>
    <w:p>
      <w:pPr>
        <w:spacing w:after="0" w:line="142" w:lineRule="exact"/>
        <w:rPr>
          <w:sz w:val="20"/>
          <w:szCs w:val="20"/>
          <w:color w:val="auto"/>
        </w:rPr>
      </w:pPr>
    </w:p>
    <w:p>
      <w:pPr>
        <w:ind w:left="260" w:right="819"/>
        <w:spacing w:after="0" w:line="279" w:lineRule="auto"/>
        <w:rPr>
          <w:sz w:val="20"/>
          <w:szCs w:val="20"/>
          <w:color w:val="auto"/>
        </w:rPr>
      </w:pPr>
      <w:r>
        <w:rPr>
          <w:rFonts w:ascii="Times New Roman" w:cs="Times New Roman" w:eastAsia="Times New Roman" w:hAnsi="Times New Roman"/>
          <w:sz w:val="14"/>
          <w:szCs w:val="14"/>
          <w:color w:val="auto"/>
        </w:rPr>
        <w:t>You are expected to abide by the spirit as well as the letter of this Code. You are also expected to cooperate with any inquiries or investigations concerning a possible or suspected violation of this Code.</w:t>
      </w:r>
    </w:p>
    <w:p>
      <w:pPr>
        <w:spacing w:after="0" w:line="126" w:lineRule="exact"/>
        <w:rPr>
          <w:sz w:val="20"/>
          <w:szCs w:val="20"/>
          <w:color w:val="auto"/>
        </w:rPr>
      </w:pPr>
    </w:p>
    <w:p>
      <w:pPr>
        <w:jc w:val="both"/>
        <w:ind w:left="260" w:right="479"/>
        <w:spacing w:after="0" w:line="264" w:lineRule="auto"/>
        <w:rPr>
          <w:sz w:val="20"/>
          <w:szCs w:val="20"/>
          <w:color w:val="auto"/>
        </w:rPr>
      </w:pPr>
      <w:r>
        <w:rPr>
          <w:rFonts w:ascii="Times New Roman" w:cs="Times New Roman" w:eastAsia="Times New Roman" w:hAnsi="Times New Roman"/>
          <w:sz w:val="14"/>
          <w:szCs w:val="14"/>
          <w:color w:val="auto"/>
        </w:rPr>
        <w:t>You must report potential or actual violations of this Code using the procedures discussed below. Under no circumstances will you be subject to any disciplinary or retaliatory action for reporting a violation or potential violation, or for participating in any related investigation unless it is determined that you violated this Code.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type w:val="continuous"/>
        </w:sectPr>
      </w:pPr>
    </w:p>
    <w:bookmarkStart w:id="221" w:name="page222"/>
    <w:bookmarkEnd w:id="221"/>
    <w:p>
      <w:pPr>
        <w:ind w:left="260" w:right="479"/>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However, knowingly making false or malicious reports will not be tolerated and you will be subject to appropriate disciplinary action if you file such reports.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Important Information</w:t>
      </w:r>
    </w:p>
    <w:p>
      <w:pPr>
        <w:spacing w:after="0" w:line="91" w:lineRule="exact"/>
        <w:rPr>
          <w:sz w:val="20"/>
          <w:szCs w:val="20"/>
          <w:color w:val="auto"/>
        </w:rPr>
      </w:pPr>
    </w:p>
    <w:p>
      <w:pPr>
        <w:ind w:left="260" w:right="319"/>
        <w:spacing w:after="0" w:line="259" w:lineRule="auto"/>
        <w:rPr>
          <w:sz w:val="20"/>
          <w:szCs w:val="20"/>
          <w:color w:val="auto"/>
        </w:rPr>
      </w:pPr>
      <w:r>
        <w:rPr>
          <w:rFonts w:ascii="Times New Roman" w:cs="Times New Roman" w:eastAsia="Times New Roman" w:hAnsi="Times New Roman"/>
          <w:sz w:val="14"/>
          <w:szCs w:val="14"/>
          <w:color w:val="auto"/>
        </w:rPr>
        <w:t>You are encouraged to read this Code carefully. As an employee, officer or director of the Company, it is your responsibility to be familiar with this Code. However, no representation is expressed or implied that the policies stated in this Code are all of the Company’s relevant policies, or that they are a comprehensive, full, or complete explanation of the laws or standards of conduct that are applicable to you or the Company. You have a continuing obligation to familiarize yourself with applicable law and Company policy.</w:t>
      </w:r>
    </w:p>
    <w:p>
      <w:pPr>
        <w:spacing w:after="0" w:line="139" w:lineRule="exact"/>
        <w:rPr>
          <w:sz w:val="20"/>
          <w:szCs w:val="20"/>
          <w:color w:val="auto"/>
        </w:rPr>
      </w:pPr>
    </w:p>
    <w:p>
      <w:pPr>
        <w:ind w:left="260" w:right="659"/>
        <w:spacing w:after="0" w:line="264" w:lineRule="auto"/>
        <w:rPr>
          <w:sz w:val="20"/>
          <w:szCs w:val="20"/>
          <w:color w:val="auto"/>
        </w:rPr>
      </w:pPr>
      <w:r>
        <w:rPr>
          <w:rFonts w:ascii="Times New Roman" w:cs="Times New Roman" w:eastAsia="Times New Roman" w:hAnsi="Times New Roman"/>
          <w:sz w:val="14"/>
          <w:szCs w:val="14"/>
          <w:color w:val="auto"/>
        </w:rPr>
        <w:t>Any failure to follow the guidelines outlined in this Code could lead to your being disciplined, discharged, or removed, as the case may be, by the Company and/or possible exposure to civil and criminal penalties under federal and state laws. In addition, as a result of improper conduct, the Company may be subjected to prosecution and significant penalties.</w:t>
      </w:r>
    </w:p>
    <w:p>
      <w:pPr>
        <w:spacing w:after="0" w:line="136" w:lineRule="exact"/>
        <w:rPr>
          <w:sz w:val="20"/>
          <w:szCs w:val="20"/>
          <w:color w:val="auto"/>
        </w:rPr>
      </w:pPr>
    </w:p>
    <w:p>
      <w:pPr>
        <w:ind w:left="260" w:right="339"/>
        <w:spacing w:after="0" w:line="264" w:lineRule="auto"/>
        <w:rPr>
          <w:sz w:val="20"/>
          <w:szCs w:val="20"/>
          <w:color w:val="auto"/>
        </w:rPr>
      </w:pPr>
      <w:r>
        <w:rPr>
          <w:rFonts w:ascii="Times New Roman" w:cs="Times New Roman" w:eastAsia="Times New Roman" w:hAnsi="Times New Roman"/>
          <w:sz w:val="14"/>
          <w:szCs w:val="14"/>
          <w:color w:val="auto"/>
        </w:rPr>
        <w:t>It is important to remember that this Code is not a contract of employment and does not create any contractual rights of any kind between the Company and its employees, officers, and directors. In addition, the Company reserves the exclusive right to modify or change this Code and its contents at any time without prior notice.</w:t>
      </w:r>
    </w:p>
    <w:p>
      <w:pPr>
        <w:spacing w:after="0" w:line="136" w:lineRule="exact"/>
        <w:rPr>
          <w:sz w:val="20"/>
          <w:szCs w:val="20"/>
          <w:color w:val="auto"/>
        </w:rPr>
      </w:pPr>
    </w:p>
    <w:p>
      <w:pPr>
        <w:ind w:left="260" w:right="419"/>
        <w:spacing w:after="0" w:line="279" w:lineRule="auto"/>
        <w:rPr>
          <w:sz w:val="20"/>
          <w:szCs w:val="20"/>
          <w:color w:val="auto"/>
        </w:rPr>
      </w:pPr>
      <w:r>
        <w:rPr>
          <w:rFonts w:ascii="Times New Roman" w:cs="Times New Roman" w:eastAsia="Times New Roman" w:hAnsi="Times New Roman"/>
          <w:sz w:val="14"/>
          <w:szCs w:val="14"/>
          <w:color w:val="auto"/>
        </w:rPr>
        <w:t>You must sign a certification in the attached form acknowledging receipt of this Code. This Code is available on the Company’s intranet. This Code is also available to the public on the Company’s website at www.hadronenergy.com/.</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II. WHO TO CONTACT</w:t>
      </w:r>
    </w:p>
    <w:p>
      <w:pPr>
        <w:spacing w:after="0" w:line="91" w:lineRule="exact"/>
        <w:rPr>
          <w:sz w:val="20"/>
          <w:szCs w:val="20"/>
          <w:color w:val="auto"/>
        </w:rPr>
      </w:pPr>
    </w:p>
    <w:p>
      <w:pPr>
        <w:jc w:val="both"/>
        <w:ind w:left="260" w:right="359"/>
        <w:spacing w:after="0" w:line="264" w:lineRule="auto"/>
        <w:rPr>
          <w:sz w:val="20"/>
          <w:szCs w:val="20"/>
          <w:color w:val="auto"/>
        </w:rPr>
      </w:pPr>
      <w:r>
        <w:rPr>
          <w:rFonts w:ascii="Times New Roman" w:cs="Times New Roman" w:eastAsia="Times New Roman" w:hAnsi="Times New Roman"/>
          <w:sz w:val="14"/>
          <w:szCs w:val="14"/>
          <w:color w:val="auto"/>
        </w:rPr>
        <w:t>If you have any questions about this Code or any concerns as to whether certain conduct may be wrong, illegal, or unethical, or if a situation is difficult or confusing to you, you are encouraged to discontinue any action and immediately request assistance by contacting your manager or the person named below:</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Board Representative, Bryan Timm</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Email: bryan.timm@hadronenergy.com</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III. LAWFUL AND ETHICAL BEHAVIOR</w:t>
      </w:r>
    </w:p>
    <w:p>
      <w:pPr>
        <w:spacing w:after="0" w:line="91" w:lineRule="exact"/>
        <w:rPr>
          <w:sz w:val="20"/>
          <w:szCs w:val="20"/>
          <w:color w:val="auto"/>
        </w:rPr>
      </w:pPr>
    </w:p>
    <w:p>
      <w:pPr>
        <w:ind w:left="260" w:right="399"/>
        <w:spacing w:after="0" w:line="259" w:lineRule="auto"/>
        <w:rPr>
          <w:sz w:val="20"/>
          <w:szCs w:val="20"/>
          <w:color w:val="auto"/>
        </w:rPr>
      </w:pPr>
      <w:r>
        <w:rPr>
          <w:rFonts w:ascii="Times New Roman" w:cs="Times New Roman" w:eastAsia="Times New Roman" w:hAnsi="Times New Roman"/>
          <w:sz w:val="14"/>
          <w:szCs w:val="14"/>
          <w:color w:val="auto"/>
        </w:rPr>
        <w:t>The foundation on which this Code of Business Conduct and Ethics is built is obeying the law and acting ethically. It is the Company’s policy that you conduct business in accordance with applicable federal, state, and local laws, rules, and regulations and with the laws, rules, and regulations of other countries in which the Company does business. In addition, the Company’s policy demands that you adhere to the highest standard of business ethics and conduct.</w:t>
      </w:r>
    </w:p>
    <w:p>
      <w:pPr>
        <w:spacing w:after="0" w:line="139" w:lineRule="exact"/>
        <w:rPr>
          <w:sz w:val="20"/>
          <w:szCs w:val="20"/>
          <w:color w:val="auto"/>
        </w:rPr>
      </w:pPr>
    </w:p>
    <w:p>
      <w:pPr>
        <w:ind w:left="260" w:right="379"/>
        <w:spacing w:after="0" w:line="279" w:lineRule="auto"/>
        <w:rPr>
          <w:sz w:val="20"/>
          <w:szCs w:val="20"/>
          <w:color w:val="auto"/>
        </w:rPr>
      </w:pPr>
      <w:r>
        <w:rPr>
          <w:rFonts w:ascii="Times New Roman" w:cs="Times New Roman" w:eastAsia="Times New Roman" w:hAnsi="Times New Roman"/>
          <w:sz w:val="14"/>
          <w:szCs w:val="14"/>
          <w:color w:val="auto"/>
        </w:rPr>
        <w:t>You must be alert and sensitive to situations that could result in illegal, unethical, or improper action. When you are faced with a business decision that seems to have ethical overtones, here are some questions that should be helpful to determine if your actions are proper:</w:t>
      </w:r>
    </w:p>
    <w:p>
      <w:pPr>
        <w:spacing w:after="0" w:line="53" w:lineRule="exact"/>
        <w:rPr>
          <w:sz w:val="20"/>
          <w:szCs w:val="20"/>
          <w:color w:val="auto"/>
        </w:rPr>
      </w:pPr>
    </w:p>
    <w:p>
      <w:pPr>
        <w:ind w:left="1000" w:hanging="333"/>
        <w:spacing w:after="0"/>
        <w:tabs>
          <w:tab w:leader="none" w:pos="10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I have all the necessary facts?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 I informed about all of the legal implications?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 has an important stake in the outcome (e.g., employees, customers, suppliers, etc..), and what is that stake?</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the issue raise ethical issues that go deeper than legal or institutional concerns?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What are the options for acting, and which options will produce the most good and do the least harm?</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options respect the dignity of all stakeholders?</w:t>
      </w:r>
    </w:p>
    <w:p>
      <w:pPr>
        <w:spacing w:after="0" w:line="99" w:lineRule="exact"/>
        <w:rPr>
          <w:rFonts w:ascii="Times New Roman" w:cs="Times New Roman" w:eastAsia="Times New Roman" w:hAnsi="Times New Roman"/>
          <w:sz w:val="14"/>
          <w:szCs w:val="14"/>
          <w:color w:val="auto"/>
        </w:rPr>
      </w:pPr>
    </w:p>
    <w:p>
      <w:pPr>
        <w:ind w:left="4460" w:right="1499" w:hanging="3793"/>
        <w:spacing w:after="0" w:line="450" w:lineRule="auto"/>
        <w:tabs>
          <w:tab w:leader="none" w:pos="991"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Would I be proud to explain my actions to my family, fellow employees, customers—or on tonight’s news broadcast? 2</w:t>
      </w:r>
    </w:p>
    <w:p>
      <w:pPr>
        <w:sectPr>
          <w:pgSz w:w="11900" w:h="16838" w:orient="portrait"/>
          <w:cols w:equalWidth="0" w:num="1">
            <w:col w:w="9019"/>
          </w:cols>
          <w:pgMar w:left="1440" w:top="240" w:right="1440" w:bottom="1440" w:gutter="0" w:footer="0" w:header="0"/>
        </w:sectPr>
      </w:pPr>
    </w:p>
    <w:bookmarkStart w:id="222" w:name="page223"/>
    <w:bookmarkEnd w:id="222"/>
    <w:p>
      <w:pPr>
        <w:ind w:left="260" w:right="35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you remain uncertain about what to do, if you need advice, or if you have reason to believe that a U.S. or foreign law could be violated in connection with Company business or that this Code has been violated in any way, notify your manager, an executive officer, or the above-named Board Representative at once.</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IV. ETHICAL STANDARDS</w:t>
      </w:r>
    </w:p>
    <w:p>
      <w:pPr>
        <w:spacing w:after="0" w:line="91" w:lineRule="exact"/>
        <w:rPr>
          <w:sz w:val="20"/>
          <w:szCs w:val="20"/>
          <w:color w:val="auto"/>
        </w:rPr>
      </w:pPr>
    </w:p>
    <w:p>
      <w:pPr>
        <w:ind w:left="260" w:right="359"/>
        <w:spacing w:after="0" w:line="264" w:lineRule="auto"/>
        <w:rPr>
          <w:sz w:val="20"/>
          <w:szCs w:val="20"/>
          <w:color w:val="auto"/>
        </w:rPr>
      </w:pPr>
      <w:r>
        <w:rPr>
          <w:rFonts w:ascii="Times New Roman" w:cs="Times New Roman" w:eastAsia="Times New Roman" w:hAnsi="Times New Roman"/>
          <w:sz w:val="14"/>
          <w:szCs w:val="14"/>
          <w:color w:val="auto"/>
        </w:rPr>
        <w:t>This Code contains standards reasonably necessary to promote honest and ethical conduct, including the ethical handling of actual or apparent conflicts of interest between personal and professional relationships; full, fair, accurate, timely and understandable disclosure in the periodic reports required to be filed by the issuer and in other public communications; and compliance with applicable laws, rules and regulations.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You must:</w:t>
      </w:r>
    </w:p>
    <w:p>
      <w:pPr>
        <w:spacing w:after="0" w:line="100" w:lineRule="exact"/>
        <w:rPr>
          <w:sz w:val="20"/>
          <w:szCs w:val="20"/>
          <w:color w:val="auto"/>
        </w:rPr>
      </w:pPr>
    </w:p>
    <w:p>
      <w:pPr>
        <w:ind w:left="1000" w:right="319" w:hanging="416"/>
        <w:spacing w:after="0" w:line="259" w:lineRule="auto"/>
        <w:tabs>
          <w:tab w:leader="none" w:pos="10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 with honesty and integrity, avoiding actual or apparent conflicts of interest in personal and professional relationships. You should recognize that even the appearance of a conflict of interest can damage the Company. A conflict of interest may exist because of a relationship of an employee or of a family member that is inconsistent with the Company’s best interests or could cause a conflict with the employee’s ability to perform his or her job responsibilities.</w:t>
      </w:r>
    </w:p>
    <w:p>
      <w:pPr>
        <w:spacing w:after="0" w:line="66" w:lineRule="exact"/>
        <w:rPr>
          <w:rFonts w:ascii="Times New Roman" w:cs="Times New Roman" w:eastAsia="Times New Roman" w:hAnsi="Times New Roman"/>
          <w:sz w:val="14"/>
          <w:szCs w:val="14"/>
          <w:color w:val="auto"/>
        </w:rPr>
      </w:pPr>
    </w:p>
    <w:p>
      <w:pPr>
        <w:ind w:left="1000" w:right="359" w:hanging="416"/>
        <w:spacing w:after="0" w:line="279" w:lineRule="auto"/>
        <w:tabs>
          <w:tab w:leader="none" w:pos="10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report to your manager, an executive officer, or the above-named Board Representative any transaction that reasonably could be expected to give rise to a conflict of interest.</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Produce, or cause to be produced, full, fair, accurate, timely and understandable</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 in reports and documents that the Company files with or submits to the SEC and in other public communications.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applicable laws, rules, and regulations.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report any violation of this Code to your manager, an executive officer, or the above-named Board Representative.</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Proactively promote ethical behavior by other Company officers and employees involved in financial reporting.</w:t>
      </w:r>
    </w:p>
    <w:p>
      <w:pPr>
        <w:spacing w:after="0" w:line="173" w:lineRule="exact"/>
        <w:rPr>
          <w:sz w:val="20"/>
          <w:szCs w:val="20"/>
          <w:color w:val="auto"/>
        </w:rPr>
      </w:pPr>
    </w:p>
    <w:p>
      <w:pPr>
        <w:ind w:left="260" w:right="339"/>
        <w:spacing w:after="0" w:line="259" w:lineRule="auto"/>
        <w:rPr>
          <w:sz w:val="20"/>
          <w:szCs w:val="20"/>
          <w:color w:val="auto"/>
        </w:rPr>
      </w:pPr>
      <w:r>
        <w:rPr>
          <w:rFonts w:ascii="Times New Roman" w:cs="Times New Roman" w:eastAsia="Times New Roman" w:hAnsi="Times New Roman"/>
          <w:sz w:val="14"/>
          <w:szCs w:val="14"/>
          <w:color w:val="auto"/>
        </w:rPr>
        <w:t>If you are a senior executive officer (chief executive officer, chief financial officer, principal financial officer or controller), other executive officer or director, any request by you for a waiver of the requirements in any of the above provisions of these Ethical Standards must be in writing and addressed to the Chairperson of the Audit Committee. If you are not an executive officer or director, any request by you for a waiver of the requirements in any of these provisions must be in writing and addressed to an executive officer or the above-named Board Representative.</w:t>
      </w:r>
    </w:p>
    <w:p>
      <w:pPr>
        <w:spacing w:after="0" w:line="139" w:lineRule="exact"/>
        <w:rPr>
          <w:sz w:val="20"/>
          <w:szCs w:val="20"/>
          <w:color w:val="auto"/>
        </w:rPr>
      </w:pPr>
    </w:p>
    <w:p>
      <w:pPr>
        <w:ind w:left="260" w:right="419"/>
        <w:spacing w:after="0" w:line="259" w:lineRule="auto"/>
        <w:rPr>
          <w:sz w:val="20"/>
          <w:szCs w:val="20"/>
          <w:color w:val="auto"/>
        </w:rPr>
      </w:pPr>
      <w:r>
        <w:rPr>
          <w:rFonts w:ascii="Times New Roman" w:cs="Times New Roman" w:eastAsia="Times New Roman" w:hAnsi="Times New Roman"/>
          <w:sz w:val="14"/>
          <w:szCs w:val="14"/>
          <w:color w:val="auto"/>
        </w:rPr>
        <w:t>With regard to senior financial officers, other executive officers and directors, the Board will have the sole and absolute discretionary authority, acting upon such recommendation as may be made by the Audit Committee, to approve any requested waiver of the requirements in any of the above provisions of these Ethical Standards. Any such approved waiver for senior financial officers, other executive officers or directors will be disclosed promptly on Form 8-K or any other means that complies with SEC rules or applicable listing standards.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 CONFLICTS OF INTEREST</w:t>
      </w:r>
    </w:p>
    <w:p>
      <w:pPr>
        <w:spacing w:after="0" w:line="91" w:lineRule="exact"/>
        <w:rPr>
          <w:sz w:val="20"/>
          <w:szCs w:val="20"/>
          <w:color w:val="auto"/>
        </w:rPr>
      </w:pPr>
    </w:p>
    <w:p>
      <w:pPr>
        <w:ind w:left="260" w:right="339"/>
        <w:spacing w:after="0" w:line="259" w:lineRule="auto"/>
        <w:rPr>
          <w:sz w:val="20"/>
          <w:szCs w:val="20"/>
          <w:color w:val="auto"/>
        </w:rPr>
      </w:pPr>
      <w:r>
        <w:rPr>
          <w:rFonts w:ascii="Times New Roman" w:cs="Times New Roman" w:eastAsia="Times New Roman" w:hAnsi="Times New Roman"/>
          <w:sz w:val="14"/>
          <w:szCs w:val="14"/>
          <w:color w:val="auto"/>
        </w:rPr>
        <w:t>The Company knows that it can only be truly successful through the diligence and loyalty of its employees, officers, and directors. Therefore, you must put the best interests of the Company at the forefront of any work-related activity or decision and ethically manage conflicts of interest. You must use your best judgment in determining whether a conflict of interest exists and then avoid any conduct, activity, relationship, or other situation that would create an actual or potential conflict of interest or create the appearance of such a conflict.</w:t>
      </w:r>
    </w:p>
    <w:p>
      <w:pPr>
        <w:spacing w:after="0" w:line="139" w:lineRule="exact"/>
        <w:rPr>
          <w:sz w:val="20"/>
          <w:szCs w:val="20"/>
          <w:color w:val="auto"/>
        </w:rPr>
      </w:pPr>
    </w:p>
    <w:p>
      <w:pPr>
        <w:ind w:left="260" w:right="299"/>
        <w:spacing w:after="0" w:line="259" w:lineRule="auto"/>
        <w:rPr>
          <w:sz w:val="20"/>
          <w:szCs w:val="20"/>
          <w:color w:val="auto"/>
        </w:rPr>
      </w:pPr>
      <w:r>
        <w:rPr>
          <w:rFonts w:ascii="Times New Roman" w:cs="Times New Roman" w:eastAsia="Times New Roman" w:hAnsi="Times New Roman"/>
          <w:sz w:val="14"/>
          <w:szCs w:val="14"/>
          <w:color w:val="auto"/>
        </w:rPr>
        <w:t>While it is not possible to identify every particular activity that might give rise to a conflict of interest, conflicts of interest may arise, for example, when an employee engages in a personal activity or has a personal interest that depends upon a specific outcome in the business of the Company. These personal activities or interests may influence the employee’s judgment, causing the employee to make decisions based upon the potential for personal gain, rather than in the best interests of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223" w:name="page224"/>
    <w:bookmarkEnd w:id="223"/>
    <w:p>
      <w:pPr>
        <w:ind w:left="260" w:right="35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you or your family members are engaged in any of the activities listed below, then there may be a conflict of interest, and you must disclose the facts concerning this activity to your manager, an executive officer, or the above-named Board Representative in order to have the Company address the situation:</w:t>
      </w:r>
    </w:p>
    <w:p>
      <w:pPr>
        <w:spacing w:after="0" w:line="63" w:lineRule="exact"/>
        <w:rPr>
          <w:sz w:val="20"/>
          <w:szCs w:val="20"/>
          <w:color w:val="auto"/>
        </w:rPr>
      </w:pPr>
    </w:p>
    <w:p>
      <w:pPr>
        <w:ind w:left="1000" w:hanging="416"/>
        <w:spacing w:after="0"/>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ownership interest in any supplier, customer, or competitor (other than nominal amounts of stock in publicly traded companies);</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consulting or employment relationship with any customer, supplier, or competitor;</w:t>
      </w:r>
    </w:p>
    <w:p>
      <w:pPr>
        <w:spacing w:after="0" w:line="99" w:lineRule="exact"/>
        <w:rPr>
          <w:rFonts w:ascii="Times New Roman" w:cs="Times New Roman" w:eastAsia="Times New Roman" w:hAnsi="Times New Roman"/>
          <w:sz w:val="14"/>
          <w:szCs w:val="14"/>
          <w:color w:val="auto"/>
        </w:rPr>
      </w:pPr>
    </w:p>
    <w:p>
      <w:pPr>
        <w:ind w:left="1000" w:right="659" w:hanging="416"/>
        <w:spacing w:after="0" w:line="279" w:lineRule="auto"/>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activity that harms a relationship between the Company and any customer or potential customer, or that interferes with a current or potential contract relationship;</w:t>
      </w:r>
    </w:p>
    <w:p>
      <w:pPr>
        <w:spacing w:after="0" w:line="5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business activity that is competitive with any of the Company’s businesses or subsidiaries;</w:t>
      </w:r>
    </w:p>
    <w:p>
      <w:pPr>
        <w:spacing w:after="0" w:line="99" w:lineRule="exact"/>
        <w:rPr>
          <w:rFonts w:ascii="Times New Roman" w:cs="Times New Roman" w:eastAsia="Times New Roman" w:hAnsi="Times New Roman"/>
          <w:sz w:val="14"/>
          <w:szCs w:val="14"/>
          <w:color w:val="auto"/>
        </w:rPr>
      </w:pPr>
    </w:p>
    <w:p>
      <w:pPr>
        <w:ind w:left="1000" w:right="459" w:hanging="416"/>
        <w:spacing w:after="0" w:line="279" w:lineRule="auto"/>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activity of any type that is so substantial as to call into question your ability to devote appropriate time and attention to your duties and responsibilities to the Company;</w:t>
      </w:r>
    </w:p>
    <w:p>
      <w:pPr>
        <w:spacing w:after="0" w:line="53" w:lineRule="exact"/>
        <w:rPr>
          <w:rFonts w:ascii="Times New Roman" w:cs="Times New Roman" w:eastAsia="Times New Roman" w:hAnsi="Times New Roman"/>
          <w:sz w:val="14"/>
          <w:szCs w:val="14"/>
          <w:color w:val="auto"/>
        </w:rPr>
      </w:pPr>
    </w:p>
    <w:p>
      <w:pPr>
        <w:ind w:left="1000" w:right="719" w:hanging="416"/>
        <w:spacing w:after="0" w:line="279" w:lineRule="auto"/>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service on any board of directors or advisory board of any customer, supplier, or competitor unless such board service has been disclosed to the Company;</w:t>
      </w:r>
    </w:p>
    <w:p>
      <w:pPr>
        <w:spacing w:after="0" w:line="53" w:lineRule="exact"/>
        <w:rPr>
          <w:rFonts w:ascii="Times New Roman" w:cs="Times New Roman" w:eastAsia="Times New Roman" w:hAnsi="Times New Roman"/>
          <w:sz w:val="14"/>
          <w:szCs w:val="14"/>
          <w:color w:val="auto"/>
        </w:rPr>
      </w:pPr>
    </w:p>
    <w:p>
      <w:pPr>
        <w:ind w:left="1000" w:right="279" w:hanging="416"/>
        <w:spacing w:after="0" w:line="279" w:lineRule="auto"/>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sales or purchases of anything to or from the Company (unless it is pursuant to a routine program of disposal of surplus property that is offered to all employees in general); and</w:t>
      </w:r>
    </w:p>
    <w:p>
      <w:pPr>
        <w:spacing w:after="0" w:line="53" w:lineRule="exact"/>
        <w:rPr>
          <w:rFonts w:ascii="Times New Roman" w:cs="Times New Roman" w:eastAsia="Times New Roman" w:hAnsi="Times New Roman"/>
          <w:sz w:val="14"/>
          <w:szCs w:val="14"/>
          <w:color w:val="auto"/>
        </w:rPr>
      </w:pPr>
    </w:p>
    <w:p>
      <w:pPr>
        <w:ind w:left="1000" w:right="379" w:hanging="416"/>
        <w:spacing w:after="0" w:line="279" w:lineRule="auto"/>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situation in which, without proper authorization, you are required or tempted to disclose, or do disclose, any trade secret, confidential or proprietary information or intellectual property of the Company.</w:t>
      </w:r>
    </w:p>
    <w:p>
      <w:pPr>
        <w:spacing w:after="0" w:line="126" w:lineRule="exact"/>
        <w:rPr>
          <w:sz w:val="20"/>
          <w:szCs w:val="20"/>
          <w:color w:val="auto"/>
        </w:rPr>
      </w:pPr>
    </w:p>
    <w:p>
      <w:pPr>
        <w:ind w:left="260" w:right="319"/>
        <w:spacing w:after="0" w:line="254" w:lineRule="auto"/>
        <w:rPr>
          <w:sz w:val="20"/>
          <w:szCs w:val="20"/>
          <w:color w:val="auto"/>
        </w:rPr>
      </w:pPr>
      <w:r>
        <w:rPr>
          <w:rFonts w:ascii="Times New Roman" w:cs="Times New Roman" w:eastAsia="Times New Roman" w:hAnsi="Times New Roman"/>
          <w:sz w:val="14"/>
          <w:szCs w:val="14"/>
          <w:color w:val="auto"/>
        </w:rPr>
        <w:t>The list above serves only to illustrate sources of possible conflicts of interest and does not constitute a complete list of all the situations that may result in a conflict of interest. Ultimately, it is the responsibility of each employee to avoid any situation that could affect his/her ability to judge situations independently and objectively or even appear to be a conflict of interest. It is important to note that under certain circumstances, conflicts of interest can amount to violations of criminal law. If you have any questions regarding activity which may create a conflict of interest, please discuss the situation immediately with your manager, an executive officer, or the above-named Board Representative. If you know of a conflict of interest that exists elsewhere in the Company, you must disclose such conflict to your manager, an executive officer, or the above-named Board Representative.</w:t>
      </w:r>
    </w:p>
    <w:p>
      <w:pPr>
        <w:spacing w:after="0" w:line="145" w:lineRule="exact"/>
        <w:rPr>
          <w:sz w:val="20"/>
          <w:szCs w:val="20"/>
          <w:color w:val="auto"/>
        </w:rPr>
      </w:pPr>
    </w:p>
    <w:p>
      <w:pPr>
        <w:ind w:left="260" w:right="399"/>
        <w:spacing w:after="0" w:line="279" w:lineRule="auto"/>
        <w:rPr>
          <w:sz w:val="20"/>
          <w:szCs w:val="20"/>
          <w:color w:val="auto"/>
        </w:rPr>
      </w:pPr>
      <w:r>
        <w:rPr>
          <w:rFonts w:ascii="Times New Roman" w:cs="Times New Roman" w:eastAsia="Times New Roman" w:hAnsi="Times New Roman"/>
          <w:sz w:val="14"/>
          <w:szCs w:val="14"/>
          <w:color w:val="auto"/>
        </w:rPr>
        <w:t>The Company reserves the right to determine when actual or potential conflicts of interest exist, and then to take any action, which in the sole business judgment of the Company, is needed to prevent the conflict from continuing.</w:t>
      </w:r>
    </w:p>
    <w:p>
      <w:pPr>
        <w:spacing w:after="0" w:line="126" w:lineRule="exact"/>
        <w:rPr>
          <w:sz w:val="20"/>
          <w:szCs w:val="20"/>
          <w:color w:val="auto"/>
        </w:rPr>
      </w:pPr>
    </w:p>
    <w:p>
      <w:pPr>
        <w:ind w:left="260" w:right="299"/>
        <w:spacing w:after="0" w:line="279" w:lineRule="auto"/>
        <w:rPr>
          <w:sz w:val="20"/>
          <w:szCs w:val="20"/>
          <w:color w:val="auto"/>
        </w:rPr>
      </w:pPr>
      <w:r>
        <w:rPr>
          <w:rFonts w:ascii="Times New Roman" w:cs="Times New Roman" w:eastAsia="Times New Roman" w:hAnsi="Times New Roman"/>
          <w:sz w:val="14"/>
          <w:szCs w:val="14"/>
          <w:color w:val="auto"/>
        </w:rPr>
        <w:t>Such action may include, but is not limited to, having you divest the conflicting interest or return the benefit or gain received, realigning your duties and responsibilities, or disciplinary action, up to and including immediate termination of your employment.</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Gifts and Entertainment</w:t>
      </w:r>
    </w:p>
    <w:p>
      <w:pPr>
        <w:spacing w:after="0" w:line="91" w:lineRule="exact"/>
        <w:rPr>
          <w:sz w:val="20"/>
          <w:szCs w:val="20"/>
          <w:color w:val="auto"/>
        </w:rPr>
      </w:pPr>
    </w:p>
    <w:p>
      <w:pPr>
        <w:ind w:left="260" w:right="619"/>
        <w:spacing w:after="0" w:line="279" w:lineRule="auto"/>
        <w:rPr>
          <w:sz w:val="20"/>
          <w:szCs w:val="20"/>
          <w:color w:val="auto"/>
        </w:rPr>
      </w:pPr>
      <w:r>
        <w:rPr>
          <w:rFonts w:ascii="Times New Roman" w:cs="Times New Roman" w:eastAsia="Times New Roman" w:hAnsi="Times New Roman"/>
          <w:sz w:val="14"/>
          <w:szCs w:val="14"/>
          <w:color w:val="auto"/>
        </w:rPr>
        <w:t>Generally, you and your family members may not accept gifts, services, discounts, or favors from those with whom the Company does business or considers doing business. Gifts, entertainment, favors, or gratuities are subject to the following guidelines:</w:t>
      </w:r>
    </w:p>
    <w:p>
      <w:pPr>
        <w:spacing w:after="0" w:line="53" w:lineRule="exact"/>
        <w:rPr>
          <w:sz w:val="20"/>
          <w:szCs w:val="20"/>
          <w:color w:val="auto"/>
        </w:rPr>
      </w:pPr>
    </w:p>
    <w:p>
      <w:pPr>
        <w:ind w:left="1000" w:hanging="416"/>
        <w:spacing w:after="0"/>
        <w:tabs>
          <w:tab w:leader="none" w:pos="10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accept gifts of nominal value ordinarily used for sales promotion (for example, calendars, appointment books, pens, etc.,).</w:t>
      </w:r>
    </w:p>
    <w:p>
      <w:pPr>
        <w:spacing w:after="0" w:line="99" w:lineRule="exact"/>
        <w:rPr>
          <w:rFonts w:ascii="Times New Roman" w:cs="Times New Roman" w:eastAsia="Times New Roman" w:hAnsi="Times New Roman"/>
          <w:sz w:val="14"/>
          <w:szCs w:val="14"/>
          <w:color w:val="auto"/>
        </w:rPr>
      </w:pPr>
    </w:p>
    <w:p>
      <w:pPr>
        <w:ind w:left="1000" w:right="279" w:hanging="416"/>
        <w:spacing w:after="0" w:line="279" w:lineRule="auto"/>
        <w:tabs>
          <w:tab w:leader="none" w:pos="10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“business lunches” or reasonable entertainment consistent with local social and business customs may also be permissible if these actions can be reciprocated by you and are reasonable in cost and frequency.</w:t>
      </w:r>
    </w:p>
    <w:p>
      <w:pPr>
        <w:spacing w:after="0" w:line="126" w:lineRule="exact"/>
        <w:rPr>
          <w:sz w:val="20"/>
          <w:szCs w:val="20"/>
          <w:color w:val="auto"/>
        </w:rPr>
      </w:pPr>
    </w:p>
    <w:p>
      <w:pPr>
        <w:ind w:left="260" w:right="699"/>
        <w:spacing w:after="0" w:line="279" w:lineRule="auto"/>
        <w:rPr>
          <w:sz w:val="20"/>
          <w:szCs w:val="20"/>
          <w:color w:val="auto"/>
        </w:rPr>
      </w:pPr>
      <w:r>
        <w:rPr>
          <w:rFonts w:ascii="Times New Roman" w:cs="Times New Roman" w:eastAsia="Times New Roman" w:hAnsi="Times New Roman"/>
          <w:sz w:val="14"/>
          <w:szCs w:val="14"/>
          <w:color w:val="auto"/>
        </w:rPr>
        <w:t>If you receive a gift that does not fall within these guidelines, you must report it to your manager and return the gift. If the return of the gift is not practical, you should give it to the Company for charitable disposition or such other disposition as the Company deems appropriate.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Employment of Relatives and Significant Others</w:t>
      </w:r>
    </w:p>
    <w:p>
      <w:pPr>
        <w:spacing w:after="0" w:line="91" w:lineRule="exact"/>
        <w:rPr>
          <w:sz w:val="20"/>
          <w:szCs w:val="20"/>
          <w:color w:val="auto"/>
        </w:rPr>
      </w:pPr>
    </w:p>
    <w:p>
      <w:pPr>
        <w:ind w:left="260" w:right="279"/>
        <w:spacing w:after="0" w:line="259" w:lineRule="auto"/>
        <w:rPr>
          <w:sz w:val="20"/>
          <w:szCs w:val="20"/>
          <w:color w:val="auto"/>
        </w:rPr>
      </w:pPr>
      <w:r>
        <w:rPr>
          <w:rFonts w:ascii="Times New Roman" w:cs="Times New Roman" w:eastAsia="Times New Roman" w:hAnsi="Times New Roman"/>
          <w:sz w:val="14"/>
          <w:szCs w:val="14"/>
          <w:color w:val="auto"/>
        </w:rPr>
        <w:t>Supervisory relationships with family members present special workplace problems, including the potential for an appearance of a conflict of interest, in various personnel decisions that the supervisor makes. Accordingly, although not prohibited, Company employees should avoid a direct reporting relationship with any member of their family or others with whom they have a personal/extraprofessional relationship. If such a relationship exists or occurs, the employees must report it in writing to human resources.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224" w:name="page225"/>
    <w:bookmarkEnd w:id="224"/>
    <w:p>
      <w:pPr>
        <w:ind w:left="260" w:right="999"/>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Family members refers to a spouse or domestic partner, parents, legal guardians, siblings, children (natural, step- or adopted), grandparents, grandchildren, or current in-laws.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(Natural, step or adopted relationships are included in this definition.) This Code also applies to significant others and dating relationships.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VI. CONFIDENTIALITY</w:t>
      </w:r>
    </w:p>
    <w:p>
      <w:pPr>
        <w:spacing w:after="0" w:line="91" w:lineRule="exact"/>
        <w:rPr>
          <w:sz w:val="20"/>
          <w:szCs w:val="20"/>
          <w:color w:val="auto"/>
        </w:rPr>
      </w:pPr>
    </w:p>
    <w:p>
      <w:pPr>
        <w:ind w:left="260" w:right="319"/>
        <w:spacing w:after="0" w:line="256" w:lineRule="auto"/>
        <w:rPr>
          <w:sz w:val="20"/>
          <w:szCs w:val="20"/>
          <w:color w:val="auto"/>
        </w:rPr>
      </w:pPr>
      <w:r>
        <w:rPr>
          <w:rFonts w:ascii="Times New Roman" w:cs="Times New Roman" w:eastAsia="Times New Roman" w:hAnsi="Times New Roman"/>
          <w:sz w:val="14"/>
          <w:szCs w:val="14"/>
          <w:color w:val="auto"/>
        </w:rPr>
        <w:t>You owe a duty to safeguard confidential information of the Company from the public. Confidential information, which can be written, spoken or electronic, includes, but is not limited to, any non-public information regarding the Company’s financial information, business plans, marketing strategies, product launches, pricing policies, supplier and customer lists, and other similar operational information. The Company’s confidential information may also include the Company’s intellectual property, including, but not limited to, copyrights, patents, trade secrets, logos and information on the Company’s products, equipment, manufacturing process, software development and research and development.</w:t>
      </w:r>
    </w:p>
    <w:p>
      <w:pPr>
        <w:spacing w:after="0" w:line="142" w:lineRule="exact"/>
        <w:rPr>
          <w:sz w:val="20"/>
          <w:szCs w:val="20"/>
          <w:color w:val="auto"/>
        </w:rPr>
      </w:pPr>
    </w:p>
    <w:p>
      <w:pPr>
        <w:ind w:left="260" w:right="279"/>
        <w:spacing w:after="0" w:line="256" w:lineRule="auto"/>
        <w:rPr>
          <w:sz w:val="20"/>
          <w:szCs w:val="20"/>
          <w:color w:val="auto"/>
        </w:rPr>
      </w:pPr>
      <w:r>
        <w:rPr>
          <w:rFonts w:ascii="Times New Roman" w:cs="Times New Roman" w:eastAsia="Times New Roman" w:hAnsi="Times New Roman"/>
          <w:sz w:val="14"/>
          <w:szCs w:val="14"/>
          <w:color w:val="auto"/>
        </w:rPr>
        <w:t>You must follow all applicable agreements and policies regarding confidentiality between you and the Company during and after your employment. You should be discreet with respect to confidential information in public and not communicate confidential information to any person unless that person has a legitimate, Company-related reason to access that information. Neither should you use any confidential information other than for legitimate, Company-related purposes. You should also ensure that a non-disclosure agreement is in effect and is approved by management before providing or receiving any confidential information from a third party.</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VII. CORPORATE OPPORTUNITIES</w:t>
      </w:r>
    </w:p>
    <w:p>
      <w:pPr>
        <w:spacing w:after="0" w:line="91" w:lineRule="exact"/>
        <w:rPr>
          <w:sz w:val="20"/>
          <w:szCs w:val="20"/>
          <w:color w:val="auto"/>
        </w:rPr>
      </w:pPr>
    </w:p>
    <w:p>
      <w:pPr>
        <w:jc w:val="both"/>
        <w:ind w:left="260" w:right="619"/>
        <w:spacing w:after="0" w:line="285" w:lineRule="auto"/>
        <w:rPr>
          <w:sz w:val="20"/>
          <w:szCs w:val="20"/>
          <w:color w:val="auto"/>
        </w:rPr>
      </w:pPr>
      <w:r>
        <w:rPr>
          <w:rFonts w:ascii="Times New Roman" w:cs="Times New Roman" w:eastAsia="Times New Roman" w:hAnsi="Times New Roman"/>
          <w:sz w:val="13"/>
          <w:szCs w:val="13"/>
          <w:color w:val="auto"/>
        </w:rPr>
        <w:t>You may not use corporate property, information, or position for improper personal gain. You owe a duty to the Company to advance its legitimate interests when the opportunity to do so arises. You are prohibited from competing with the Company or taking advantage for personal gain of any opportunity that is discovered through the use of Company property, information or position. You should report any corporate opportunity to your manager or other appropriate individual within the Company to determine whether the Company desires to take advantage of the opportunity.</w:t>
      </w:r>
    </w:p>
    <w:p>
      <w:pPr>
        <w:spacing w:after="0" w:line="124" w:lineRule="exact"/>
        <w:rPr>
          <w:sz w:val="20"/>
          <w:szCs w:val="20"/>
          <w:color w:val="auto"/>
        </w:rPr>
      </w:pPr>
    </w:p>
    <w:p>
      <w:pPr>
        <w:ind w:left="260" w:right="259"/>
        <w:spacing w:after="0" w:line="279" w:lineRule="auto"/>
        <w:rPr>
          <w:sz w:val="20"/>
          <w:szCs w:val="20"/>
          <w:color w:val="auto"/>
        </w:rPr>
      </w:pPr>
      <w:r>
        <w:rPr>
          <w:rFonts w:ascii="Times New Roman" w:cs="Times New Roman" w:eastAsia="Times New Roman" w:hAnsi="Times New Roman"/>
          <w:sz w:val="14"/>
          <w:szCs w:val="14"/>
          <w:color w:val="auto"/>
        </w:rPr>
        <w:t>If you are an officer, you have an additional obligation not to take advantage for personal gain of any opportunity that the Company may have an interest in pursuing, notwithstanding that your knowledge of such opportunity is obtained independently of your relationship with the Company.</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VIII. FAIR DEALING</w:t>
      </w:r>
    </w:p>
    <w:p>
      <w:pPr>
        <w:spacing w:after="0" w:line="91" w:lineRule="exact"/>
        <w:rPr>
          <w:sz w:val="20"/>
          <w:szCs w:val="20"/>
          <w:color w:val="auto"/>
        </w:rPr>
      </w:pPr>
    </w:p>
    <w:p>
      <w:pPr>
        <w:ind w:left="260" w:right="459"/>
        <w:spacing w:after="0" w:line="285" w:lineRule="auto"/>
        <w:rPr>
          <w:sz w:val="20"/>
          <w:szCs w:val="20"/>
          <w:color w:val="auto"/>
        </w:rPr>
      </w:pPr>
      <w:r>
        <w:rPr>
          <w:rFonts w:ascii="Times New Roman" w:cs="Times New Roman" w:eastAsia="Times New Roman" w:hAnsi="Times New Roman"/>
          <w:sz w:val="13"/>
          <w:szCs w:val="13"/>
          <w:color w:val="auto"/>
        </w:rPr>
        <w:t>The Company seeks to compete fairly through innovation and superior performance, and it prohibits any unethical or illegal business practices, including, without limitation, corruption, bribery, kickbacks, extortion, and embezzlement. Furthermore, you should endeavor to deal fairly with the Company’s customers, suppliers, competitors, and employees. No director, officer or other employee should take unfair advantage of anyone through manipulation, concealment, abuse of privileged information, misrepresentation of material facts or any other practice involving unfair dealing.</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IX. ACCOUNTING AND FINANCIAL INTEGRITY, FRAUD, AND IMPROPER PAYMENTS</w:t>
      </w:r>
    </w:p>
    <w:p>
      <w:pPr>
        <w:spacing w:after="0" w:line="91" w:lineRule="exact"/>
        <w:rPr>
          <w:sz w:val="20"/>
          <w:szCs w:val="20"/>
          <w:color w:val="auto"/>
        </w:rPr>
      </w:pPr>
    </w:p>
    <w:p>
      <w:pPr>
        <w:ind w:left="260" w:right="339"/>
        <w:spacing w:after="0" w:line="256" w:lineRule="auto"/>
        <w:rPr>
          <w:sz w:val="20"/>
          <w:szCs w:val="20"/>
          <w:color w:val="auto"/>
        </w:rPr>
      </w:pPr>
      <w:r>
        <w:rPr>
          <w:rFonts w:ascii="Times New Roman" w:cs="Times New Roman" w:eastAsia="Times New Roman" w:hAnsi="Times New Roman"/>
          <w:sz w:val="14"/>
          <w:szCs w:val="14"/>
          <w:color w:val="auto"/>
        </w:rPr>
        <w:t>As noted in the Ethical Standards set forth above, the Company requires full, fair, accurate, timely and understandable recording and reporting of all Company information. The Company’s books, records and accounts must reflect, accurately and fairly, and within the Company’s normal system of accounting, all of its transactions. Therefore, you must act in a manner that ensures that all of the Company’s books, records, accounts, and financial statements are maintained in reasonable detail, appropriately reflect the Company’s transactions, and conform both to applicable legal requirements and to the Company’s system of internal controls.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225" w:name="page226"/>
    <w:bookmarkEnd w:id="225"/>
    <w:p>
      <w:pPr>
        <w:ind w:left="260" w:right="2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Good financial reporting starts with good recordkeeping, and the Company and its management rely on its records to prepare financial statements that present its results of operations and financial position in a full, fair, accurate, timely and understandable manner. These financial statements are relied on by stockholders, creditors, governmental authorities, and the public. It is, therefore, critical that all employees involved with recording, summarizing, and maintaining business and accounting records do so in accordance with the following:</w:t>
      </w:r>
    </w:p>
    <w:p>
      <w:pPr>
        <w:spacing w:after="0" w:line="66" w:lineRule="exact"/>
        <w:rPr>
          <w:sz w:val="20"/>
          <w:szCs w:val="20"/>
          <w:color w:val="auto"/>
        </w:rPr>
      </w:pPr>
    </w:p>
    <w:p>
      <w:pPr>
        <w:ind w:left="1000" w:hanging="333"/>
        <w:spacing w:after="0"/>
        <w:tabs>
          <w:tab w:leader="none" w:pos="10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assets, liabilities, revenues, and expenses will be recorded in the financial records of the Company and its subsidiaries;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undisclosed or unrecorded funds or accounts will be established for any purpose;</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false or artificial entries will be made for any reason; and</w:t>
      </w:r>
    </w:p>
    <w:p>
      <w:pPr>
        <w:spacing w:after="0" w:line="99" w:lineRule="exact"/>
        <w:rPr>
          <w:rFonts w:ascii="Times New Roman" w:cs="Times New Roman" w:eastAsia="Times New Roman" w:hAnsi="Times New Roman"/>
          <w:sz w:val="14"/>
          <w:szCs w:val="14"/>
          <w:color w:val="auto"/>
        </w:rPr>
      </w:pPr>
    </w:p>
    <w:p>
      <w:pPr>
        <w:ind w:left="1000" w:right="559" w:hanging="333"/>
        <w:spacing w:after="0" w:line="279" w:lineRule="auto"/>
        <w:tabs>
          <w:tab w:leader="none" w:pos="10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payments will be approved or made with the intention or understanding that any part of the payments is to be used for any purpose other than that described by the documentation supporting the payment.</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everyone must execute and record transactions in accordance with all internal control procedures implemented by Company management.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Furthermore, all of your expense reimbursements must accurately reflect the true nature and amount of the expenses.</w:t>
      </w:r>
    </w:p>
    <w:p>
      <w:pPr>
        <w:spacing w:after="0" w:line="156" w:lineRule="exact"/>
        <w:rPr>
          <w:sz w:val="20"/>
          <w:szCs w:val="20"/>
          <w:color w:val="auto"/>
        </w:rPr>
      </w:pPr>
    </w:p>
    <w:p>
      <w:pPr>
        <w:ind w:left="260" w:right="299"/>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It is especially important that you do not create, or participate in the creation, or perpetuation of, any records that are intended to mislead anyone or conceal any improper act of conduct.</w:t>
      </w:r>
    </w:p>
    <w:p>
      <w:pPr>
        <w:spacing w:after="0" w:line="124" w:lineRule="exact"/>
        <w:rPr>
          <w:sz w:val="20"/>
          <w:szCs w:val="20"/>
          <w:color w:val="auto"/>
        </w:rPr>
      </w:pPr>
    </w:p>
    <w:p>
      <w:pPr>
        <w:ind w:left="260" w:right="259"/>
        <w:spacing w:after="0" w:line="279" w:lineRule="auto"/>
        <w:rPr>
          <w:sz w:val="20"/>
          <w:szCs w:val="20"/>
          <w:color w:val="auto"/>
        </w:rPr>
      </w:pPr>
      <w:r>
        <w:rPr>
          <w:rFonts w:ascii="Times New Roman" w:cs="Times New Roman" w:eastAsia="Times New Roman" w:hAnsi="Times New Roman"/>
          <w:sz w:val="14"/>
          <w:szCs w:val="14"/>
          <w:color w:val="auto"/>
        </w:rPr>
        <w:t>Furthermore, if you are in any way involved in preparing the Company’s disclosure documents (such as SEC filings or press releases), you must produce full, fair, accurate, timely, and understandable disclosure in such documents.</w:t>
      </w:r>
    </w:p>
    <w:p>
      <w:pPr>
        <w:spacing w:after="0" w:line="126" w:lineRule="exact"/>
        <w:rPr>
          <w:sz w:val="20"/>
          <w:szCs w:val="20"/>
          <w:color w:val="auto"/>
        </w:rPr>
      </w:pPr>
    </w:p>
    <w:p>
      <w:pPr>
        <w:ind w:left="260" w:right="479"/>
        <w:spacing w:after="0" w:line="279" w:lineRule="auto"/>
        <w:rPr>
          <w:sz w:val="20"/>
          <w:szCs w:val="20"/>
          <w:color w:val="auto"/>
        </w:rPr>
      </w:pPr>
      <w:r>
        <w:rPr>
          <w:rFonts w:ascii="Times New Roman" w:cs="Times New Roman" w:eastAsia="Times New Roman" w:hAnsi="Times New Roman"/>
          <w:sz w:val="14"/>
          <w:szCs w:val="14"/>
          <w:color w:val="auto"/>
        </w:rPr>
        <w:t>Persons involved in preparing and finalizing the Company’s financial information, whether for internal or external reporting purposes, and disclosure documents should do so in accordance with the following:</w:t>
      </w:r>
    </w:p>
    <w:p>
      <w:pPr>
        <w:spacing w:after="0" w:line="53" w:lineRule="exact"/>
        <w:rPr>
          <w:sz w:val="20"/>
          <w:szCs w:val="20"/>
          <w:color w:val="auto"/>
        </w:rPr>
      </w:pPr>
    </w:p>
    <w:p>
      <w:pPr>
        <w:ind w:left="1000" w:hanging="333"/>
        <w:spacing w:after="0"/>
        <w:tabs>
          <w:tab w:leader="none" w:pos="10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in maintaining internal control over financial reporting.</w:t>
      </w:r>
    </w:p>
    <w:p>
      <w:pPr>
        <w:spacing w:after="0" w:line="99" w:lineRule="exact"/>
        <w:rPr>
          <w:rFonts w:ascii="Times New Roman" w:cs="Times New Roman" w:eastAsia="Times New Roman" w:hAnsi="Times New Roman"/>
          <w:sz w:val="14"/>
          <w:szCs w:val="14"/>
          <w:color w:val="auto"/>
        </w:rPr>
      </w:pPr>
    </w:p>
    <w:p>
      <w:pPr>
        <w:ind w:left="1000" w:right="319" w:hanging="333"/>
        <w:spacing w:after="0" w:line="264" w:lineRule="auto"/>
        <w:tabs>
          <w:tab w:leader="none" w:pos="10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 the internal auditor or the above-named Board Representative or such other individuals responsible for ensuring that appropriate controls and procedures are in place and followed for all quarterly and annual financial filings promptly of business transactions, events or circumstances that could have a material impact on the Company’s financial statements.</w:t>
      </w:r>
    </w:p>
    <w:p>
      <w:pPr>
        <w:spacing w:after="0" w:line="63" w:lineRule="exact"/>
        <w:rPr>
          <w:rFonts w:ascii="Times New Roman" w:cs="Times New Roman" w:eastAsia="Times New Roman" w:hAnsi="Times New Roman"/>
          <w:sz w:val="14"/>
          <w:szCs w:val="14"/>
          <w:color w:val="auto"/>
        </w:rPr>
      </w:pPr>
    </w:p>
    <w:p>
      <w:pPr>
        <w:ind w:left="1000" w:right="279" w:hanging="333"/>
        <w:spacing w:after="0" w:line="279" w:lineRule="auto"/>
        <w:tabs>
          <w:tab w:leader="none" w:pos="10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Communicate openly and honestly with the Company’s external public accountants with respect to quarterly and annual financial reporting and related disclosures.</w:t>
      </w:r>
    </w:p>
    <w:p>
      <w:pPr>
        <w:spacing w:after="0" w:line="53" w:lineRule="exact"/>
        <w:rPr>
          <w:rFonts w:ascii="Times New Roman" w:cs="Times New Roman" w:eastAsia="Times New Roman" w:hAnsi="Times New Roman"/>
          <w:sz w:val="14"/>
          <w:szCs w:val="14"/>
          <w:color w:val="auto"/>
        </w:rPr>
      </w:pPr>
    </w:p>
    <w:p>
      <w:pPr>
        <w:ind w:left="1000" w:right="639" w:hanging="333"/>
        <w:spacing w:after="0" w:line="279" w:lineRule="auto"/>
        <w:tabs>
          <w:tab w:leader="none" w:pos="10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the financial statements and related disclosures include all information deemed necessary to achieve an appropriate degree of transparency of business transactions.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Reporting Your Concerns</w:t>
      </w:r>
    </w:p>
    <w:p>
      <w:pPr>
        <w:spacing w:after="0" w:line="91" w:lineRule="exact"/>
        <w:rPr>
          <w:sz w:val="20"/>
          <w:szCs w:val="20"/>
          <w:color w:val="auto"/>
        </w:rPr>
      </w:pPr>
    </w:p>
    <w:p>
      <w:pPr>
        <w:ind w:left="260" w:right="839"/>
        <w:spacing w:after="0" w:line="319" w:lineRule="auto"/>
        <w:rPr>
          <w:sz w:val="20"/>
          <w:szCs w:val="20"/>
          <w:color w:val="auto"/>
        </w:rPr>
      </w:pPr>
      <w:r>
        <w:rPr>
          <w:rFonts w:ascii="Times New Roman" w:cs="Times New Roman" w:eastAsia="Times New Roman" w:hAnsi="Times New Roman"/>
          <w:sz w:val="13"/>
          <w:szCs w:val="13"/>
          <w:color w:val="auto"/>
        </w:rPr>
        <w:t>To facilitate the reporting of colleague concerns, the Company has established the following procedures for the confidential and/or anonymous submission by employees of concerns regarding accounting, internal accounting controls, or auditing matters (“Accounting Matters”).</w:t>
      </w:r>
    </w:p>
    <w:p>
      <w:pPr>
        <w:spacing w:after="0" w:line="103" w:lineRule="exact"/>
        <w:rPr>
          <w:sz w:val="20"/>
          <w:szCs w:val="20"/>
          <w:color w:val="auto"/>
        </w:rPr>
      </w:pPr>
    </w:p>
    <w:p>
      <w:pPr>
        <w:ind w:left="260" w:right="759"/>
        <w:spacing w:after="0" w:line="279" w:lineRule="auto"/>
        <w:rPr>
          <w:sz w:val="20"/>
          <w:szCs w:val="20"/>
          <w:color w:val="auto"/>
        </w:rPr>
      </w:pPr>
      <w:r>
        <w:rPr>
          <w:rFonts w:ascii="Times New Roman" w:cs="Times New Roman" w:eastAsia="Times New Roman" w:hAnsi="Times New Roman"/>
          <w:sz w:val="14"/>
          <w:szCs w:val="14"/>
          <w:color w:val="auto"/>
        </w:rPr>
        <w:t>Colleagues with concerns regarding Accounting Matters must report such concerns by contacting the internal auditor or the above-named Board Representative, which may be done on a confidential basis.</w:t>
      </w:r>
    </w:p>
    <w:p>
      <w:pPr>
        <w:spacing w:after="0" w:line="126"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color w:val="auto"/>
        </w:rPr>
        <w:t>Reports to the internal auditor or the above-named Board Representative may be made in writing or orally, although the person who is reporting any such matters is advised to follow up in writing to ensure there is a written record of report; provided, however, the report may be submitted anonymously. The internal auditor or the above-named Board Representative will initially review reports and those involving Accounting Matters will be reported by this member of the Board to the Chairman of our Audit Committee. All such reports will be investigated under Audit Committee direction and oversight by the above-named Board Representative, director of internal audit or other person as our Audit Committee may determine. Prompt and appropriate corrective action will be taken when and as warranted in the judgment of the Audit Committee. If the reported concern was not made on an anonymous basis, the internal auditor or the above-named Board Representative will respond to the person making the report after the investigation is completed.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226" w:name="page227"/>
    <w:bookmarkEnd w:id="226"/>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Non-Retaliation</w:t>
      </w:r>
    </w:p>
    <w:p>
      <w:pPr>
        <w:spacing w:after="0" w:line="91" w:lineRule="exact"/>
        <w:rPr>
          <w:sz w:val="20"/>
          <w:szCs w:val="20"/>
          <w:color w:val="auto"/>
        </w:rPr>
      </w:pPr>
    </w:p>
    <w:p>
      <w:pPr>
        <w:ind w:left="260" w:right="339"/>
        <w:spacing w:after="0" w:line="264" w:lineRule="auto"/>
        <w:rPr>
          <w:sz w:val="20"/>
          <w:szCs w:val="20"/>
          <w:color w:val="auto"/>
        </w:rPr>
      </w:pPr>
      <w:r>
        <w:rPr>
          <w:rFonts w:ascii="Times New Roman" w:cs="Times New Roman" w:eastAsia="Times New Roman" w:hAnsi="Times New Roman"/>
          <w:sz w:val="14"/>
          <w:szCs w:val="14"/>
          <w:color w:val="auto"/>
        </w:rPr>
        <w:t>While complaints and concerns regarding Accounting Matters may be made on an anonymous basis, you are encouraged to identify yourself so that the Company can contact you in the event further information is needed or to report our response to your concern. You should always be expected to participate in any investigation into a report made by you so that you can answer questions that may be relevant to the</w:t>
      </w:r>
    </w:p>
    <w:p>
      <w:pPr>
        <w:spacing w:after="0" w:line="136" w:lineRule="exact"/>
        <w:rPr>
          <w:sz w:val="20"/>
          <w:szCs w:val="20"/>
          <w:color w:val="auto"/>
        </w:rPr>
      </w:pPr>
    </w:p>
    <w:p>
      <w:pPr>
        <w:ind w:left="260" w:right="319"/>
        <w:spacing w:after="0" w:line="254" w:lineRule="auto"/>
        <w:rPr>
          <w:sz w:val="20"/>
          <w:szCs w:val="20"/>
          <w:color w:val="auto"/>
        </w:rPr>
      </w:pPr>
      <w:r>
        <w:rPr>
          <w:rFonts w:ascii="Times New Roman" w:cs="Times New Roman" w:eastAsia="Times New Roman" w:hAnsi="Times New Roman"/>
          <w:sz w:val="14"/>
          <w:szCs w:val="14"/>
          <w:color w:val="auto"/>
        </w:rPr>
        <w:t>Company’s investigation into such report. In any case, your identity in making a report, or otherwise participating in a follow-on investigation concerning the same, will be maintained in confidence to the fullest extent possible, consistent with the need to conduct an adequate review. Retaliation against those who bring forward these types of related concerns or complaints will not be tolerated. The Company will not discharge, demote, suspend, threaten, harass or in any manner discriminate against any employee in the terms and conditions of employment based upon any lawful actions of such employee with respect to good faith reporting of concerns regarding Accounting Matters or otherwise as specified in Section 806 of the Sarbanes-Oxley Act of 2002.</w:t>
      </w:r>
    </w:p>
    <w:p>
      <w:pPr>
        <w:spacing w:after="0" w:line="145" w:lineRule="exact"/>
        <w:rPr>
          <w:sz w:val="20"/>
          <w:szCs w:val="20"/>
          <w:color w:val="auto"/>
        </w:rPr>
      </w:pPr>
    </w:p>
    <w:p>
      <w:pPr>
        <w:ind w:left="260" w:right="339"/>
        <w:spacing w:after="0" w:line="279" w:lineRule="auto"/>
        <w:rPr>
          <w:sz w:val="20"/>
          <w:szCs w:val="20"/>
          <w:color w:val="auto"/>
        </w:rPr>
      </w:pPr>
      <w:r>
        <w:rPr>
          <w:rFonts w:ascii="Times New Roman" w:cs="Times New Roman" w:eastAsia="Times New Roman" w:hAnsi="Times New Roman"/>
          <w:sz w:val="14"/>
          <w:szCs w:val="14"/>
          <w:color w:val="auto"/>
        </w:rPr>
        <w:t>If an employee, applicant, or vendor believes that he or she has been retaliated against for disclosing information regarding misconduct under the Code, he/she should file a written complaint with the above- named Board Representative.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Fraud</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Company policy prohibits all fraudulent activity. Fraud includes, but is not limited to, the following actions:</w:t>
      </w:r>
    </w:p>
    <w:p>
      <w:pPr>
        <w:spacing w:after="0" w:line="100" w:lineRule="exact"/>
        <w:rPr>
          <w:sz w:val="20"/>
          <w:szCs w:val="20"/>
          <w:color w:val="auto"/>
        </w:rPr>
      </w:pPr>
    </w:p>
    <w:p>
      <w:pPr>
        <w:ind w:left="1000" w:hanging="333"/>
        <w:spacing w:after="0"/>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dishonest or fraudulent acts;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embezzlement of Company funds;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forgery or alteration of negotiable instruments such as Company checks and drafts;</w:t>
      </w:r>
    </w:p>
    <w:p>
      <w:pPr>
        <w:spacing w:after="0" w:line="99" w:lineRule="exact"/>
        <w:rPr>
          <w:rFonts w:ascii="Times New Roman" w:cs="Times New Roman" w:eastAsia="Times New Roman" w:hAnsi="Times New Roman"/>
          <w:sz w:val="14"/>
          <w:szCs w:val="14"/>
          <w:color w:val="auto"/>
        </w:rPr>
      </w:pPr>
    </w:p>
    <w:p>
      <w:pPr>
        <w:ind w:left="1000" w:right="599" w:hanging="333"/>
        <w:spacing w:after="0" w:line="279" w:lineRule="auto"/>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misappropriation of Company, employee, customer, partner, or supplier’s property, including, but not limited to, trade secrets or other confidential information that may be proprietary to the Company, but not rise to the level of a trade secret;</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to personal use of cash, securities, supplies or any other Company assets;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unauthorized handling or reporting of Company transactions;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falsification or material omission of client or prospective client records or information for any reason; and</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falsification of Company records or financial statements for personal or other reasons.</w:t>
      </w:r>
    </w:p>
    <w:p>
      <w:pPr>
        <w:spacing w:after="0" w:line="173" w:lineRule="exact"/>
        <w:rPr>
          <w:sz w:val="20"/>
          <w:szCs w:val="20"/>
          <w:color w:val="auto"/>
        </w:rPr>
      </w:pPr>
    </w:p>
    <w:p>
      <w:pPr>
        <w:ind w:left="260" w:right="359"/>
        <w:spacing w:after="0" w:line="264" w:lineRule="auto"/>
        <w:rPr>
          <w:sz w:val="20"/>
          <w:szCs w:val="20"/>
          <w:color w:val="auto"/>
        </w:rPr>
      </w:pPr>
      <w:r>
        <w:rPr>
          <w:rFonts w:ascii="Times New Roman" w:cs="Times New Roman" w:eastAsia="Times New Roman" w:hAnsi="Times New Roman"/>
          <w:sz w:val="14"/>
          <w:szCs w:val="14"/>
          <w:color w:val="auto"/>
        </w:rPr>
        <w:t>Any violations of the Company’s fraud policy will result in immediate dismissal. Any employee, officer, director, or agent who suspects that any fraudulent activity has occurred, or may potentially occur, is required to report such concern to their manager, an executive officer, or the above-named Board Representative immediately.</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Improper Payments</w:t>
      </w:r>
    </w:p>
    <w:p>
      <w:pPr>
        <w:spacing w:after="0" w:line="91" w:lineRule="exact"/>
        <w:rPr>
          <w:sz w:val="20"/>
          <w:szCs w:val="20"/>
          <w:color w:val="auto"/>
        </w:rPr>
      </w:pPr>
    </w:p>
    <w:p>
      <w:pPr>
        <w:ind w:left="260" w:right="379"/>
        <w:spacing w:after="0" w:line="253" w:lineRule="auto"/>
        <w:rPr>
          <w:sz w:val="20"/>
          <w:szCs w:val="20"/>
          <w:color w:val="auto"/>
        </w:rPr>
      </w:pPr>
      <w:r>
        <w:rPr>
          <w:rFonts w:ascii="Times New Roman" w:cs="Times New Roman" w:eastAsia="Times New Roman" w:hAnsi="Times New Roman"/>
          <w:sz w:val="14"/>
          <w:szCs w:val="14"/>
          <w:color w:val="auto"/>
        </w:rPr>
        <w:t>The Company observes the highest ethical standards in all of its business transactions – including those involving foreign countries. You may not take any action in connection with any international transaction or action in any foreign country that would be illegal or improper in the United States. Furthermore, you are required to observe all applicable foreign laws to which you or the Company may be subject, including foreign laws, customs duties and regulations and currency restrictions. Under no circumstances is it acceptable to offer, give, solicit, receive, or authorize any form of bribe, kickback, or improper inducement, payment, or gift in connection with Company business. This principle applies to Company transactions everywhere in the world, even in situations where the practice is widely considered “a way of doing business.” Under federal statutes (such as the U.S. Foreign Corrupt Practices Act), these are criminal acts that can lead to prosecution. If you are asked to make any such payment, you should consult with your manager, an executive officer, or the above-named Board Representative before taking any action.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227" w:name="page228"/>
    <w:bookmarkEnd w:id="227"/>
    <w:p>
      <w:pPr>
        <w:ind w:left="260" w:right="4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order to ensure that you are acting on the Company’s behalf and are not offering or receiving what could be considered to be a bribe, kickback, or other fraudulent activity, you must periodically undergo specialized training on the U.S. Foreign Corrupt Practices Act and other applicable laws and regulations about business gifts, and direct questions to the Legal Department. Limits on authority must be strictly observed and payments above authorized levels require advance approval by your manager in conjunction with the Finance Department.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X. POLITICAL ACTIVITIES AND COMPLIANCE WITH CAMPAIGN FINANCE LAWS</w:t>
      </w:r>
    </w:p>
    <w:p>
      <w:pPr>
        <w:spacing w:after="0" w:line="91" w:lineRule="exact"/>
        <w:rPr>
          <w:sz w:val="20"/>
          <w:szCs w:val="20"/>
          <w:color w:val="auto"/>
        </w:rPr>
      </w:pPr>
    </w:p>
    <w:p>
      <w:pPr>
        <w:ind w:left="260" w:right="299"/>
        <w:spacing w:after="0" w:line="319" w:lineRule="auto"/>
        <w:rPr>
          <w:sz w:val="20"/>
          <w:szCs w:val="20"/>
          <w:color w:val="auto"/>
        </w:rPr>
      </w:pPr>
      <w:r>
        <w:rPr>
          <w:rFonts w:ascii="Times New Roman" w:cs="Times New Roman" w:eastAsia="Times New Roman" w:hAnsi="Times New Roman"/>
          <w:sz w:val="13"/>
          <w:szCs w:val="13"/>
          <w:color w:val="auto"/>
        </w:rPr>
        <w:t>The Company encourages its directors, officers, and employees to be active members of their communities. Along with participation in civic, charitable, and volunteer activities, this includes participation in the political process and may involve monetary contributions to political candidates and causes.</w:t>
      </w:r>
    </w:p>
    <w:p>
      <w:pPr>
        <w:spacing w:after="0" w:line="103" w:lineRule="exact"/>
        <w:rPr>
          <w:sz w:val="20"/>
          <w:szCs w:val="20"/>
          <w:color w:val="auto"/>
        </w:rPr>
      </w:pPr>
    </w:p>
    <w:p>
      <w:pPr>
        <w:ind w:left="260" w:right="359"/>
        <w:spacing w:after="0" w:line="256" w:lineRule="auto"/>
        <w:rPr>
          <w:sz w:val="20"/>
          <w:szCs w:val="20"/>
          <w:color w:val="auto"/>
        </w:rPr>
      </w:pPr>
      <w:r>
        <w:rPr>
          <w:rFonts w:ascii="Times New Roman" w:cs="Times New Roman" w:eastAsia="Times New Roman" w:hAnsi="Times New Roman"/>
          <w:sz w:val="14"/>
          <w:szCs w:val="14"/>
          <w:color w:val="auto"/>
        </w:rPr>
        <w:t>It is the Company’s policy not to make any political contributions in connection with any federal, state, and local elections in violation of campaign finance laws. You may not make a political contribution on the Company’s behalf or cause the Company to be directly or indirectly liable for any political contributions without pre-approval. The Company’s resources may not be used to support the cost of fund-raising events, including the cost of food and beverage. You shall not include any political contributions or cost of a fundraising event on your expense accounts or in any other way that would result in reimbursement by the Company.</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XI. PUBLIC STATEMENTS</w:t>
      </w:r>
    </w:p>
    <w:p>
      <w:pPr>
        <w:spacing w:after="0" w:line="91" w:lineRule="exact"/>
        <w:rPr>
          <w:sz w:val="20"/>
          <w:szCs w:val="20"/>
          <w:color w:val="auto"/>
        </w:rPr>
      </w:pPr>
    </w:p>
    <w:p>
      <w:pPr>
        <w:jc w:val="both"/>
        <w:ind w:left="260" w:right="339"/>
        <w:spacing w:after="0" w:line="293" w:lineRule="auto"/>
        <w:rPr>
          <w:sz w:val="20"/>
          <w:szCs w:val="20"/>
          <w:color w:val="auto"/>
        </w:rPr>
      </w:pPr>
      <w:r>
        <w:rPr>
          <w:rFonts w:ascii="Times New Roman" w:cs="Times New Roman" w:eastAsia="Times New Roman" w:hAnsi="Times New Roman"/>
          <w:sz w:val="13"/>
          <w:szCs w:val="13"/>
          <w:color w:val="auto"/>
        </w:rPr>
        <w:t>All public statements about or on behalf of the Company must be carefully coordinated and approved in advance by the Company. Unless he or she has been authorized to do so, no employee should make public statements about or on behalf of the Company. If you receive a request for information or an interview about the Company, you should politely decline and direct the request to an executive officer or the above-named Board Representative.</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XII. SOCIAL MEDIA</w:t>
      </w:r>
    </w:p>
    <w:p>
      <w:pPr>
        <w:spacing w:after="0" w:line="91" w:lineRule="exact"/>
        <w:rPr>
          <w:sz w:val="20"/>
          <w:szCs w:val="20"/>
          <w:color w:val="auto"/>
        </w:rPr>
      </w:pPr>
    </w:p>
    <w:p>
      <w:pPr>
        <w:ind w:left="260" w:right="299"/>
        <w:spacing w:after="0" w:line="256" w:lineRule="auto"/>
        <w:rPr>
          <w:sz w:val="20"/>
          <w:szCs w:val="20"/>
          <w:color w:val="auto"/>
        </w:rPr>
      </w:pPr>
      <w:r>
        <w:rPr>
          <w:rFonts w:ascii="Times New Roman" w:cs="Times New Roman" w:eastAsia="Times New Roman" w:hAnsi="Times New Roman"/>
          <w:sz w:val="14"/>
          <w:szCs w:val="14"/>
          <w:color w:val="auto"/>
        </w:rPr>
        <w:t>At Hadron Energy, you should be discreet with respect to sharing ideas through Internet, including social networking sites, blogs, wikis, music or audio-sharing, media platforms and virtual worlds. You should not post any confidential information about the Company. You should not inappropriately discuss anything about the Company, colleagues, customers, business partners, and other stakeholders. On social media, unless you are specifically authorized to do so, you must not give the impression that you are acting on the Company’s behalf. If you believe you have witnessed improper activities on social media, please promptly notify your manager, an executive officer or the above-named the Board Representative.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XIII. TEAM MEMBER PRIVACY</w:t>
      </w:r>
    </w:p>
    <w:p>
      <w:pPr>
        <w:spacing w:after="0" w:line="91" w:lineRule="exact"/>
        <w:rPr>
          <w:sz w:val="20"/>
          <w:szCs w:val="20"/>
          <w:color w:val="auto"/>
        </w:rPr>
      </w:pPr>
    </w:p>
    <w:p>
      <w:pPr>
        <w:ind w:left="260" w:right="339"/>
        <w:spacing w:after="0" w:line="256" w:lineRule="auto"/>
        <w:rPr>
          <w:sz w:val="20"/>
          <w:szCs w:val="20"/>
          <w:color w:val="auto"/>
        </w:rPr>
      </w:pPr>
      <w:r>
        <w:rPr>
          <w:rFonts w:ascii="Times New Roman" w:cs="Times New Roman" w:eastAsia="Times New Roman" w:hAnsi="Times New Roman"/>
          <w:sz w:val="14"/>
          <w:szCs w:val="14"/>
          <w:color w:val="auto"/>
        </w:rPr>
        <w:t>Your colleagues have a right to privacy to confidential information about themselves that they have provided to you and the Company in the course of their work. Their information may include their employment history, government-issued identification numbers, personal contact information, marital status, and medical history. You have a responsibility to protect their privacy by taking appropriate precautions to safeguard their information and using it only pursuant to your job. For questions about the privacy laws in the workplace, seek advice from your manager, an executive officer, or the above-named Board Representative.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XIV. HEALTH AND SAFETY</w:t>
      </w:r>
    </w:p>
    <w:p>
      <w:pPr>
        <w:spacing w:after="0" w:line="91" w:lineRule="exact"/>
        <w:rPr>
          <w:sz w:val="20"/>
          <w:szCs w:val="20"/>
          <w:color w:val="auto"/>
        </w:rPr>
      </w:pPr>
    </w:p>
    <w:p>
      <w:pPr>
        <w:ind w:left="260" w:right="379"/>
        <w:spacing w:after="0" w:line="264" w:lineRule="auto"/>
        <w:rPr>
          <w:sz w:val="20"/>
          <w:szCs w:val="20"/>
          <w:color w:val="auto"/>
        </w:rPr>
      </w:pPr>
      <w:r>
        <w:rPr>
          <w:rFonts w:ascii="Times New Roman" w:cs="Times New Roman" w:eastAsia="Times New Roman" w:hAnsi="Times New Roman"/>
          <w:sz w:val="14"/>
          <w:szCs w:val="14"/>
          <w:color w:val="auto"/>
        </w:rPr>
        <w:t>The Company recognizes that a safe and healthy workplace is essential to all aspects of business and innovation. All employees should maintain a safe and healthy workplace by following the Company’s safety and health rules and practices and reporting accidents, injuries, and unsafe equipment, practices, or conditions.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XV. SEXUAL HARASSMENT</w:t>
      </w:r>
    </w:p>
    <w:p>
      <w:pPr>
        <w:spacing w:after="0" w:line="91" w:lineRule="exact"/>
        <w:rPr>
          <w:sz w:val="20"/>
          <w:szCs w:val="20"/>
          <w:color w:val="auto"/>
        </w:rPr>
      </w:pPr>
    </w:p>
    <w:p>
      <w:pPr>
        <w:ind w:left="260" w:right="479"/>
        <w:spacing w:after="0" w:line="259" w:lineRule="auto"/>
        <w:rPr>
          <w:sz w:val="20"/>
          <w:szCs w:val="20"/>
          <w:color w:val="auto"/>
        </w:rPr>
      </w:pPr>
      <w:r>
        <w:rPr>
          <w:rFonts w:ascii="Times New Roman" w:cs="Times New Roman" w:eastAsia="Times New Roman" w:hAnsi="Times New Roman"/>
          <w:sz w:val="14"/>
          <w:szCs w:val="14"/>
          <w:color w:val="auto"/>
        </w:rPr>
        <w:t>The Company prohibits all types of sexual harassment that may include inappropriate sexual remarks or jokes, sexually suggestive comments, inappropriate comments about someone’s appearance, visual displays such as sexually oriented gestures or derogatory pictures, unwanted sexual advances, invitations, touching, requests for sexual favors and threats to submit to sexual demands. If you feel that you have observed or experienced any of the above, please report the issue to your manager, an executive officer, or the above-named Board Representative.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228" w:name="page229"/>
    <w:bookmarkEnd w:id="228"/>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XVI. IMPLEMENTATION OF THE CODE</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Acknowledgment of the Code</w:t>
      </w:r>
    </w:p>
    <w:p>
      <w:pPr>
        <w:spacing w:after="0" w:line="91" w:lineRule="exact"/>
        <w:rPr>
          <w:sz w:val="20"/>
          <w:szCs w:val="20"/>
          <w:color w:val="auto"/>
        </w:rPr>
      </w:pPr>
    </w:p>
    <w:p>
      <w:pPr>
        <w:jc w:val="both"/>
        <w:ind w:left="260" w:right="539"/>
        <w:spacing w:after="0" w:line="264" w:lineRule="auto"/>
        <w:rPr>
          <w:sz w:val="20"/>
          <w:szCs w:val="20"/>
          <w:color w:val="auto"/>
        </w:rPr>
      </w:pPr>
      <w:r>
        <w:rPr>
          <w:rFonts w:ascii="Times New Roman" w:cs="Times New Roman" w:eastAsia="Times New Roman" w:hAnsi="Times New Roman"/>
          <w:sz w:val="14"/>
          <w:szCs w:val="14"/>
          <w:color w:val="auto"/>
        </w:rPr>
        <w:t>As a condition of employment, officership and directorship of the Company, or continuation of such, as the case may be, all employees, officers and directors will be asked to review the Code of Business Conduct and Ethics and sign an Acknowledgement, which Acknowledgement shall state the following (or include language similar thereto):</w:t>
      </w:r>
    </w:p>
    <w:p>
      <w:pPr>
        <w:spacing w:after="0" w:line="134" w:lineRule="exact"/>
        <w:rPr>
          <w:sz w:val="20"/>
          <w:szCs w:val="20"/>
          <w:color w:val="auto"/>
        </w:rPr>
      </w:pPr>
    </w:p>
    <w:p>
      <w:pPr>
        <w:ind w:left="260" w:right="29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“I have received and read the Hadron Energy Code of Business Conduct and Ethics and agree to comply with its policies and requirements. I understand that the Code represents the current policies of Hadron Energy and that they may be modified at any time without prior notice. I have complied with all of the requirements of this Code, and neither I to date failed to meet any requirements contained therein, nor do I know of failures by others within the Company to meet the requirements. I will carry out my responsibilities in compliance with the Code.”</w:t>
      </w:r>
    </w:p>
    <w:p>
      <w:pPr>
        <w:spacing w:after="0" w:line="138" w:lineRule="exact"/>
        <w:rPr>
          <w:sz w:val="20"/>
          <w:szCs w:val="20"/>
          <w:color w:val="auto"/>
        </w:rPr>
      </w:pPr>
    </w:p>
    <w:p>
      <w:pPr>
        <w:ind w:left="260" w:right="979"/>
        <w:spacing w:after="0" w:line="279" w:lineRule="auto"/>
        <w:rPr>
          <w:sz w:val="20"/>
          <w:szCs w:val="20"/>
          <w:color w:val="auto"/>
        </w:rPr>
      </w:pPr>
      <w:r>
        <w:rPr>
          <w:rFonts w:ascii="Times New Roman" w:cs="Times New Roman" w:eastAsia="Times New Roman" w:hAnsi="Times New Roman"/>
          <w:sz w:val="14"/>
          <w:szCs w:val="14"/>
          <w:color w:val="auto"/>
        </w:rPr>
        <w:t>You should retain a copy of any Acknowledgement that you sign for your own files. The Company will also retain records or copies of such documentation.</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Compliance with the Code</w:t>
      </w:r>
    </w:p>
    <w:p>
      <w:pPr>
        <w:spacing w:after="0" w:line="91" w:lineRule="exact"/>
        <w:rPr>
          <w:sz w:val="20"/>
          <w:szCs w:val="20"/>
          <w:color w:val="auto"/>
        </w:rPr>
      </w:pPr>
    </w:p>
    <w:p>
      <w:pPr>
        <w:ind w:left="260" w:right="319"/>
        <w:spacing w:after="0" w:line="259" w:lineRule="auto"/>
        <w:rPr>
          <w:sz w:val="20"/>
          <w:szCs w:val="20"/>
          <w:color w:val="auto"/>
        </w:rPr>
      </w:pPr>
      <w:r>
        <w:rPr>
          <w:rFonts w:ascii="Times New Roman" w:cs="Times New Roman" w:eastAsia="Times New Roman" w:hAnsi="Times New Roman"/>
          <w:sz w:val="14"/>
          <w:szCs w:val="14"/>
          <w:color w:val="auto"/>
        </w:rPr>
        <w:t>Except as delegated by the Board of Directors to the Compliance Committee, the Board of Directors has retained the ultimate responsibility for overseeing compliance with all applicable laws, governmental regulations and policies, the Code and all other related Company policies and procedures and has appointed the above-named Board Representative to serve as the point person for communicating with the Board of Directors with regard to such compliance matters.</w:t>
      </w:r>
    </w:p>
    <w:p>
      <w:pPr>
        <w:spacing w:after="0" w:line="139" w:lineRule="exact"/>
        <w:rPr>
          <w:sz w:val="20"/>
          <w:szCs w:val="20"/>
          <w:color w:val="auto"/>
        </w:rPr>
      </w:pPr>
    </w:p>
    <w:p>
      <w:pPr>
        <w:ind w:left="260" w:right="379"/>
        <w:spacing w:after="0" w:line="254" w:lineRule="auto"/>
        <w:rPr>
          <w:sz w:val="20"/>
          <w:szCs w:val="20"/>
          <w:color w:val="auto"/>
        </w:rPr>
      </w:pPr>
      <w:r>
        <w:rPr>
          <w:rFonts w:ascii="Times New Roman" w:cs="Times New Roman" w:eastAsia="Times New Roman" w:hAnsi="Times New Roman"/>
          <w:sz w:val="14"/>
          <w:szCs w:val="14"/>
          <w:color w:val="auto"/>
        </w:rPr>
        <w:t>It is the responsibility of all employees, officers, and directors to comply with all applicable laws, regulations, governmental policies, the Code and the Company’s related policies and procedures. It is the responsibility of all Company supervisory personnel to monitor compliance with this Code. The Board of Directors will periodically review for compliance with the Company’s policies and procedures. In some cases, the Company will monitor compliance with the Code and the Company’s policies by audits, or otherwise ask you to certify that you are not aware of any violations of the Code. Any audit may be done at the direction of the Board of Directors, using Company personnel or legal counsel. You are required to cooperate fully with any such certification requests or audits and to provide truthful and accurate responses to any request.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Reporting Violations</w:t>
      </w:r>
    </w:p>
    <w:p>
      <w:pPr>
        <w:spacing w:after="0" w:line="91" w:lineRule="exact"/>
        <w:rPr>
          <w:sz w:val="20"/>
          <w:szCs w:val="20"/>
          <w:color w:val="auto"/>
        </w:rPr>
      </w:pPr>
    </w:p>
    <w:p>
      <w:pPr>
        <w:ind w:left="260" w:right="259"/>
        <w:spacing w:after="0" w:line="274" w:lineRule="auto"/>
        <w:rPr>
          <w:sz w:val="20"/>
          <w:szCs w:val="20"/>
          <w:color w:val="auto"/>
        </w:rPr>
      </w:pPr>
      <w:r>
        <w:rPr>
          <w:rFonts w:ascii="Times New Roman" w:cs="Times New Roman" w:eastAsia="Times New Roman" w:hAnsi="Times New Roman"/>
          <w:sz w:val="13"/>
          <w:szCs w:val="13"/>
          <w:color w:val="auto"/>
        </w:rPr>
        <w:t>In the event you believe that you have observed or have participated in any conduct or practices that you believe are unethical, inappropriate, or improper, you must immediately report the matter to your manager, an executive officer, or the above-named Board Representative. If you are involved in a violation of the Code, you must also report it immediately to your manager, an executive officer, or the above-named Board Representative. The fact that you reported the violation, together with the degree of cooperation displayed by you and whether the violation was willful or unintentional, will be given consideration by the Company in any resulting disciplinary action. Except as provided in the next paragraph, it is required that you give your identity when reporting suspected violations to allow the Company to contact you in the event further information is needed to pursue, or in connection with, an investigation. Reports of suspected violations of the Code must be in writing. A sufficiently detailed description of the factual basis for the report should be given in order to allow an appropriate investigation. Reports may be emailed to the above-named Board Representative at bryan.timm@hadronenergy.com; or by mail at: Attention: Bryan Timm, Director, 3 Twin Dolphin Drive, Ste 260, Redwood City, CA 94065.</w:t>
      </w:r>
    </w:p>
    <w:p>
      <w:pPr>
        <w:spacing w:after="0" w:line="132" w:lineRule="exact"/>
        <w:rPr>
          <w:sz w:val="20"/>
          <w:szCs w:val="20"/>
          <w:color w:val="auto"/>
        </w:rPr>
      </w:pPr>
    </w:p>
    <w:p>
      <w:pPr>
        <w:ind w:left="260" w:right="439"/>
        <w:spacing w:after="0" w:line="264" w:lineRule="auto"/>
        <w:rPr>
          <w:sz w:val="20"/>
          <w:szCs w:val="20"/>
          <w:color w:val="auto"/>
        </w:rPr>
      </w:pPr>
      <w:r>
        <w:rPr>
          <w:rFonts w:ascii="Times New Roman" w:cs="Times New Roman" w:eastAsia="Times New Roman" w:hAnsi="Times New Roman"/>
          <w:sz w:val="14"/>
          <w:szCs w:val="14"/>
          <w:color w:val="auto"/>
        </w:rPr>
        <w:t>Violations or concerns relating to accounting or auditing matters should be reported using the procedures set forth under the heading “Accounting and Financial Integrity, Fraud and Improper Payments.” Your identity will be maintained in confidence to the fullest extent practicable under the circumstances and in accordance with the Company’s legal obligations.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229" w:name="page230"/>
    <w:bookmarkEnd w:id="229"/>
    <w:p>
      <w:pPr>
        <w:ind w:left="260" w:right="2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person reporting a violation or suspected violation will be made to suffer public embarrassment or be subject to harassment or retaliation because of any good faith reporting. Any employee, officer or director of the Company who attempts or is responsible for reprisals against individuals, who in good faith report known or suspected violations, will be subject to disciplinary action. However, the submission of reports that are known to be false constitutes a violation of the Code and will result in stern disciplinary action.</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Investigations of Violations</w:t>
      </w:r>
    </w:p>
    <w:p>
      <w:pPr>
        <w:spacing w:after="0" w:line="91" w:lineRule="exact"/>
        <w:rPr>
          <w:sz w:val="20"/>
          <w:szCs w:val="20"/>
          <w:color w:val="auto"/>
        </w:rPr>
      </w:pPr>
    </w:p>
    <w:p>
      <w:pPr>
        <w:ind w:left="260" w:right="299"/>
        <w:spacing w:after="0" w:line="285" w:lineRule="auto"/>
        <w:rPr>
          <w:sz w:val="20"/>
          <w:szCs w:val="20"/>
          <w:color w:val="auto"/>
        </w:rPr>
      </w:pPr>
      <w:r>
        <w:rPr>
          <w:rFonts w:ascii="Times New Roman" w:cs="Times New Roman" w:eastAsia="Times New Roman" w:hAnsi="Times New Roman"/>
          <w:sz w:val="13"/>
          <w:szCs w:val="13"/>
          <w:color w:val="auto"/>
        </w:rPr>
        <w:t>All investigations will be coordinated by the Board Representative or the Audit Committee and, as necessary, with the Company’s legal counsel. Employees, officers, and directors are expected to fully cooperate in the investigation of any alleged violation of the Code or related Company policies or procedures. If the result of an investigation indicates that corrective action is required, the Company will decide what steps it should take to rectify the problem and avoid its recurrence. It is imperative that reporting employees, officers or directors do not conduct their own preliminary investigations.</w:t>
      </w:r>
    </w:p>
    <w:p>
      <w:pPr>
        <w:spacing w:after="0" w:line="124" w:lineRule="exact"/>
        <w:rPr>
          <w:sz w:val="20"/>
          <w:szCs w:val="20"/>
          <w:color w:val="auto"/>
        </w:rPr>
      </w:pPr>
    </w:p>
    <w:p>
      <w:pPr>
        <w:ind w:left="260" w:right="299"/>
        <w:spacing w:after="0" w:line="264" w:lineRule="auto"/>
        <w:rPr>
          <w:sz w:val="20"/>
          <w:szCs w:val="20"/>
          <w:color w:val="auto"/>
        </w:rPr>
      </w:pPr>
      <w:r>
        <w:rPr>
          <w:rFonts w:ascii="Times New Roman" w:cs="Times New Roman" w:eastAsia="Times New Roman" w:hAnsi="Times New Roman"/>
          <w:sz w:val="14"/>
          <w:szCs w:val="14"/>
          <w:color w:val="auto"/>
        </w:rPr>
        <w:t>Investigations of an alleged violation may involve complex legal issues. Acting on your own may compromise the integrity of an investigation and adversely affect both you and the Company. You should always be expected to participate in any investigation into a report made by you so that you can answer questions that may be relevant to the Company’s investigation into an alleged violation of the Code.</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Availability of the Code</w:t>
      </w:r>
    </w:p>
    <w:p>
      <w:pPr>
        <w:spacing w:after="0" w:line="91" w:lineRule="exact"/>
        <w:rPr>
          <w:sz w:val="20"/>
          <w:szCs w:val="20"/>
          <w:color w:val="auto"/>
        </w:rPr>
      </w:pPr>
    </w:p>
    <w:p>
      <w:pPr>
        <w:ind w:left="260" w:right="339"/>
        <w:spacing w:after="0" w:line="264" w:lineRule="auto"/>
        <w:rPr>
          <w:sz w:val="20"/>
          <w:szCs w:val="20"/>
          <w:color w:val="auto"/>
        </w:rPr>
      </w:pPr>
      <w:r>
        <w:rPr>
          <w:rFonts w:ascii="Times New Roman" w:cs="Times New Roman" w:eastAsia="Times New Roman" w:hAnsi="Times New Roman"/>
          <w:sz w:val="14"/>
          <w:szCs w:val="14"/>
          <w:color w:val="auto"/>
        </w:rPr>
        <w:t>All employees, officers and directors of the Company will receive a personal copy of this Code. If at any time you need an additional copy of the Code, please contact your manager, and that person will promptly provide you with another copy. In addition, a copy of this Code is available on the Company’s intranet and external websites, located at www.hadronenergy.com/.</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230" w:name="page231"/>
    <w:bookmarkEnd w:id="230"/>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7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List of Subsidiaries of the Registrant</w:t>
            </w:r>
          </w:p>
        </w:tc>
      </w:tr>
      <w:tr>
        <w:trPr>
          <w:trHeight w:val="312"/>
        </w:trPr>
        <w:tc>
          <w:tcPr>
            <w:tcW w:w="2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 of Company</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Incorporated</w:t>
            </w:r>
          </w:p>
        </w:tc>
      </w:tr>
      <w:tr>
        <w:trPr>
          <w:trHeight w:val="172"/>
        </w:trPr>
        <w:tc>
          <w:tcPr>
            <w:tcW w:w="20" w:type="dxa"/>
            <w:vAlign w:val="bottom"/>
          </w:tcPr>
          <w:p>
            <w:pPr>
              <w:spacing w:after="0"/>
              <w:rPr>
                <w:sz w:val="14"/>
                <w:szCs w:val="14"/>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Hadron Energy Operating Company, Inc.*</w:t>
            </w:r>
          </w:p>
        </w:tc>
        <w:tc>
          <w:tcPr>
            <w:tcW w:w="1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Delaware</w:t>
            </w:r>
          </w:p>
        </w:tc>
      </w:tr>
    </w:tbl>
    <w:p>
      <w:pPr>
        <w:spacing w:after="0" w:line="158" w:lineRule="exact"/>
        <w:rPr>
          <w:sz w:val="20"/>
          <w:szCs w:val="20"/>
          <w:color w:val="auto"/>
        </w:rPr>
      </w:pPr>
    </w:p>
    <w:p>
      <w:pPr>
        <w:ind w:left="580" w:hanging="330"/>
        <w:spacing w:after="0"/>
        <w:tabs>
          <w:tab w:leader="none" w:pos="5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owned subsidiary of Hadron Energy, Inc.</w:t>
      </w:r>
    </w:p>
    <w:p>
      <w:pPr>
        <w:sectPr>
          <w:pgSz w:w="11900" w:h="16838" w:orient="portrait"/>
          <w:cols w:equalWidth="0" w:num="1">
            <w:col w:w="9019"/>
          </w:cols>
          <w:pgMar w:left="1440" w:top="123" w:right="1440" w:bottom="1440" w:gutter="0" w:footer="0" w:header="0"/>
        </w:sectPr>
      </w:pPr>
    </w:p>
    <w:bookmarkStart w:id="231" w:name="page232"/>
    <w:bookmarkEnd w:id="231"/>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5" w:lineRule="exact"/>
        <w:rPr>
          <w:sz w:val="20"/>
          <w:szCs w:val="20"/>
          <w:color w:val="auto"/>
        </w:rPr>
      </w:pPr>
    </w:p>
    <w:p>
      <w:pPr>
        <w:ind w:left="260" w:right="439"/>
        <w:spacing w:after="0" w:line="264" w:lineRule="auto"/>
        <w:rPr>
          <w:sz w:val="20"/>
          <w:szCs w:val="20"/>
          <w:color w:val="auto"/>
        </w:rPr>
      </w:pPr>
      <w:r>
        <w:rPr>
          <w:rFonts w:ascii="Times New Roman" w:cs="Times New Roman" w:eastAsia="Times New Roman" w:hAnsi="Times New Roman"/>
          <w:sz w:val="14"/>
          <w:szCs w:val="14"/>
          <w:color w:val="auto"/>
        </w:rPr>
        <w:t>We hereby consent to the use in this Registration Statement on Form S-1 of Hadron Energy, Inc. of our report dated March 6, 2026, relating to the consolidated financial statements of GigCapital7 Corp., which appears in this Registration Statement. We also consent to the reference to us under the heading “Experts” in such Registration Statement.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BPM LLP</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June 12, 2026</w:t>
      </w:r>
    </w:p>
    <w:p>
      <w:pPr>
        <w:sectPr>
          <w:pgSz w:w="11900" w:h="16838" w:orient="portrait"/>
          <w:cols w:equalWidth="0" w:num="1">
            <w:col w:w="9019"/>
          </w:cols>
          <w:pgMar w:left="1440" w:top="123" w:right="1440" w:bottom="1440" w:gutter="0" w:footer="0" w:header="0"/>
        </w:sectPr>
      </w:pPr>
    </w:p>
    <w:bookmarkStart w:id="232" w:name="page233"/>
    <w:bookmarkEnd w:id="232"/>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5" w:lineRule="exact"/>
        <w:rPr>
          <w:sz w:val="20"/>
          <w:szCs w:val="20"/>
          <w:color w:val="auto"/>
        </w:rPr>
      </w:pPr>
    </w:p>
    <w:p>
      <w:pPr>
        <w:ind w:left="260" w:right="279"/>
        <w:spacing w:after="0" w:line="256" w:lineRule="auto"/>
        <w:rPr>
          <w:sz w:val="20"/>
          <w:szCs w:val="20"/>
          <w:color w:val="auto"/>
        </w:rPr>
      </w:pPr>
      <w:r>
        <w:rPr>
          <w:rFonts w:ascii="Times New Roman" w:cs="Times New Roman" w:eastAsia="Times New Roman" w:hAnsi="Times New Roman"/>
          <w:sz w:val="14"/>
          <w:szCs w:val="14"/>
          <w:color w:val="auto"/>
        </w:rPr>
        <w:t>We hereby consent to the use in the prospectus constituting a part of this Registration Statement on Form S-1 of our report dated March 11, 2026, which includes an explanatory paragraph relating to Hadron Energy Operating Company, Inc.’s (f/k/a Hadron Energy, Inc.) ability to continue as a going concern, relating to the financial statements of Hadron Energy Operating Company, Inc. (f/k/a Hadron Energy, Inc.) as of December 31, 2025 and 2024, and for the year ended December 31, 2025 and for the period from July 8, 2024 (inception) to December 31, 2024, which is contained in that prospectus. We also consent to the reference to us under the caption “Experts” in the prospectus.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June 12, 2026</w:t>
      </w:r>
    </w:p>
    <w:p>
      <w:pPr>
        <w:sectPr>
          <w:pgSz w:w="11900" w:h="16838" w:orient="portrait"/>
          <w:cols w:equalWidth="0" w:num="1">
            <w:col w:w="9019"/>
          </w:cols>
          <w:pgMar w:left="1440" w:top="123" w:right="1440" w:bottom="1440" w:gutter="0" w:footer="0" w:header="0"/>
        </w:sectPr>
      </w:pPr>
    </w:p>
    <w:bookmarkStart w:id="233" w:name="page234"/>
    <w:bookmarkEnd w:id="233"/>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AUDIT COMMITTEE CHARTER</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Mission Statement</w:t>
      </w:r>
    </w:p>
    <w:p>
      <w:pPr>
        <w:spacing w:after="0" w:line="91" w:lineRule="exact"/>
        <w:rPr>
          <w:sz w:val="20"/>
          <w:szCs w:val="20"/>
          <w:color w:val="auto"/>
        </w:rPr>
      </w:pPr>
    </w:p>
    <w:p>
      <w:pPr>
        <w:ind w:left="260" w:right="399" w:firstLine="340"/>
        <w:spacing w:after="0" w:line="280" w:lineRule="auto"/>
        <w:rPr>
          <w:sz w:val="20"/>
          <w:szCs w:val="20"/>
          <w:color w:val="auto"/>
        </w:rPr>
      </w:pPr>
      <w:r>
        <w:rPr>
          <w:rFonts w:ascii="Times New Roman" w:cs="Times New Roman" w:eastAsia="Times New Roman" w:hAnsi="Times New Roman"/>
          <w:sz w:val="13"/>
          <w:szCs w:val="13"/>
          <w:color w:val="auto"/>
        </w:rPr>
        <w:t>The Audit Committee (the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of Hadron Energy,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is appointed by the Board of Directors as a permanent committee to assist it in monitoring and overseeing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 and (5) the qualifications and independence of the Company’s independent registered public accounting firm.</w:t>
      </w:r>
    </w:p>
    <w:p>
      <w:pPr>
        <w:spacing w:after="0" w:line="129" w:lineRule="exact"/>
        <w:rPr>
          <w:sz w:val="20"/>
          <w:szCs w:val="20"/>
          <w:color w:val="auto"/>
        </w:rPr>
      </w:pPr>
    </w:p>
    <w:p>
      <w:pPr>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In particular, and without limiting the generality of the foregoing, the purpose of the Committee is to undertake the duties of an audit committee described in, and otherwise to assist the Company in complying with the requirements of the applicable rules of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the Financial Industry Regulatory Authority (“</w:t>
      </w: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 or of any securities exchange or trading facility to which the Company is or may become subject.</w:t>
      </w:r>
    </w:p>
    <w:p>
      <w:pPr>
        <w:spacing w:after="0" w:line="139" w:lineRule="exact"/>
        <w:rPr>
          <w:sz w:val="20"/>
          <w:szCs w:val="20"/>
          <w:color w:val="auto"/>
        </w:rPr>
      </w:pPr>
    </w:p>
    <w:p>
      <w:pPr>
        <w:ind w:left="260" w:right="279" w:firstLine="340"/>
        <w:spacing w:after="0" w:line="256" w:lineRule="auto"/>
        <w:rPr>
          <w:sz w:val="20"/>
          <w:szCs w:val="20"/>
          <w:color w:val="auto"/>
        </w:rPr>
      </w:pPr>
      <w:r>
        <w:rPr>
          <w:rFonts w:ascii="Times New Roman" w:cs="Times New Roman" w:eastAsia="Times New Roman" w:hAnsi="Times New Roman"/>
          <w:sz w:val="14"/>
          <w:szCs w:val="14"/>
          <w:color w:val="auto"/>
        </w:rPr>
        <w:t>In carrying out its functions, the Committee shall serve as an independent and objective monitor of the performance of the Company’s financial reporting processes and system of internal controls; review and assess the audit work of the Company’s independent registered public accounting firm and internal accounting and finance personnel; and facilitate open, ongoing communication among the independent registered public accounting firm, internal financial and accounting personnel, senior management, and the Board of Directors concerning the Company’s financial condition and results of operations and financial reporting practices.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Organization and Membership</w:t>
      </w:r>
    </w:p>
    <w:p>
      <w:pPr>
        <w:spacing w:after="0" w:line="91" w:lineRule="exact"/>
        <w:rPr>
          <w:sz w:val="20"/>
          <w:szCs w:val="20"/>
          <w:color w:val="auto"/>
        </w:rPr>
      </w:pPr>
    </w:p>
    <w:p>
      <w:pPr>
        <w:ind w:left="260" w:right="299" w:firstLine="340"/>
        <w:spacing w:after="0" w:line="264" w:lineRule="auto"/>
        <w:rPr>
          <w:sz w:val="20"/>
          <w:szCs w:val="20"/>
          <w:color w:val="auto"/>
        </w:rPr>
      </w:pPr>
      <w:r>
        <w:rPr>
          <w:rFonts w:ascii="Times New Roman" w:cs="Times New Roman" w:eastAsia="Times New Roman" w:hAnsi="Times New Roman"/>
          <w:sz w:val="14"/>
          <w:szCs w:val="14"/>
          <w:color w:val="auto"/>
        </w:rPr>
        <w:t>Each member of the Committee shall be appointed by the Board of Directors at its annual meeting, on the recommendation of the Nominating and Corporate Governance Committee, to serve at the pleasure of the Board of Directors until the next annual meeting of shareholders or until such Member’s replacement has been appointed. The Board of Directors will select the chair of the Committee (the “</w:t>
      </w:r>
      <w:r>
        <w:rPr>
          <w:rFonts w:ascii="Times New Roman" w:cs="Times New Roman" w:eastAsia="Times New Roman" w:hAnsi="Times New Roman"/>
          <w:sz w:val="14"/>
          <w:szCs w:val="14"/>
          <w:u w:val="single" w:color="auto"/>
          <w:color w:val="auto"/>
        </w:rPr>
        <w:t>Chair</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60" w:right="319" w:firstLine="340"/>
        <w:spacing w:after="0" w:line="252" w:lineRule="auto"/>
        <w:rPr>
          <w:sz w:val="20"/>
          <w:szCs w:val="20"/>
          <w:color w:val="auto"/>
        </w:rPr>
      </w:pPr>
      <w:r>
        <w:rPr>
          <w:rFonts w:ascii="Times New Roman" w:cs="Times New Roman" w:eastAsia="Times New Roman" w:hAnsi="Times New Roman"/>
          <w:sz w:val="14"/>
          <w:szCs w:val="14"/>
          <w:color w:val="auto"/>
        </w:rPr>
        <w:t>The Committee will be comprised of not less than three members of the Board of Directors (the “</w:t>
      </w:r>
      <w:r>
        <w:rPr>
          <w:rFonts w:ascii="Times New Roman" w:cs="Times New Roman" w:eastAsia="Times New Roman" w:hAnsi="Times New Roman"/>
          <w:sz w:val="14"/>
          <w:szCs w:val="14"/>
          <w:u w:val="single" w:color="auto"/>
          <w:color w:val="auto"/>
        </w:rPr>
        <w:t>Members</w:t>
      </w:r>
      <w:r>
        <w:rPr>
          <w:rFonts w:ascii="Times New Roman" w:cs="Times New Roman" w:eastAsia="Times New Roman" w:hAnsi="Times New Roman"/>
          <w:sz w:val="14"/>
          <w:szCs w:val="14"/>
          <w:color w:val="auto"/>
        </w:rPr>
        <w:t>”), each of whom shall qualify as an independent director pursuant to the independence requirements of the Sarbanes-Oxley Act of 2002 and as provided for under Rule 10A-3(b)(1) of the Exchange Act of 1934 (subject to the exemptions provided in Rule 10A-3(c)), as such requirements are interpreted by the Board of Directors in its business judgment and the Board of Directors shall annually review the Committee’s compliance with such requirements. The Members shall also satisfy the independence and experience requirements of The Nasdaq Stock Market LLC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provided that the Committee membership shall be subject to the exemptions afforded issuers under SEC and Nasdaq rules. Specifically, there shall be a maximum of one director who does not meet the independence criteria of Nasdaq, and who is not a current employee or officer, or an immediate family member of an employee or officer, may be appointed to the Committee, subject to the approval of the Board pursuant to, and subject to the limitations under, the “exceptional and limited circumstances” exceptions as provided under the rules of Nasdaq. In addition, the Committee shall not include any member who:</w:t>
      </w:r>
    </w:p>
    <w:p>
      <w:pPr>
        <w:spacing w:after="0" w:line="74" w:lineRule="exact"/>
        <w:rPr>
          <w:sz w:val="20"/>
          <w:szCs w:val="20"/>
          <w:color w:val="auto"/>
        </w:rPr>
      </w:pPr>
    </w:p>
    <w:p>
      <w:pPr>
        <w:ind w:left="1000" w:hanging="333"/>
        <w:spacing w:after="0"/>
        <w:tabs>
          <w:tab w:leader="none" w:pos="10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former partner or director of the Company’s existing auditing firm (i) if such position has been held within the prior 12 months, or</w:t>
      </w:r>
    </w:p>
    <w:p>
      <w:pPr>
        <w:spacing w:after="0" w:line="20" w:lineRule="exact"/>
        <w:rPr>
          <w:rFonts w:ascii="Times New Roman" w:cs="Times New Roman" w:eastAsia="Times New Roman" w:hAnsi="Times New Roman"/>
          <w:sz w:val="14"/>
          <w:szCs w:val="14"/>
          <w:color w:val="auto"/>
        </w:rPr>
      </w:pPr>
    </w:p>
    <w:p>
      <w:pPr>
        <w:ind w:left="1200" w:hanging="199"/>
        <w:spacing w:after="0"/>
        <w:tabs>
          <w:tab w:leader="none" w:pos="120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person has any financial interest in the auditing firm;</w:t>
      </w:r>
    </w:p>
    <w:p>
      <w:pPr>
        <w:spacing w:after="0" w:line="84"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participated in the preparation of the financial statements of the Company or any current subsidiary at any time during the past three</w:t>
      </w:r>
    </w:p>
    <w:p>
      <w:pPr>
        <w:spacing w:after="0" w:line="20" w:lineRule="exact"/>
        <w:rPr>
          <w:rFonts w:ascii="Times New Roman" w:cs="Times New Roman" w:eastAsia="Times New Roman" w:hAnsi="Times New Roman"/>
          <w:sz w:val="14"/>
          <w:szCs w:val="14"/>
          <w:color w:val="auto"/>
        </w:rPr>
      </w:pPr>
    </w:p>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years;</w:t>
      </w:r>
    </w:p>
    <w:p>
      <w:pPr>
        <w:spacing w:after="0" w:line="84" w:lineRule="exact"/>
        <w:rPr>
          <w:rFonts w:ascii="Times New Roman" w:cs="Times New Roman" w:eastAsia="Times New Roman" w:hAnsi="Times New Roman"/>
          <w:sz w:val="14"/>
          <w:szCs w:val="14"/>
          <w:color w:val="auto"/>
        </w:rPr>
      </w:pPr>
    </w:p>
    <w:p>
      <w:pPr>
        <w:ind w:left="1000" w:right="339" w:hanging="333"/>
        <w:spacing w:after="0" w:line="279" w:lineRule="auto"/>
        <w:tabs>
          <w:tab w:leader="none" w:pos="10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accepts any consulting, advisory or other compensatory fee, directly or indirectly, from the Company, other than in his or her capacity as a member of the Committee, the Board or any other committee of the Board; or</w:t>
      </w:r>
    </w:p>
    <w:p>
      <w:pPr>
        <w:spacing w:after="0" w:line="53" w:lineRule="exact"/>
        <w:rPr>
          <w:rFonts w:ascii="Times New Roman" w:cs="Times New Roman" w:eastAsia="Times New Roman" w:hAnsi="Times New Roman"/>
          <w:sz w:val="14"/>
          <w:szCs w:val="14"/>
          <w:color w:val="auto"/>
        </w:rPr>
      </w:pPr>
    </w:p>
    <w:p>
      <w:pPr>
        <w:ind w:left="1000" w:right="719" w:hanging="333"/>
        <w:spacing w:after="0" w:line="279" w:lineRule="auto"/>
        <w:tabs>
          <w:tab w:leader="none" w:pos="10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an affiliate of the Company or any subsidiary of the Company, other than a director who meets the independence requirements of Nasdaq.</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234" w:name="page235"/>
    <w:bookmarkEnd w:id="234"/>
    <w:p>
      <w:pPr>
        <w:ind w:left="260" w:right="339" w:firstLine="340"/>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Each Member must not have participated in the preparation of the financial statements of the Company or any current subsidiary of the Company at any time during the past three years. Each Member must be able to read and understand fundamental financial statements, including the Company’s balance sheet, income statement, and cash flow statement. At least one Member must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Meetings</w:t>
      </w:r>
    </w:p>
    <w:p>
      <w:pPr>
        <w:spacing w:after="0" w:line="91" w:lineRule="exact"/>
        <w:rPr>
          <w:sz w:val="20"/>
          <w:szCs w:val="20"/>
          <w:color w:val="auto"/>
        </w:rPr>
      </w:pPr>
    </w:p>
    <w:p>
      <w:pPr>
        <w:ind w:left="260" w:right="479" w:firstLine="340"/>
        <w:spacing w:after="0" w:line="264" w:lineRule="auto"/>
        <w:rPr>
          <w:sz w:val="20"/>
          <w:szCs w:val="20"/>
          <w:color w:val="auto"/>
        </w:rPr>
      </w:pPr>
      <w:r>
        <w:rPr>
          <w:rFonts w:ascii="Times New Roman" w:cs="Times New Roman" w:eastAsia="Times New Roman" w:hAnsi="Times New Roman"/>
          <w:sz w:val="14"/>
          <w:szCs w:val="14"/>
          <w:color w:val="auto"/>
        </w:rPr>
        <w:t>In addition to meetings described in the following section, the Committee shall meet at least four times annually in conjunction with each quarterly review and annual audit of the Company’s financial statements, which meetings shall be prior to the quarterly and annual earnings releases. Committee meetings may be held at such other times as the Members or the Chair may deem necessary or appropriate.</w:t>
      </w:r>
    </w:p>
    <w:p>
      <w:pPr>
        <w:spacing w:after="0" w:line="136" w:lineRule="exact"/>
        <w:rPr>
          <w:sz w:val="20"/>
          <w:szCs w:val="20"/>
          <w:color w:val="auto"/>
        </w:rPr>
      </w:pPr>
    </w:p>
    <w:p>
      <w:pPr>
        <w:ind w:left="260" w:right="279" w:firstLine="340"/>
        <w:spacing w:after="0" w:line="259" w:lineRule="auto"/>
        <w:rPr>
          <w:sz w:val="20"/>
          <w:szCs w:val="20"/>
          <w:color w:val="auto"/>
        </w:rPr>
      </w:pPr>
      <w:r>
        <w:rPr>
          <w:rFonts w:ascii="Times New Roman" w:cs="Times New Roman" w:eastAsia="Times New Roman" w:hAnsi="Times New Roman"/>
          <w:sz w:val="14"/>
          <w:szCs w:val="14"/>
          <w:color w:val="auto"/>
        </w:rPr>
        <w:t>Committee meetings may be held in person or, at the option of the Chair, by conference telephone call. If any Member expects to participate in a Committee meeting by conference telephone call he or she shall so advise the Chair and, whenever reasonably possible, such Member shall be furnished with copies of financial statements, reports or other documents that will be discussed at the meeting so as to permit such Member to fully engage in the discussions as if such Member had attended the meeting in person.</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Responsibilities of the Committee</w:t>
      </w:r>
    </w:p>
    <w:p>
      <w:pPr>
        <w:spacing w:after="0" w:line="91" w:lineRule="exact"/>
        <w:rPr>
          <w:sz w:val="20"/>
          <w:szCs w:val="20"/>
          <w:color w:val="auto"/>
        </w:rPr>
      </w:pPr>
    </w:p>
    <w:p>
      <w:pPr>
        <w:ind w:left="260" w:right="279" w:firstLine="340"/>
        <w:spacing w:after="0" w:line="256" w:lineRule="auto"/>
        <w:rPr>
          <w:sz w:val="20"/>
          <w:szCs w:val="20"/>
          <w:color w:val="auto"/>
        </w:rPr>
      </w:pPr>
      <w:r>
        <w:rPr>
          <w:rFonts w:ascii="Times New Roman" w:cs="Times New Roman" w:eastAsia="Times New Roman" w:hAnsi="Times New Roman"/>
          <w:sz w:val="14"/>
          <w:szCs w:val="14"/>
          <w:color w:val="auto"/>
        </w:rPr>
        <w:t>The functions set forth below shall be the common recurring activities of the Committee in carrying out its oversight responsibilities. In particular, and without limiting the generality of the foregoing, the Committee shall undertake the responsibilities and duties prescribed by the regulatory body of any national securities exchange on which the Company’s securities are traded, the Commission or other regulatory bodies having jurisdiction over the financial affairs of the Company. The functions set forth below shall be deemed to include such responsibilities and duties, as they may be promulgated from time to time, as if they were specifically listed below.</w:t>
      </w:r>
    </w:p>
    <w:p>
      <w:pPr>
        <w:spacing w:after="0" w:line="142" w:lineRule="exact"/>
        <w:rPr>
          <w:sz w:val="20"/>
          <w:szCs w:val="20"/>
          <w:color w:val="auto"/>
        </w:rPr>
      </w:pPr>
    </w:p>
    <w:p>
      <w:pPr>
        <w:ind w:left="260" w:right="279" w:firstLine="340"/>
        <w:spacing w:after="0" w:line="251" w:lineRule="auto"/>
        <w:rPr>
          <w:sz w:val="20"/>
          <w:szCs w:val="20"/>
          <w:color w:val="auto"/>
        </w:rPr>
      </w:pPr>
      <w:r>
        <w:rPr>
          <w:rFonts w:ascii="Times New Roman" w:cs="Times New Roman" w:eastAsia="Times New Roman" w:hAnsi="Times New Roman"/>
          <w:sz w:val="14"/>
          <w:szCs w:val="14"/>
          <w:color w:val="auto"/>
        </w:rPr>
        <w:t>The Committee’s responsibility is oversight, and it recognizes that the Company’s management is responsible for preparing the Company’s financial statements. While the Committee has the responsibilities and powers set forth in this Charter, it is not the duty of the Committee to plan or conduct audits or to determine that the Company’s financial statements are complete and accurate and are in accordance with generally accepted accounting principles or to assure compliance with laws, regulations or any internal rules or policies of the Company. The independent auditor is responsible for planning and conducting audits to determine whether the financial statements present fairly in all material respects the financial position of the Company. The Committee has direct and sole responsibility for the appointment, compensation, oversight and replacement, if necessary, of the independent registered public accounting firm, including the resolution of disagreements between management and such firm regarding financial reporting. Each Member of the Committee shall be entitled to rely on (i) the integrity of those persons and organizations within and outside the Company that it receives information from and (ii) the accuracy of the financial and other information provided to the Committee by such persons or organizations absent actual knowledge to the contrary (which shall be promptly reported to the Board of Directors). The Committee has the authority to retain legal, accounting or other experts that it determines to be necessary to carry out its duties. It also has authority to determine compensation for such advisors, as well as for the independent auditor and to determine appropriate funding needs for ordinary administrative expenses that are necessary or appropriate in carrying out the Committee’s duties. The Company must provide for appropriate funding, as determined by the Committee for the payment of reasonable fees to any such consultant, legal counsel or other adviser retained by the Committee.</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1. Duties and Proceedings of the Audit Committee</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Committee shall assist the Board of Directors in fulfilling its oversight responsibilities by accomplishing the following: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235" w:name="page236"/>
    <w:bookmarkEnd w:id="235"/>
    <w:p>
      <w:pPr>
        <w:ind w:left="260"/>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Oversight of Independent Auditor</w:t>
      </w:r>
    </w:p>
    <w:p>
      <w:pPr>
        <w:spacing w:after="0" w:line="100" w:lineRule="exact"/>
        <w:rPr>
          <w:sz w:val="20"/>
          <w:szCs w:val="20"/>
          <w:color w:val="auto"/>
        </w:rPr>
      </w:pPr>
    </w:p>
    <w:p>
      <w:pPr>
        <w:ind w:left="1000" w:right="359" w:hanging="333"/>
        <w:spacing w:after="0" w:line="264" w:lineRule="auto"/>
        <w:tabs>
          <w:tab w:leader="none" w:pos="10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evaluate, determine the selection and compensation of, and if necessary, determine the replacement of or rotation of, the independent registered public accounting firm, pursuant to clear policies for audit partner rotation established by the Committee to ensure compliance with applicable laws and regulations.</w:t>
      </w:r>
    </w:p>
    <w:p>
      <w:pPr>
        <w:spacing w:after="0" w:line="63" w:lineRule="exact"/>
        <w:rPr>
          <w:rFonts w:ascii="Times New Roman" w:cs="Times New Roman" w:eastAsia="Times New Roman" w:hAnsi="Times New Roman"/>
          <w:sz w:val="14"/>
          <w:szCs w:val="14"/>
          <w:color w:val="auto"/>
        </w:rPr>
      </w:pPr>
    </w:p>
    <w:p>
      <w:pPr>
        <w:ind w:left="1000" w:right="259" w:hanging="333"/>
        <w:spacing w:after="0" w:line="264" w:lineRule="auto"/>
        <w:tabs>
          <w:tab w:leader="none" w:pos="10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Pre-approve all auditing services (including comfort letters and statutory audits) and all permitted non-audit services by the independent registered public accounting firm or any other registered public accounting firm engaged by the Company pursuant to pre-approval policies and procedures established by the Committee.</w:t>
      </w:r>
    </w:p>
    <w:p>
      <w:pPr>
        <w:spacing w:after="0" w:line="63" w:lineRule="exact"/>
        <w:rPr>
          <w:rFonts w:ascii="Times New Roman" w:cs="Times New Roman" w:eastAsia="Times New Roman" w:hAnsi="Times New Roman"/>
          <w:sz w:val="14"/>
          <w:szCs w:val="14"/>
          <w:color w:val="auto"/>
        </w:rPr>
      </w:pPr>
    </w:p>
    <w:p>
      <w:pPr>
        <w:ind w:left="1000" w:right="439" w:hanging="333"/>
        <w:spacing w:after="0" w:line="254" w:lineRule="auto"/>
        <w:tabs>
          <w:tab w:leader="none" w:pos="10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formal written statements, at least annually, from the independent registered public accounting firm regarding the auditor’s independence, including a delineation of all relationships between the auditor and the Company; discuss with the independent registered public accounting firm any disclosed relationships or services that may impact the objectivity and independence of the independent registered public accounting firm, addressing at least the matters set forth in Independence Standards Board Standard No. 1; and if so determined by the Committee, recommend that the Board of Directors take appropriate action to satisfy itself of the independence of the registered public accounting firm.</w:t>
      </w:r>
    </w:p>
    <w:p>
      <w:pPr>
        <w:spacing w:after="0" w:line="72" w:lineRule="exact"/>
        <w:rPr>
          <w:rFonts w:ascii="Times New Roman" w:cs="Times New Roman" w:eastAsia="Times New Roman" w:hAnsi="Times New Roman"/>
          <w:sz w:val="14"/>
          <w:szCs w:val="14"/>
          <w:color w:val="auto"/>
        </w:rPr>
      </w:pPr>
    </w:p>
    <w:p>
      <w:pPr>
        <w:ind w:left="1000" w:right="299" w:hanging="333"/>
        <w:spacing w:after="0" w:line="264" w:lineRule="auto"/>
        <w:tabs>
          <w:tab w:leader="none" w:pos="10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annually, receive a report, orally or in writing, from the independent auditor detailing the firm’s internal quality control procedures and any material issues raised by the independent registered public accounting firm’s quality control review, peer review or any governmental or other professional inquiry performed within the past five years and any remedial actions implemented by the firm.</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Oversight of Audit Process and Company’s Regulatory Compliance</w:t>
      </w:r>
    </w:p>
    <w:p>
      <w:pPr>
        <w:spacing w:after="0" w:line="100" w:lineRule="exact"/>
        <w:rPr>
          <w:sz w:val="20"/>
          <w:szCs w:val="20"/>
          <w:color w:val="auto"/>
        </w:rPr>
      </w:pPr>
    </w:p>
    <w:p>
      <w:pPr>
        <w:ind w:left="1000" w:right="679" w:hanging="333"/>
        <w:spacing w:after="0" w:line="279" w:lineRule="auto"/>
        <w:tabs>
          <w:tab w:leader="none" w:pos="10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each of the internal and independent registered public accounting firm the overall scope and plans for audits, including authority and organizational reporting lines and adequacy of staffing and compensation.</w:t>
      </w:r>
    </w:p>
    <w:p>
      <w:pPr>
        <w:spacing w:after="0" w:line="53" w:lineRule="exact"/>
        <w:rPr>
          <w:rFonts w:ascii="Times New Roman" w:cs="Times New Roman" w:eastAsia="Times New Roman" w:hAnsi="Times New Roman"/>
          <w:sz w:val="14"/>
          <w:szCs w:val="14"/>
          <w:color w:val="auto"/>
        </w:rPr>
      </w:pPr>
    </w:p>
    <w:p>
      <w:pPr>
        <w:ind w:left="1000" w:right="299" w:hanging="333"/>
        <w:spacing w:after="0" w:line="264" w:lineRule="auto"/>
        <w:tabs>
          <w:tab w:leader="none" w:pos="10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internal auditors the Company’s system of internal control and discuss with the independent registered public accounting firm any significant matters regarding internal controls over financial reporting that have come to its attention during the conduct of its audit.</w:t>
      </w:r>
    </w:p>
    <w:p>
      <w:pPr>
        <w:spacing w:after="0" w:line="63" w:lineRule="exact"/>
        <w:rPr>
          <w:rFonts w:ascii="Times New Roman" w:cs="Times New Roman" w:eastAsia="Times New Roman" w:hAnsi="Times New Roman"/>
          <w:sz w:val="14"/>
          <w:szCs w:val="14"/>
          <w:color w:val="auto"/>
        </w:rPr>
      </w:pPr>
    </w:p>
    <w:p>
      <w:pPr>
        <w:ind w:left="1000" w:right="459" w:hanging="333"/>
        <w:spacing w:after="0" w:line="279" w:lineRule="auto"/>
        <w:tabs>
          <w:tab w:leader="none" w:pos="10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internal auditors and independent registered public accounting firm the Company’s financial and critical accounting practices, and policies relating to risk assessment and management.</w:t>
      </w:r>
    </w:p>
    <w:p>
      <w:pPr>
        <w:spacing w:after="0" w:line="53" w:lineRule="exact"/>
        <w:rPr>
          <w:rFonts w:ascii="Times New Roman" w:cs="Times New Roman" w:eastAsia="Times New Roman" w:hAnsi="Times New Roman"/>
          <w:sz w:val="14"/>
          <w:szCs w:val="14"/>
          <w:color w:val="auto"/>
        </w:rPr>
      </w:pPr>
    </w:p>
    <w:p>
      <w:pPr>
        <w:ind w:left="1000" w:right="279" w:hanging="333"/>
        <w:spacing w:after="0" w:line="254" w:lineRule="auto"/>
        <w:tabs>
          <w:tab w:leader="none" w:pos="10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and review reports of the independent registered public accounting firm discussing 1) all critical accounting policies and practices to be used in the firm’s audit of the Company’s financial statements, 2) all alternative treatments of financial information within generally accepted accounting principles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72" w:lineRule="exact"/>
        <w:rPr>
          <w:rFonts w:ascii="Times New Roman" w:cs="Times New Roman" w:eastAsia="Times New Roman" w:hAnsi="Times New Roman"/>
          <w:sz w:val="14"/>
          <w:szCs w:val="14"/>
          <w:color w:val="auto"/>
        </w:rPr>
      </w:pPr>
    </w:p>
    <w:p>
      <w:pPr>
        <w:ind w:left="1000" w:right="339" w:hanging="333"/>
        <w:spacing w:after="0" w:line="275" w:lineRule="auto"/>
        <w:tabs>
          <w:tab w:leader="none" w:pos="100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discuss with management and the independent registered public accounting firm the annual and quarterly financial statements and MD&amp;A of the Company prior to the filing of the Company’s Annual Report on Form 10-K and Quarterly Reports on Form 10-Q. Discuss results of the annual audit and quarterly review and any other matters required to be communicated to the committee by the independent registered public accounting firm under generally accepted auditing standards. Discuss with management and independent registered public accounting firm their judgment about the quality of accounting principles, the reasonableness of significant judgments, including a description of any transactions as to which the management obtained Statement on Auditing Standards No. 50 letters, and the clarity of disclosures in the financial statements, including the Company’s disclosures of critical accounting policies and other disclosures under “Management’s Discussion and Analysis of Financial Conditions and Results of Operations.”</w:t>
      </w:r>
    </w:p>
    <w:p>
      <w:pPr>
        <w:spacing w:after="0" w:line="58" w:lineRule="exact"/>
        <w:rPr>
          <w:rFonts w:ascii="Times New Roman" w:cs="Times New Roman" w:eastAsia="Times New Roman" w:hAnsi="Times New Roman"/>
          <w:sz w:val="13"/>
          <w:szCs w:val="13"/>
          <w:color w:val="auto"/>
        </w:rPr>
      </w:pPr>
    </w:p>
    <w:p>
      <w:pPr>
        <w:ind w:left="1000" w:right="279" w:hanging="333"/>
        <w:spacing w:after="0" w:line="279" w:lineRule="auto"/>
        <w:tabs>
          <w:tab w:leader="none" w:pos="10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or establish standards for the type of information and the type of presentation of such information to be included in, earnings press releases and earnings guidance provided to analysts and rating agencies.</w:t>
      </w:r>
    </w:p>
    <w:p>
      <w:pPr>
        <w:spacing w:after="0" w:line="53" w:lineRule="exact"/>
        <w:rPr>
          <w:rFonts w:ascii="Times New Roman" w:cs="Times New Roman" w:eastAsia="Times New Roman" w:hAnsi="Times New Roman"/>
          <w:sz w:val="14"/>
          <w:szCs w:val="14"/>
          <w:color w:val="auto"/>
        </w:rPr>
      </w:pPr>
    </w:p>
    <w:p>
      <w:pPr>
        <w:ind w:left="1000" w:right="319" w:hanging="333"/>
        <w:spacing w:after="0" w:line="279" w:lineRule="auto"/>
        <w:tabs>
          <w:tab w:leader="none" w:pos="10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with management and independent registered public accounting firm any changes in Company’s critical accounting principles and the effects of alternative GAAP methods, off-balance sheet structures and regulatory and accounting initiatives.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236" w:name="page237"/>
    <w:bookmarkEnd w:id="236"/>
    <w:p>
      <w:pPr>
        <w:ind w:left="1000" w:hanging="333"/>
        <w:spacing w:after="0"/>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Review material pending legal proceedings involving the Company and other contingent liabilities.</w:t>
      </w:r>
    </w:p>
    <w:p>
      <w:pPr>
        <w:spacing w:after="0" w:line="99" w:lineRule="exact"/>
        <w:rPr>
          <w:rFonts w:ascii="Times New Roman" w:cs="Times New Roman" w:eastAsia="Times New Roman" w:hAnsi="Times New Roman"/>
          <w:sz w:val="14"/>
          <w:szCs w:val="14"/>
          <w:color w:val="auto"/>
        </w:rPr>
      </w:pPr>
    </w:p>
    <w:p>
      <w:pPr>
        <w:ind w:left="1000" w:right="299" w:hanging="333"/>
        <w:spacing w:after="0" w:line="256" w:lineRule="auto"/>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periodically, with the CEO, CFO, the senior internal auditing executive and the independent registered public accounting firm in separate executive sessions to discuss results of examinations. In connection with and prior to giving their required certifications, the CEO and CFO must disclose to the auditors and the Committee all significant deficiencies and material weaknesses in the design or operation of internal controls, and any fraud that involves management or other employees who have a significant role in the company’s internal controls.</w:t>
      </w:r>
    </w:p>
    <w:p>
      <w:pPr>
        <w:spacing w:after="0" w:line="69" w:lineRule="exact"/>
        <w:rPr>
          <w:rFonts w:ascii="Times New Roman" w:cs="Times New Roman" w:eastAsia="Times New Roman" w:hAnsi="Times New Roman"/>
          <w:sz w:val="14"/>
          <w:szCs w:val="14"/>
          <w:color w:val="auto"/>
        </w:rPr>
      </w:pPr>
    </w:p>
    <w:p>
      <w:pPr>
        <w:ind w:left="1000" w:right="459" w:hanging="333"/>
        <w:spacing w:after="0" w:line="279" w:lineRule="auto"/>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with independent registered public accounting firm the matters required to be communicated to audit committees in accordance with Statement on Auditing Standards No. 114.</w:t>
      </w:r>
    </w:p>
    <w:p>
      <w:pPr>
        <w:spacing w:after="0" w:line="53" w:lineRule="exact"/>
        <w:rPr>
          <w:rFonts w:ascii="Times New Roman" w:cs="Times New Roman" w:eastAsia="Times New Roman" w:hAnsi="Times New Roman"/>
          <w:sz w:val="14"/>
          <w:szCs w:val="14"/>
          <w:color w:val="auto"/>
        </w:rPr>
      </w:pPr>
    </w:p>
    <w:p>
      <w:pPr>
        <w:ind w:left="1000" w:right="399" w:hanging="333"/>
        <w:spacing w:after="0" w:line="264" w:lineRule="auto"/>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spacing w:after="0" w:line="63" w:lineRule="exact"/>
        <w:rPr>
          <w:rFonts w:ascii="Times New Roman" w:cs="Times New Roman" w:eastAsia="Times New Roman" w:hAnsi="Times New Roman"/>
          <w:sz w:val="14"/>
          <w:szCs w:val="14"/>
          <w:color w:val="auto"/>
        </w:rPr>
      </w:pPr>
    </w:p>
    <w:p>
      <w:pPr>
        <w:ind w:left="1000" w:right="519" w:hanging="333"/>
        <w:spacing w:after="0" w:line="256" w:lineRule="auto"/>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periodically with the Company’s management, independent auditors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w:t>
      </w:r>
    </w:p>
    <w:p>
      <w:pPr>
        <w:spacing w:after="0" w:line="6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policies for the hiring of employees and former employees of the independent registered public accounting firm.</w:t>
      </w:r>
    </w:p>
    <w:p>
      <w:pPr>
        <w:spacing w:after="0" w:line="254" w:lineRule="exact"/>
        <w:rPr>
          <w:rFonts w:ascii="Times New Roman" w:cs="Times New Roman" w:eastAsia="Times New Roman" w:hAnsi="Times New Roman"/>
          <w:sz w:val="14"/>
          <w:szCs w:val="14"/>
          <w:color w:val="auto"/>
        </w:rPr>
      </w:pPr>
    </w:p>
    <w:p>
      <w:pPr>
        <w:ind w:left="380" w:hanging="130"/>
        <w:spacing w:after="0"/>
        <w:tabs>
          <w:tab w:leader="none" w:pos="380"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Responsibilities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In addition to the foregoing, the Audit Committee shall:</w:t>
      </w:r>
    </w:p>
    <w:p>
      <w:pPr>
        <w:spacing w:after="0" w:line="100" w:lineRule="exact"/>
        <w:rPr>
          <w:sz w:val="20"/>
          <w:szCs w:val="20"/>
          <w:color w:val="auto"/>
        </w:rPr>
      </w:pPr>
    </w:p>
    <w:p>
      <w:pPr>
        <w:ind w:left="1000" w:hanging="333"/>
        <w:spacing w:after="0"/>
        <w:tabs>
          <w:tab w:leader="none" w:pos="10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adequacy of this audit committee charter annually and submit charter to Board of Directors for approval.</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Prepare report for inclusion in the Company’s annual proxy statement as required by the rules of the Securities and Exchange Commission.</w:t>
      </w:r>
    </w:p>
    <w:p>
      <w:pPr>
        <w:spacing w:after="0" w:line="111" w:lineRule="exact"/>
        <w:rPr>
          <w:rFonts w:ascii="Times New Roman" w:cs="Times New Roman" w:eastAsia="Times New Roman" w:hAnsi="Times New Roman"/>
          <w:sz w:val="13"/>
          <w:szCs w:val="13"/>
          <w:color w:val="auto"/>
        </w:rPr>
      </w:pPr>
    </w:p>
    <w:p>
      <w:pPr>
        <w:ind w:left="1000" w:hanging="333"/>
        <w:spacing w:after="0"/>
        <w:tabs>
          <w:tab w:leader="none" w:pos="10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Put in place an appropriate control process for reviewing and approving Company’s internal transactions and accounting.</w:t>
      </w:r>
    </w:p>
    <w:p>
      <w:pPr>
        <w:spacing w:after="0" w:line="99" w:lineRule="exact"/>
        <w:rPr>
          <w:rFonts w:ascii="Times New Roman" w:cs="Times New Roman" w:eastAsia="Times New Roman" w:hAnsi="Times New Roman"/>
          <w:sz w:val="14"/>
          <w:szCs w:val="14"/>
          <w:color w:val="auto"/>
        </w:rPr>
      </w:pPr>
    </w:p>
    <w:p>
      <w:pPr>
        <w:ind w:left="1000" w:right="719" w:hanging="333"/>
        <w:spacing w:after="0" w:line="279" w:lineRule="auto"/>
        <w:tabs>
          <w:tab w:leader="none" w:pos="10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all transactions between the Company and related parties or affiliates of the officers of the Company requiring disclosure under Item 404 of Regulation S-K prior to the Company entering into such transactions.</w:t>
      </w:r>
    </w:p>
    <w:p>
      <w:pPr>
        <w:spacing w:after="0" w:line="53" w:lineRule="exact"/>
        <w:rPr>
          <w:rFonts w:ascii="Times New Roman" w:cs="Times New Roman" w:eastAsia="Times New Roman" w:hAnsi="Times New Roman"/>
          <w:sz w:val="14"/>
          <w:szCs w:val="14"/>
          <w:color w:val="auto"/>
        </w:rPr>
      </w:pPr>
    </w:p>
    <w:p>
      <w:pPr>
        <w:ind w:left="1000" w:right="279" w:hanging="333"/>
        <w:spacing w:after="0" w:line="254" w:lineRule="auto"/>
        <w:tabs>
          <w:tab w:leader="none" w:pos="10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consultation with the Nominating and Corporate Governance Committee, maintain a Code of Conduct applicable to all employees and directors of the Company, which meets the requirements of Item 406 of the SEC’s Regulation S-K and the rules of Nasdaq, and provide for and review prompt disclosure to the public of any change in, or waiver of, such Code of Conduct. Review such Code of Conduct periodically and recommend such changes to such Code of Conduct as the Committee, together with the Nominating and Corporate Governance Committee, shall deem appropriate, and adopt procedures for monitoring and enforcing compliance with such Code of Conduct.</w:t>
      </w:r>
    </w:p>
    <w:p>
      <w:pPr>
        <w:spacing w:after="0" w:line="72" w:lineRule="exact"/>
        <w:rPr>
          <w:rFonts w:ascii="Times New Roman" w:cs="Times New Roman" w:eastAsia="Times New Roman" w:hAnsi="Times New Roman"/>
          <w:sz w:val="14"/>
          <w:szCs w:val="14"/>
          <w:color w:val="auto"/>
        </w:rPr>
      </w:pPr>
    </w:p>
    <w:p>
      <w:pPr>
        <w:ind w:left="1000" w:right="519" w:hanging="333"/>
        <w:spacing w:after="0" w:line="279" w:lineRule="auto"/>
        <w:tabs>
          <w:tab w:leader="none" w:pos="10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recommendations to the Board on a regular basis and present to the Board of Directors an annual performance evaluation of the Committee.</w:t>
      </w:r>
    </w:p>
    <w:p>
      <w:pPr>
        <w:spacing w:after="0" w:line="53" w:lineRule="exact"/>
        <w:rPr>
          <w:rFonts w:ascii="Times New Roman" w:cs="Times New Roman" w:eastAsia="Times New Roman" w:hAnsi="Times New Roman"/>
          <w:sz w:val="14"/>
          <w:szCs w:val="14"/>
          <w:color w:val="auto"/>
        </w:rPr>
      </w:pPr>
    </w:p>
    <w:p>
      <w:pPr>
        <w:ind w:left="1000" w:right="299" w:hanging="333"/>
        <w:spacing w:after="0" w:line="279" w:lineRule="auto"/>
        <w:tabs>
          <w:tab w:leader="none" w:pos="10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any other activities consistent with the Charter, Bylaws and governing law as the Board of Directors or the Audit Committee shall deem appropriate, including holding meetings with the Company’s investment bankers and financial analysts.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Effectiveness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Adopted by the Board of Directors on May 22, 2026.</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237" w:name="page238"/>
    <w:bookmarkEnd w:id="237"/>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COMMITTEE CHARTER</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Role</w:t>
      </w:r>
    </w:p>
    <w:p>
      <w:pPr>
        <w:spacing w:after="0" w:line="91" w:lineRule="exact"/>
        <w:rPr>
          <w:sz w:val="20"/>
          <w:szCs w:val="20"/>
          <w:color w:val="auto"/>
        </w:rPr>
      </w:pPr>
    </w:p>
    <w:p>
      <w:pPr>
        <w:jc w:val="both"/>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The role of the Compensation Committee (the “</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is to discharge the responsibilities of the Board of Directors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of Hadron Energy,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relating to compensation of the Company’s executives, to issue an annual report on executive compensation for inclusion in the Company’s proxy statement, and to oversee and advise the Board on the adoption of policies that govern the Company’s compensation programs, including stock and benefit plans.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Membership</w:t>
      </w:r>
    </w:p>
    <w:p>
      <w:pPr>
        <w:spacing w:after="0" w:line="91" w:lineRule="exact"/>
        <w:rPr>
          <w:sz w:val="20"/>
          <w:szCs w:val="20"/>
          <w:color w:val="auto"/>
        </w:rPr>
      </w:pPr>
    </w:p>
    <w:p>
      <w:pPr>
        <w:ind w:left="260" w:right="319" w:firstLine="340"/>
        <w:spacing w:after="0" w:line="275" w:lineRule="auto"/>
        <w:rPr>
          <w:sz w:val="20"/>
          <w:szCs w:val="20"/>
          <w:color w:val="auto"/>
        </w:rPr>
      </w:pPr>
      <w:r>
        <w:rPr>
          <w:rFonts w:ascii="Times New Roman" w:cs="Times New Roman" w:eastAsia="Times New Roman" w:hAnsi="Times New Roman"/>
          <w:sz w:val="13"/>
          <w:szCs w:val="13"/>
          <w:color w:val="auto"/>
        </w:rPr>
        <w:t>The membership of the Committee consists of at least three directors, each of whom is to be free of any relationship that, in the opinion of the Board and in accordance with the Nasdaq Stock Market LLC (the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listing standards, would interfere with his or her exercise of independent judgment. The Board shall affirmatively determine the independence of all Committee members in accordance with the Nasdaq listing standards, considering all factors specifically relevant to determining whether a director has any relationship to the Company that is material to that Director’s ability to be independent from management in connection with the duties of a Committee member, including, but not limited to, the source of the director’s compensation, including any consulting, advisory or other compensatory fee paid to such director by the Company, and the director’s affiliation with the Company, or a subsidiary or affiliate thereof. Each member of the Committee shall be a “non-employee director” within the meaning of Rule 16b-3 under the Securities Exchange Act of 1934. All members shall be elected annually by the Board. The Board shall appoint a chairperson.</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91" w:lineRule="exact"/>
        <w:rPr>
          <w:sz w:val="20"/>
          <w:szCs w:val="20"/>
          <w:color w:val="auto"/>
        </w:rPr>
      </w:pPr>
    </w:p>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t>The Committee will normally meet two times per year, or on a more or less frequent basis as necessary to carry out its responsibilities. The Committee will cause to be kept adequate minutes of all its proceedings, and will report its actions to the next meeting of the Board. Committee members will be furnished with copies of the minutes of each meeting and any action taken by unanimous consent. The Compensation Committee is governed by the same rules regarding meetings (including meetings by conference telephone or similar communications equipment), action without meetings, notice, waiver of notice, quorum and voting requirements and removal and vacancies as are applicable to the Board. The Committee is authorized to adopt its own rules of procedure not inconsistent with (a) any provision of this Charter, (b) any provision of the Bylaws of the Company, or (c) the laws of the state of Delaware.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Authority</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In order to fulfill its role, the Committee shall have the power to:</w:t>
      </w:r>
    </w:p>
    <w:p>
      <w:pPr>
        <w:spacing w:after="0" w:line="100" w:lineRule="exact"/>
        <w:rPr>
          <w:sz w:val="20"/>
          <w:szCs w:val="20"/>
          <w:color w:val="auto"/>
        </w:rPr>
      </w:pPr>
    </w:p>
    <w:p>
      <w:pPr>
        <w:ind w:left="660" w:right="379" w:hanging="243"/>
        <w:spacing w:after="0" w:line="256" w:lineRule="auto"/>
        <w:tabs>
          <w:tab w:leader="none" w:pos="6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administer, amend or terminate compensation plans applicable to any class of employees of the Company and/or any subsidiary of the Company; provided that no adoption, amendment or termination of any compensation plan under which stock may be issued, or in which a member of the Board may be a participant, shall be effective unless the same shall be approved by the Board and, to the extent required by law, by the stockholders; provided, further, that no adoption, amendment or termination of any compensation plan may be made that violates this or any other committee charter of the Company; and</w:t>
      </w:r>
    </w:p>
    <w:p>
      <w:pPr>
        <w:spacing w:after="0" w:line="69" w:lineRule="exact"/>
        <w:rPr>
          <w:rFonts w:ascii="Times New Roman" w:cs="Times New Roman" w:eastAsia="Times New Roman" w:hAnsi="Times New Roman"/>
          <w:sz w:val="14"/>
          <w:szCs w:val="14"/>
          <w:color w:val="auto"/>
        </w:rPr>
      </w:pPr>
    </w:p>
    <w:p>
      <w:pPr>
        <w:ind w:left="660" w:right="279" w:hanging="243"/>
        <w:spacing w:after="0" w:line="253" w:lineRule="auto"/>
        <w:tabs>
          <w:tab w:leader="none" w:pos="6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it is determined by the Committee that a consulting firm (or other expert) is to assist in the assessment of the CEO or other senior executive officer compensation, the Committee shall have the sole authority to retain and terminate such firm or experts and have the authority to approve the consulting firm or other expert’s fee and other retention terms. The Committee shall also have the authority to retain legal, accounting or other experts that it determines to be necessary to carry out its duties and to determine compensation for such advisors. Any communications between the Committee and legal counsel in the course of obtaining legal advice will be considered privileged communications of the Company and the Committee will take all necessary steps to preserve the privileged nature of those communications. The Company must provide for appropriate funding, as determined by the Committee for the payment of reasonable fees to any such consultant, legal counsel or other adviser retained by the Committee.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238" w:name="page239"/>
    <w:bookmarkEnd w:id="238"/>
    <w:p>
      <w:pPr>
        <w:ind w:left="660" w:right="499" w:hanging="243"/>
        <w:spacing w:after="0" w:line="279" w:lineRule="auto"/>
        <w:tabs>
          <w:tab w:leader="none" w:pos="6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Committee has the authority to delegate any of its responsibilities to another committee, officer and/or subcommittees, as the Committee may deem appropriate in its sole discretion, subject to applicable law, rules, regulations and Nasdaq listing standards.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Responsibilities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principal responsibilities and functions of the Compensation Committee are as follows:</w:t>
      </w:r>
    </w:p>
    <w:p>
      <w:pPr>
        <w:spacing w:after="0" w:line="100" w:lineRule="exact"/>
        <w:rPr>
          <w:sz w:val="20"/>
          <w:szCs w:val="20"/>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performance of the Chief Executive Officer (“CEO”) and executive management.</w:t>
      </w:r>
    </w:p>
    <w:p>
      <w:pPr>
        <w:spacing w:after="0" w:line="99"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the Board in developing and evaluating potential candidates for executive positions (including CEO).</w:t>
      </w:r>
    </w:p>
    <w:p>
      <w:pPr>
        <w:spacing w:after="0" w:line="99" w:lineRule="exact"/>
        <w:rPr>
          <w:rFonts w:ascii="Times New Roman" w:cs="Times New Roman" w:eastAsia="Times New Roman" w:hAnsi="Times New Roman"/>
          <w:sz w:val="14"/>
          <w:szCs w:val="14"/>
          <w:color w:val="auto"/>
        </w:rPr>
      </w:pPr>
    </w:p>
    <w:p>
      <w:pPr>
        <w:ind w:left="660" w:right="299" w:hanging="243"/>
        <w:spacing w:after="0" w:line="264"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goals and objectives relevant to the CEO and other executive officer compensation, evaluate the CEO’s and other executive officers’ performance in light of these corporate goals and objectives, and set CEO and other executive officer compensation levels consistent with its evaluation and the company philosophy.</w:t>
      </w:r>
    </w:p>
    <w:p>
      <w:pPr>
        <w:spacing w:after="0" w:line="63"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salaries, bonus and other compensation for all executive officers.</w:t>
      </w:r>
    </w:p>
    <w:p>
      <w:pPr>
        <w:spacing w:after="0" w:line="99" w:lineRule="exact"/>
        <w:rPr>
          <w:rFonts w:ascii="Times New Roman" w:cs="Times New Roman" w:eastAsia="Times New Roman" w:hAnsi="Times New Roman"/>
          <w:sz w:val="14"/>
          <w:szCs w:val="14"/>
          <w:color w:val="auto"/>
        </w:rPr>
      </w:pPr>
    </w:p>
    <w:p>
      <w:pPr>
        <w:ind w:left="660" w:right="819" w:hanging="243"/>
        <w:spacing w:after="0" w:line="279"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compensation packages for new corporate officers and termination packages for corporate officers as requested by management.</w:t>
      </w:r>
    </w:p>
    <w:p>
      <w:pPr>
        <w:spacing w:after="0" w:line="53" w:lineRule="exact"/>
        <w:rPr>
          <w:rFonts w:ascii="Times New Roman" w:cs="Times New Roman" w:eastAsia="Times New Roman" w:hAnsi="Times New Roman"/>
          <w:sz w:val="14"/>
          <w:szCs w:val="14"/>
          <w:color w:val="auto"/>
        </w:rPr>
      </w:pPr>
    </w:p>
    <w:p>
      <w:pPr>
        <w:ind w:left="660" w:right="619" w:hanging="243"/>
        <w:spacing w:after="0" w:line="279"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the Board and senior officers plans for officer development and corporate succession plans for the CEO and other senior officers.</w:t>
      </w:r>
    </w:p>
    <w:p>
      <w:pPr>
        <w:spacing w:after="0" w:line="53"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make recommendations concerning executive compensation policies and plans.</w:t>
      </w:r>
    </w:p>
    <w:p>
      <w:pPr>
        <w:spacing w:after="0" w:line="99"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recommend to the Board the adoption of or changes to the compensation of the Company’s directors.</w:t>
      </w:r>
    </w:p>
    <w:p>
      <w:pPr>
        <w:spacing w:after="0" w:line="99"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the awards made under any executive officer bonus plan, and provide an appropriate report to the Board.</w:t>
      </w:r>
    </w:p>
    <w:p>
      <w:pPr>
        <w:spacing w:after="0" w:line="99" w:lineRule="exact"/>
        <w:rPr>
          <w:rFonts w:ascii="Times New Roman" w:cs="Times New Roman" w:eastAsia="Times New Roman" w:hAnsi="Times New Roman"/>
          <w:sz w:val="14"/>
          <w:szCs w:val="14"/>
          <w:color w:val="auto"/>
        </w:rPr>
      </w:pPr>
    </w:p>
    <w:p>
      <w:pPr>
        <w:ind w:left="660" w:right="499" w:hanging="243"/>
        <w:spacing w:after="0" w:line="259"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make recommendations concerning long-term incentive compensation plans, including the use of stock options and other equity-based plans. Except as otherwise delegated by the Board, the Committee will act on behalf of the Board as a “Plan Administrator” or similar function established to administer equity-based and employee benefit plans, and as such will discharge any responsibilities imposed on the Committee under those plans, including making and authorizing grants, in accordance with the terms of those plans.</w:t>
      </w:r>
    </w:p>
    <w:p>
      <w:pPr>
        <w:spacing w:after="0" w:line="66" w:lineRule="exact"/>
        <w:rPr>
          <w:rFonts w:ascii="Times New Roman" w:cs="Times New Roman" w:eastAsia="Times New Roman" w:hAnsi="Times New Roman"/>
          <w:sz w:val="14"/>
          <w:szCs w:val="14"/>
          <w:color w:val="auto"/>
        </w:rPr>
      </w:pPr>
    </w:p>
    <w:p>
      <w:pPr>
        <w:ind w:left="660" w:right="479" w:hanging="243"/>
        <w:spacing w:after="0" w:line="279"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all special perquisites, special cash payments and other special compensation and benefit arrangements for the Company’s executive officers and employees.</w:t>
      </w:r>
    </w:p>
    <w:p>
      <w:pPr>
        <w:spacing w:after="0" w:line="53"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periodic reports from management on matters relating to the Company’s personnel appointments and practices.</w:t>
      </w:r>
    </w:p>
    <w:p>
      <w:pPr>
        <w:spacing w:after="0" w:line="99"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management in complying with the Company’s proxy statement and annual report disclosure requirements.</w:t>
      </w:r>
    </w:p>
    <w:p>
      <w:pPr>
        <w:spacing w:after="0" w:line="99" w:lineRule="exact"/>
        <w:rPr>
          <w:rFonts w:ascii="Times New Roman" w:cs="Times New Roman" w:eastAsia="Times New Roman" w:hAnsi="Times New Roman"/>
          <w:sz w:val="14"/>
          <w:szCs w:val="14"/>
          <w:color w:val="auto"/>
        </w:rPr>
      </w:pPr>
    </w:p>
    <w:p>
      <w:pPr>
        <w:ind w:left="660" w:right="419" w:hanging="243"/>
        <w:spacing w:after="0" w:line="279"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 annual Report of the Compensation Committee on Executive Compensation for the Company’s annual proxy statement in compliance with applicable Securities and Exchange Commission (“SEC”) rules and regulations.</w:t>
      </w:r>
    </w:p>
    <w:p>
      <w:pPr>
        <w:spacing w:after="0" w:line="53" w:lineRule="exact"/>
        <w:rPr>
          <w:rFonts w:ascii="Times New Roman" w:cs="Times New Roman" w:eastAsia="Times New Roman" w:hAnsi="Times New Roman"/>
          <w:sz w:val="14"/>
          <w:szCs w:val="14"/>
          <w:color w:val="auto"/>
        </w:rPr>
      </w:pPr>
    </w:p>
    <w:p>
      <w:pPr>
        <w:ind w:left="660" w:right="659" w:hanging="243"/>
        <w:spacing w:after="0" w:line="279"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evaluate the Committee’s performance and this Charter and recommend to the Board any proposed changes to the Charter or the Committee.</w:t>
      </w:r>
    </w:p>
    <w:p>
      <w:pPr>
        <w:spacing w:after="0" w:line="53" w:lineRule="exact"/>
        <w:rPr>
          <w:rFonts w:ascii="Times New Roman" w:cs="Times New Roman" w:eastAsia="Times New Roman" w:hAnsi="Times New Roman"/>
          <w:sz w:val="14"/>
          <w:szCs w:val="14"/>
          <w:color w:val="auto"/>
        </w:rPr>
      </w:pPr>
    </w:p>
    <w:p>
      <w:pPr>
        <w:ind w:left="660" w:right="399" w:hanging="243"/>
        <w:spacing w:after="0" w:line="279" w:lineRule="auto"/>
        <w:tabs>
          <w:tab w:leader="none" w:pos="6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all further actions and discharge all further responsibilities imposed upon the Committee from time to time by the Board, the federal securities laws or the rules and regulations of the SEC.</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Oversight of Compensation Consultant, Legal Counsel, or Adviser</w:t>
      </w:r>
    </w:p>
    <w:p>
      <w:pPr>
        <w:spacing w:after="0" w:line="89" w:lineRule="exact"/>
        <w:rPr>
          <w:sz w:val="20"/>
          <w:szCs w:val="20"/>
          <w:color w:val="auto"/>
        </w:rPr>
      </w:pPr>
    </w:p>
    <w:p>
      <w:pPr>
        <w:ind w:left="260" w:right="459" w:firstLine="340"/>
        <w:spacing w:after="0" w:line="264" w:lineRule="auto"/>
        <w:rPr>
          <w:sz w:val="20"/>
          <w:szCs w:val="20"/>
          <w:color w:val="auto"/>
        </w:rPr>
      </w:pPr>
      <w:r>
        <w:rPr>
          <w:rFonts w:ascii="Times New Roman" w:cs="Times New Roman" w:eastAsia="Times New Roman" w:hAnsi="Times New Roman"/>
          <w:sz w:val="14"/>
          <w:szCs w:val="14"/>
          <w:color w:val="auto"/>
        </w:rPr>
        <w:t>Whenever the Committee chooses to retain or obtain the advice of a compensation consultant, legal counsel or other adviser, then except as specified in the Nasdaq listing standards, the Committee may select such consultant, legal counsel or other adviser to the Committee only after taking into consideration all factors relevant to that person’s independence, including the following: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239" w:name="page240"/>
    <w:bookmarkEnd w:id="239"/>
    <w:p>
      <w:pPr>
        <w:ind w:left="660" w:hanging="243"/>
        <w:spacing w:after="0"/>
        <w:tabs>
          <w:tab w:leader="none" w:pos="6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provision of other services to the Company by the entity that employs the compensation consultant, legal counsel or other adviser.</w:t>
      </w:r>
    </w:p>
    <w:p>
      <w:pPr>
        <w:spacing w:after="0" w:line="99" w:lineRule="exact"/>
        <w:rPr>
          <w:rFonts w:ascii="Times New Roman" w:cs="Times New Roman" w:eastAsia="Times New Roman" w:hAnsi="Times New Roman"/>
          <w:sz w:val="14"/>
          <w:szCs w:val="14"/>
          <w:color w:val="auto"/>
        </w:rPr>
      </w:pPr>
    </w:p>
    <w:p>
      <w:pPr>
        <w:ind w:left="660" w:right="599" w:hanging="243"/>
        <w:spacing w:after="0" w:line="279" w:lineRule="auto"/>
        <w:tabs>
          <w:tab w:leader="none" w:pos="6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fees received from the Company by the entity that employs the compensation consultant, legal counsel or other adviser, as a percentage of the total revenue of such entity.</w:t>
      </w:r>
    </w:p>
    <w:p>
      <w:pPr>
        <w:spacing w:after="0" w:line="53" w:lineRule="exact"/>
        <w:rPr>
          <w:rFonts w:ascii="Times New Roman" w:cs="Times New Roman" w:eastAsia="Times New Roman" w:hAnsi="Times New Roman"/>
          <w:sz w:val="14"/>
          <w:szCs w:val="14"/>
          <w:color w:val="auto"/>
        </w:rPr>
      </w:pPr>
    </w:p>
    <w:p>
      <w:pPr>
        <w:ind w:left="660" w:right="439" w:hanging="243"/>
        <w:spacing w:after="0" w:line="279" w:lineRule="auto"/>
        <w:tabs>
          <w:tab w:leader="none" w:pos="6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policies and procedures of the entity that employs the compensation consultant, legal counsel or other adviser that are designed to prevent conflicts of interest.</w:t>
      </w:r>
    </w:p>
    <w:p>
      <w:pPr>
        <w:spacing w:after="0" w:line="53"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business or personal relationship of the compensation consultant, legal counsel or other adviser with a member of the Committee.</w:t>
      </w:r>
    </w:p>
    <w:p>
      <w:pPr>
        <w:spacing w:after="0" w:line="99" w:lineRule="exact"/>
        <w:rPr>
          <w:rFonts w:ascii="Times New Roman" w:cs="Times New Roman" w:eastAsia="Times New Roman" w:hAnsi="Times New Roman"/>
          <w:sz w:val="14"/>
          <w:szCs w:val="14"/>
          <w:color w:val="auto"/>
        </w:rPr>
      </w:pPr>
    </w:p>
    <w:p>
      <w:pPr>
        <w:ind w:left="660" w:hanging="243"/>
        <w:spacing w:after="0"/>
        <w:tabs>
          <w:tab w:leader="none" w:pos="6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stock of the Company owned by the compensation consultant, legal counsel or other adviser.</w:t>
      </w:r>
    </w:p>
    <w:p>
      <w:pPr>
        <w:spacing w:after="0" w:line="99" w:lineRule="exact"/>
        <w:rPr>
          <w:rFonts w:ascii="Times New Roman" w:cs="Times New Roman" w:eastAsia="Times New Roman" w:hAnsi="Times New Roman"/>
          <w:sz w:val="14"/>
          <w:szCs w:val="14"/>
          <w:color w:val="auto"/>
        </w:rPr>
      </w:pPr>
    </w:p>
    <w:p>
      <w:pPr>
        <w:ind w:left="660" w:right="299" w:hanging="243"/>
        <w:spacing w:after="0" w:line="279" w:lineRule="auto"/>
        <w:tabs>
          <w:tab w:leader="none" w:pos="6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business or personal relationship of the compensation consultant, legal counsel, other adviser or the entity that employs the consultant, legal counsel or other adviser with an executive officer of the Company.</w:t>
      </w:r>
    </w:p>
    <w:p>
      <w:pPr>
        <w:spacing w:after="0" w:line="126" w:lineRule="exact"/>
        <w:rPr>
          <w:sz w:val="20"/>
          <w:szCs w:val="20"/>
          <w:color w:val="auto"/>
        </w:rPr>
      </w:pPr>
    </w:p>
    <w:p>
      <w:pPr>
        <w:jc w:val="both"/>
        <w:ind w:left="260" w:right="499" w:firstLine="340"/>
        <w:spacing w:after="0" w:line="264" w:lineRule="auto"/>
        <w:rPr>
          <w:sz w:val="20"/>
          <w:szCs w:val="20"/>
          <w:color w:val="auto"/>
        </w:rPr>
      </w:pPr>
      <w:r>
        <w:rPr>
          <w:rFonts w:ascii="Times New Roman" w:cs="Times New Roman" w:eastAsia="Times New Roman" w:hAnsi="Times New Roman"/>
          <w:sz w:val="14"/>
          <w:szCs w:val="14"/>
          <w:color w:val="auto"/>
        </w:rPr>
        <w:t>With regard to any compensation consultant or other adviser identified or to be identified in the Company’s proxy statement, the Committee’s duties and responsibilities shall include reviewing whether the retention of such consultant or adviser, or work performed or to be performed by such consultant or adviser raises any conflict of interest and, if so, to determine how to address such conflict of interest.</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Effectiveness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Adopted by the Board of Directors on May 22, 2026.</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240" w:name="page241"/>
    <w:bookmarkEnd w:id="240"/>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HADRON ENERGY,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 CHARTER</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Role</w:t>
      </w:r>
    </w:p>
    <w:p>
      <w:pPr>
        <w:spacing w:after="0" w:line="91" w:lineRule="exact"/>
        <w:rPr>
          <w:sz w:val="20"/>
          <w:szCs w:val="20"/>
          <w:color w:val="auto"/>
        </w:rPr>
      </w:pPr>
    </w:p>
    <w:p>
      <w:pPr>
        <w:ind w:left="260" w:right="519" w:firstLine="340"/>
        <w:spacing w:after="0" w:line="279" w:lineRule="auto"/>
        <w:rPr>
          <w:sz w:val="20"/>
          <w:szCs w:val="20"/>
          <w:color w:val="auto"/>
        </w:rPr>
      </w:pPr>
      <w:r>
        <w:rPr>
          <w:rFonts w:ascii="Times New Roman" w:cs="Times New Roman" w:eastAsia="Times New Roman" w:hAnsi="Times New Roman"/>
          <w:sz w:val="14"/>
          <w:szCs w:val="14"/>
          <w:color w:val="auto"/>
        </w:rPr>
        <w:t>The Nominating and Corporate Governance Committee (the “</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is responsible for considering and making recommendations to the Board of Directors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concerning the appropriate size, functions and needs of the Board of Hadron Energy,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Membership</w:t>
      </w:r>
    </w:p>
    <w:p>
      <w:pPr>
        <w:spacing w:after="0" w:line="91" w:lineRule="exact"/>
        <w:rPr>
          <w:sz w:val="20"/>
          <w:szCs w:val="20"/>
          <w:color w:val="auto"/>
        </w:rPr>
      </w:pPr>
    </w:p>
    <w:p>
      <w:pPr>
        <w:ind w:left="260" w:right="479" w:firstLine="340"/>
        <w:spacing w:after="0" w:line="279" w:lineRule="auto"/>
        <w:rPr>
          <w:sz w:val="20"/>
          <w:szCs w:val="20"/>
          <w:color w:val="auto"/>
        </w:rPr>
      </w:pPr>
      <w:r>
        <w:rPr>
          <w:rFonts w:ascii="Times New Roman" w:cs="Times New Roman" w:eastAsia="Times New Roman" w:hAnsi="Times New Roman"/>
          <w:sz w:val="14"/>
          <w:szCs w:val="14"/>
          <w:color w:val="auto"/>
        </w:rPr>
        <w:t>The Committee shall consist of three or more Directors all of whom, in the judgment of the Board, shall be independent in accordance with the listing standards of Nasdaq Stock Market, LLC (the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260" w:right="879" w:firstLine="340"/>
        <w:spacing w:after="0" w:line="279" w:lineRule="auto"/>
        <w:rPr>
          <w:sz w:val="20"/>
          <w:szCs w:val="20"/>
          <w:color w:val="auto"/>
        </w:rPr>
      </w:pPr>
      <w:r>
        <w:rPr>
          <w:rFonts w:ascii="Times New Roman" w:cs="Times New Roman" w:eastAsia="Times New Roman" w:hAnsi="Times New Roman"/>
          <w:sz w:val="14"/>
          <w:szCs w:val="14"/>
          <w:color w:val="auto"/>
        </w:rPr>
        <w:t>The Chair of the Committee shall be designated by the Board, provided that if the Board does not designate a Chair, the members of the Committee, by a majority vote, may designate a Chair.</w:t>
      </w:r>
    </w:p>
    <w:p>
      <w:pPr>
        <w:spacing w:after="0" w:line="126" w:lineRule="exact"/>
        <w:rPr>
          <w:sz w:val="20"/>
          <w:szCs w:val="20"/>
          <w:color w:val="auto"/>
        </w:rPr>
      </w:pPr>
    </w:p>
    <w:p>
      <w:pPr>
        <w:jc w:val="both"/>
        <w:ind w:left="260" w:right="439" w:firstLine="340"/>
        <w:spacing w:after="0" w:line="264" w:lineRule="auto"/>
        <w:rPr>
          <w:sz w:val="20"/>
          <w:szCs w:val="20"/>
          <w:color w:val="auto"/>
        </w:rPr>
      </w:pPr>
      <w:r>
        <w:rPr>
          <w:rFonts w:ascii="Times New Roman" w:cs="Times New Roman" w:eastAsia="Times New Roman" w:hAnsi="Times New Roman"/>
          <w:sz w:val="14"/>
          <w:szCs w:val="14"/>
          <w:color w:val="auto"/>
        </w:rPr>
        <w:t>The members of the Committee shall be elected by the Board, based on the recommendation of the Committee. Each member of the Committee shall serve for such term or terms as the Board may determine or until his or her earlier resignation, removal or death. Any vacancy on the Committee shall be filled by the Board. No member of the Committee shall be removed as a member except by the Board.</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91" w:lineRule="exact"/>
        <w:rPr>
          <w:sz w:val="20"/>
          <w:szCs w:val="20"/>
          <w:color w:val="auto"/>
        </w:rPr>
      </w:pPr>
    </w:p>
    <w:p>
      <w:pPr>
        <w:ind w:left="260" w:right="259" w:firstLine="340"/>
        <w:spacing w:after="0" w:line="264" w:lineRule="auto"/>
        <w:rPr>
          <w:sz w:val="20"/>
          <w:szCs w:val="20"/>
          <w:color w:val="auto"/>
        </w:rPr>
      </w:pPr>
      <w:r>
        <w:rPr>
          <w:rFonts w:ascii="Times New Roman" w:cs="Times New Roman" w:eastAsia="Times New Roman" w:hAnsi="Times New Roman"/>
          <w:sz w:val="14"/>
          <w:szCs w:val="14"/>
          <w:color w:val="auto"/>
        </w:rPr>
        <w:t>The Committee shall meet at least once each year and at such other times as it deems necessary to fulfill its responsibilities. The Committee shall report regularly to the Board with respect to its activities and make recommendations to the Board as appropriate. The Committee shall maintain minutes of its meetings and records relating to those meetings.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Authority</w:t>
      </w:r>
    </w:p>
    <w:p>
      <w:pPr>
        <w:spacing w:after="0" w:line="91" w:lineRule="exact"/>
        <w:rPr>
          <w:sz w:val="20"/>
          <w:szCs w:val="20"/>
          <w:color w:val="auto"/>
        </w:rPr>
      </w:pPr>
    </w:p>
    <w:p>
      <w:pPr>
        <w:ind w:left="260" w:right="299" w:firstLine="340"/>
        <w:spacing w:after="0" w:line="264" w:lineRule="auto"/>
        <w:rPr>
          <w:sz w:val="20"/>
          <w:szCs w:val="20"/>
          <w:color w:val="auto"/>
        </w:rPr>
      </w:pPr>
      <w:r>
        <w:rPr>
          <w:rFonts w:ascii="Times New Roman" w:cs="Times New Roman" w:eastAsia="Times New Roman" w:hAnsi="Times New Roman"/>
          <w:sz w:val="14"/>
          <w:szCs w:val="14"/>
          <w:color w:val="auto"/>
        </w:rPr>
        <w:t>The Committee may, at its sole discretion, engage director search firms and has the sole authority to approve the fees and other retention terms with respect to any such firms. The Committee also has the authority, as necessary and appropriate, to consult with other counsel and outside advisors to assist in its duties to the Company.</w:t>
      </w:r>
    </w:p>
    <w:p>
      <w:pPr>
        <w:spacing w:after="0" w:line="136" w:lineRule="exact"/>
        <w:rPr>
          <w:sz w:val="20"/>
          <w:szCs w:val="20"/>
          <w:color w:val="auto"/>
        </w:rPr>
      </w:pPr>
    </w:p>
    <w:p>
      <w:pPr>
        <w:ind w:left="260" w:right="299" w:firstLine="340"/>
        <w:spacing w:after="0" w:line="279" w:lineRule="auto"/>
        <w:rPr>
          <w:sz w:val="20"/>
          <w:szCs w:val="20"/>
          <w:color w:val="auto"/>
        </w:rPr>
      </w:pPr>
      <w:r>
        <w:rPr>
          <w:rFonts w:ascii="Times New Roman" w:cs="Times New Roman" w:eastAsia="Times New Roman" w:hAnsi="Times New Roman"/>
          <w:sz w:val="14"/>
          <w:szCs w:val="14"/>
          <w:color w:val="auto"/>
        </w:rPr>
        <w:t>The Committee has the authority to delegate any of its responsibilities to another committee, officer and/or subcommittees, as the Committee may deem appropriate in its sole discretion, subject to applicable law, rules, regulations and Nasdaq listing standards.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Responsibilities</w:t>
      </w:r>
    </w:p>
    <w:p>
      <w:pPr>
        <w:spacing w:after="0" w:line="91" w:lineRule="exact"/>
        <w:rPr>
          <w:sz w:val="20"/>
          <w:szCs w:val="20"/>
          <w:color w:val="auto"/>
        </w:rPr>
      </w:pPr>
    </w:p>
    <w:p>
      <w:pPr>
        <w:ind w:left="260" w:right="339" w:firstLine="340"/>
        <w:spacing w:after="0" w:line="279" w:lineRule="auto"/>
        <w:rPr>
          <w:sz w:val="20"/>
          <w:szCs w:val="20"/>
          <w:color w:val="auto"/>
        </w:rPr>
      </w:pPr>
      <w:r>
        <w:rPr>
          <w:rFonts w:ascii="Times New Roman" w:cs="Times New Roman" w:eastAsia="Times New Roman" w:hAnsi="Times New Roman"/>
          <w:sz w:val="14"/>
          <w:szCs w:val="14"/>
          <w:color w:val="auto"/>
        </w:rPr>
        <w:t>The following responsibilities are within the authority of the Committee and shall include, consistent with and subject to applicable law and rules and regulations promulgated by the Securities and Exchange Commission, the Nasdaq or any other applicable regulatory authority:</w:t>
      </w:r>
    </w:p>
    <w:p>
      <w:pPr>
        <w:spacing w:after="0" w:line="53" w:lineRule="exact"/>
        <w:rPr>
          <w:sz w:val="20"/>
          <w:szCs w:val="20"/>
          <w:color w:val="auto"/>
        </w:rPr>
      </w:pPr>
    </w:p>
    <w:p>
      <w:pPr>
        <w:ind w:left="1000" w:hanging="333"/>
        <w:spacing w:after="0"/>
        <w:tabs>
          <w:tab w:leader="none" w:pos="10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recommend to the Board the criteria for Board membership.</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consider, recruit and recommend candidates to fill new positions on the Board.</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candidates recommended by stockholders.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the appropriate and necessary inquiries into the backgrounds and qualifications of possible candidates.</w:t>
      </w:r>
    </w:p>
    <w:p>
      <w:pPr>
        <w:spacing w:after="0" w:line="99" w:lineRule="exact"/>
        <w:rPr>
          <w:rFonts w:ascii="Times New Roman" w:cs="Times New Roman" w:eastAsia="Times New Roman" w:hAnsi="Times New Roman"/>
          <w:sz w:val="14"/>
          <w:szCs w:val="14"/>
          <w:color w:val="auto"/>
        </w:rPr>
      </w:pPr>
    </w:p>
    <w:p>
      <w:pPr>
        <w:ind w:left="4460" w:right="1459" w:hanging="3793"/>
        <w:spacing w:after="0" w:line="450" w:lineRule="auto"/>
        <w:tabs>
          <w:tab w:leader="none" w:pos="991"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director nominees for approval by the Board and election by the stockholders at the next annual meeting. 1</w:t>
      </w:r>
    </w:p>
    <w:p>
      <w:pPr>
        <w:sectPr>
          <w:pgSz w:w="11900" w:h="16838" w:orient="portrait"/>
          <w:cols w:equalWidth="0" w:num="1">
            <w:col w:w="9019"/>
          </w:cols>
          <w:pgMar w:left="1440" w:top="123" w:right="1440" w:bottom="1440" w:gutter="0" w:footer="0" w:header="0"/>
        </w:sectPr>
      </w:pPr>
    </w:p>
    <w:bookmarkStart w:id="241" w:name="page242"/>
    <w:bookmarkEnd w:id="241"/>
    <w:p>
      <w:pPr>
        <w:ind w:left="6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Committee’s additional functions include:</w:t>
      </w:r>
    </w:p>
    <w:p>
      <w:pPr>
        <w:spacing w:after="0" w:line="100" w:lineRule="exact"/>
        <w:rPr>
          <w:sz w:val="20"/>
          <w:szCs w:val="20"/>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questions of possible conflicts of interest of Board members and of senior executives.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monitor and recommend the functions of the various committees of the Board.</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recommend members and chairs of the committees.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make recommendations concerning appropriate size and needs of the Board.</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review periodically and advise on changes in Board compensation.</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recommendations on the structure of Board meetings.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matters of corporate governance and to review, at least annually, the Company’s Corporate Governance Guidelines.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director qualification standards.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recommendations with respect to director resignations.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review the outside activities of senior executives.</w:t>
      </w:r>
    </w:p>
    <w:p>
      <w:pPr>
        <w:spacing w:after="0" w:line="99" w:lineRule="exact"/>
        <w:rPr>
          <w:rFonts w:ascii="Times New Roman" w:cs="Times New Roman" w:eastAsia="Times New Roman" w:hAnsi="Times New Roman"/>
          <w:sz w:val="14"/>
          <w:szCs w:val="14"/>
          <w:color w:val="auto"/>
        </w:rPr>
      </w:pPr>
    </w:p>
    <w:p>
      <w:pPr>
        <w:ind w:left="1000" w:right="299" w:hanging="333"/>
        <w:spacing w:after="0" w:line="279" w:lineRule="auto"/>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review periodically with the Chief Executive Officer the succession plans relating to positions held by elected corporate officers, and to make recommendations to the Board with respect to the selection of individuals to occupy these positions.</w:t>
      </w:r>
    </w:p>
    <w:p>
      <w:pPr>
        <w:spacing w:after="0" w:line="53" w:lineRule="exact"/>
        <w:rPr>
          <w:rFonts w:ascii="Times New Roman" w:cs="Times New Roman" w:eastAsia="Times New Roman" w:hAnsi="Times New Roman"/>
          <w:sz w:val="14"/>
          <w:szCs w:val="14"/>
          <w:color w:val="auto"/>
        </w:rPr>
      </w:pPr>
    </w:p>
    <w:p>
      <w:pPr>
        <w:ind w:left="1000" w:right="319" w:hanging="333"/>
        <w:spacing w:after="0" w:line="279" w:lineRule="auto"/>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coordinate and oversee the annual self-evaluation of the Board, its committees, individual directors and management in the governance of the Company.</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review on a regular basis the Company’s overall corporate governance and recommend improvements, as necessary.</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prepare an annual performance evaluation of the Committee and annually evaluate the adequacy of its charter.</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Effectiveness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Adopted by the Board of Directors on May 22, 2026.</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242" w:name="page243"/>
    <w:bookmarkEnd w:id="242"/>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Hadron Energy, Inc.</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1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9"/>
                <w:szCs w:val="9"/>
                <w:color w:val="auto"/>
              </w:rPr>
            </w:pPr>
          </w:p>
        </w:tc>
        <w:tc>
          <w:tcPr>
            <w:tcW w:w="8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57,432,395</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$ 2.85</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$ 22,604.53</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94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8"/>
              </w:rPr>
              <w:t>163,682,325.75</w:t>
            </w:r>
          </w:p>
        </w:tc>
        <w:tc>
          <w:tcPr>
            <w:tcW w:w="20" w:type="dxa"/>
            <w:vAlign w:val="bottom"/>
          </w:tcPr>
          <w:p>
            <w:pPr>
              <w:spacing w:after="0"/>
              <w:rPr>
                <w:sz w:val="19"/>
                <w:szCs w:val="19"/>
                <w:color w:val="auto"/>
              </w:rPr>
            </w:pPr>
          </w:p>
        </w:tc>
        <w:tc>
          <w:tcPr>
            <w:tcW w:w="8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2"/>
                <w:szCs w:val="22"/>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2"/>
                <w:szCs w:val="22"/>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22"/>
                <w:szCs w:val="22"/>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22"/>
                <w:szCs w:val="22"/>
                <w:color w:val="auto"/>
              </w:rPr>
            </w:pPr>
          </w:p>
        </w:tc>
        <w:tc>
          <w:tcPr>
            <w:tcW w:w="880" w:type="dxa"/>
            <w:vAlign w:val="bottom"/>
            <w:shd w:val="clear" w:color="auto" w:fill="E7E7E2"/>
          </w:tcPr>
          <w:p>
            <w:pPr>
              <w:jc w:val="right"/>
              <w:spacing w:after="0"/>
              <w:rPr>
                <w:sz w:val="20"/>
                <w:szCs w:val="20"/>
                <w:color w:val="auto"/>
              </w:rPr>
            </w:pPr>
            <w:r>
              <w:rPr>
                <w:rFonts w:ascii="Arial" w:cs="Arial" w:eastAsia="Arial" w:hAnsi="Arial"/>
                <w:sz w:val="17"/>
                <w:szCs w:val="17"/>
                <w:color w:val="auto"/>
              </w:rPr>
              <w:t>23,719,000</w:t>
            </w:r>
          </w:p>
        </w:tc>
        <w:tc>
          <w:tcPr>
            <w:tcW w:w="20" w:type="dxa"/>
            <w:vAlign w:val="bottom"/>
          </w:tcPr>
          <w:p>
            <w:pPr>
              <w:spacing w:after="0"/>
              <w:rPr>
                <w:sz w:val="22"/>
                <w:szCs w:val="22"/>
                <w:color w:val="auto"/>
              </w:rPr>
            </w:pPr>
          </w:p>
        </w:tc>
        <w:tc>
          <w:tcPr>
            <w:tcW w:w="8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$ 11.50</w:t>
            </w:r>
          </w:p>
        </w:tc>
        <w:tc>
          <w:tcPr>
            <w:tcW w:w="20" w:type="dxa"/>
            <w:vAlign w:val="bottom"/>
          </w:tcPr>
          <w:p>
            <w:pPr>
              <w:spacing w:after="0"/>
              <w:rPr>
                <w:sz w:val="22"/>
                <w:szCs w:val="22"/>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2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22"/>
                <w:szCs w:val="22"/>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$ 37,669.33</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line="114"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line="114" w:lineRule="exact"/>
              <w:rPr>
                <w:sz w:val="20"/>
                <w:szCs w:val="20"/>
                <w:color w:val="auto"/>
              </w:rPr>
            </w:pPr>
            <w:r>
              <w:rPr>
                <w:rFonts w:ascii="Arial" w:cs="Arial" w:eastAsia="Arial" w:hAnsi="Arial"/>
                <w:sz w:val="13"/>
                <w:szCs w:val="13"/>
                <w:color w:val="auto"/>
              </w:rPr>
              <w:t>underlying</w:t>
            </w: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jc w:val="right"/>
              <w:spacing w:after="0" w:line="114" w:lineRule="exact"/>
              <w:rPr>
                <w:sz w:val="20"/>
                <w:szCs w:val="20"/>
                <w:color w:val="auto"/>
              </w:rPr>
            </w:pPr>
            <w:r>
              <w:rPr>
                <w:rFonts w:ascii="Arial" w:cs="Arial" w:eastAsia="Arial" w:hAnsi="Arial"/>
                <w:sz w:val="13"/>
                <w:szCs w:val="13"/>
                <w:color w:val="auto"/>
              </w:rPr>
              <w:t>272,768,500.00</w:t>
            </w: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$ 12.00</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$ 8,286.00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underlying</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60,000,000.00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to</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8"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8"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8"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line="188" w:lineRule="exact"/>
              <w:rPr>
                <w:sz w:val="20"/>
                <w:szCs w:val="20"/>
                <w:color w:val="auto"/>
              </w:rPr>
            </w:pPr>
            <w:r>
              <w:rPr>
                <w:rFonts w:ascii="Arial" w:cs="Arial" w:eastAsia="Arial" w:hAnsi="Arial"/>
                <w:sz w:val="17"/>
                <w:szCs w:val="17"/>
                <w:color w:val="auto"/>
              </w:rPr>
              <w:t>28,719,000</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shd w:val="clear" w:color="auto" w:fill="E7E7E2"/>
          </w:tcPr>
          <w:p>
            <w:pPr>
              <w:jc w:val="right"/>
              <w:spacing w:after="0" w:line="188"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8"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line="188"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9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$ 68,559.86</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496,450,825.75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$ 68,559.86</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7" w:lineRule="exact"/>
        <w:rPr>
          <w:sz w:val="20"/>
          <w:szCs w:val="20"/>
          <w:color w:val="auto"/>
        </w:rPr>
      </w:pPr>
    </w:p>
    <w:p>
      <w:pPr>
        <w:ind w:left="220" w:right="160" w:hanging="185"/>
        <w:spacing w:after="0" w:line="242" w:lineRule="auto"/>
        <w:tabs>
          <w:tab w:leader="none" w:pos="220" w:val="left"/>
        </w:tabs>
        <w:numPr>
          <w:ilvl w:val="0"/>
          <w:numId w:val="131"/>
        </w:numPr>
        <w:rPr>
          <w:rFonts w:ascii="Arial" w:cs="Arial" w:eastAsia="Arial" w:hAnsi="Arial"/>
          <w:sz w:val="20"/>
          <w:szCs w:val="20"/>
          <w:color w:val="auto"/>
          <w:vertAlign w:val="superscript"/>
        </w:rPr>
      </w:pPr>
      <w:r>
        <w:rPr>
          <w:rFonts w:ascii="Arial" w:cs="Arial" w:eastAsia="Arial" w:hAnsi="Arial"/>
          <w:sz w:val="16"/>
          <w:szCs w:val="16"/>
          <w:color w:val="auto"/>
        </w:rPr>
        <w:t>(1) Includes (i) 10,207,246 Founder Shares held by the Sponsor, of which the Sponsor retains 9,932,246 shares and previously transferred 100,000 shares to the Philharmonic-Symphonic Society of New York and 175,000 shares to Yield Point NY LLC, (ii) 3,126,087 Private Placement Shares acquired by certain non-managing investors in a private placement prior to the IPO (300,000 shares) or concurrently with the IPO (2,876,087 shares), and (iii) 44,099,062 Closing Shares issued to former holders of shares of common stock of Hadron OpCo as merger consideration for such shares in the Business Combination. (4) Estimated solely for the purpose of calculating the registration fee in accordance with Rule 457(c) under the Securities Act. The proposed maximum offering price per share and maximum aggregate offering price are calculated on the basis of $2.85, the average of the high and low prices of the Registrant's Common stock on June 9, 2026, as reported on the Nasdaq Stock Market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94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0" w:lineRule="exact"/>
        <w:rPr>
          <w:sz w:val="20"/>
          <w:szCs w:val="20"/>
          <w:color w:val="auto"/>
        </w:rPr>
      </w:pPr>
    </w:p>
    <w:p>
      <w:pPr>
        <w:ind w:left="220" w:right="240" w:hanging="185"/>
        <w:spacing w:after="0" w:line="227" w:lineRule="auto"/>
        <w:tabs>
          <w:tab w:leader="none" w:pos="220" w:val="left"/>
        </w:tabs>
        <w:numPr>
          <w:ilvl w:val="0"/>
          <w:numId w:val="132"/>
        </w:numPr>
        <w:rPr>
          <w:rFonts w:ascii="Arial" w:cs="Arial" w:eastAsia="Arial" w:hAnsi="Arial"/>
          <w:sz w:val="21"/>
          <w:szCs w:val="21"/>
          <w:color w:val="auto"/>
          <w:vertAlign w:val="superscript"/>
        </w:rPr>
      </w:pPr>
      <w:r>
        <w:rPr>
          <w:rFonts w:ascii="Arial" w:cs="Arial" w:eastAsia="Arial" w:hAnsi="Arial"/>
          <w:sz w:val="17"/>
          <w:szCs w:val="17"/>
          <w:color w:val="auto"/>
        </w:rPr>
        <w:t>Includes (i) 20,000,000 shares of Common Stock that are issuable upon the exercise of 20,000,000 Public Warrants, originally issued at the IPO of GigCapital7 Corp. by the holders thereof and (ii) 3,719,000 shares of Common stock that are issuable upon the exercise of 3,719,000 Private Warrants by the holders thereof. Both the Public Warrants and Private Warrants are exercisable for one share of Common Stock at a price of $11.50 per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9" w:lineRule="exact"/>
        <w:rPr>
          <w:sz w:val="20"/>
          <w:szCs w:val="20"/>
          <w:color w:val="auto"/>
        </w:rPr>
      </w:pPr>
    </w:p>
    <w:p>
      <w:pPr>
        <w:ind w:left="220" w:right="380" w:hanging="185"/>
        <w:spacing w:after="0" w:line="224" w:lineRule="auto"/>
        <w:tabs>
          <w:tab w:leader="none" w:pos="220" w:val="left"/>
        </w:tabs>
        <w:numPr>
          <w:ilvl w:val="0"/>
          <w:numId w:val="133"/>
        </w:numPr>
        <w:rPr>
          <w:rFonts w:ascii="Arial" w:cs="Arial" w:eastAsia="Arial" w:hAnsi="Arial"/>
          <w:sz w:val="21"/>
          <w:szCs w:val="21"/>
          <w:color w:val="auto"/>
          <w:vertAlign w:val="superscript"/>
        </w:rPr>
      </w:pPr>
      <w:r>
        <w:rPr>
          <w:rFonts w:ascii="Arial" w:cs="Arial" w:eastAsia="Arial" w:hAnsi="Arial"/>
          <w:sz w:val="17"/>
          <w:szCs w:val="17"/>
          <w:color w:val="auto"/>
        </w:rPr>
        <w:t>Includes 5,000,000 share of Common Stock that are issuable upon the exercise of 5,000,000 Hadron Private Warrants by the holders thereof. The Hadron Private Warrants are exercisable for one Share of Common Stock at a price of $12.00 per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198" w:lineRule="exact"/>
        <w:rPr>
          <w:sz w:val="20"/>
          <w:szCs w:val="20"/>
          <w:color w:val="auto"/>
        </w:rPr>
      </w:pPr>
    </w:p>
    <w:p>
      <w:pPr>
        <w:ind w:left="220" w:hanging="185"/>
        <w:spacing w:after="0"/>
        <w:tabs>
          <w:tab w:leader="none" w:pos="220" w:val="left"/>
        </w:tabs>
        <w:numPr>
          <w:ilvl w:val="0"/>
          <w:numId w:val="134"/>
        </w:numPr>
        <w:rPr>
          <w:rFonts w:ascii="Arial" w:cs="Arial" w:eastAsia="Arial" w:hAnsi="Arial"/>
          <w:sz w:val="21"/>
          <w:szCs w:val="21"/>
          <w:color w:val="auto"/>
          <w:vertAlign w:val="superscript"/>
        </w:rPr>
      </w:pPr>
      <w:r>
        <w:rPr>
          <w:rFonts w:ascii="Arial" w:cs="Arial" w:eastAsia="Arial" w:hAnsi="Arial"/>
          <w:sz w:val="17"/>
          <w:szCs w:val="17"/>
          <w:color w:val="auto"/>
        </w:rPr>
        <w:t>Includes 20,000,000 Public Warrants, 3,719,000 Private Warrants and 5,000,000 Hadron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71494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5"/>
              </w:rPr>
              <w:t>Security</w:t>
            </w:r>
          </w:p>
        </w:tc>
        <w:tc>
          <w:tcPr>
            <w:tcW w:w="9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70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6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80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6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Fee</w:t>
            </w:r>
          </w:p>
        </w:tc>
        <w:tc>
          <w:tcPr>
            <w:tcW w:w="9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0"/>
              </w:rPr>
              <w:t>Type</w:t>
            </w:r>
          </w:p>
        </w:tc>
        <w:tc>
          <w:tcPr>
            <w:tcW w:w="9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70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0" w:type="dxa"/>
            <w:vAlign w:val="bottom"/>
          </w:tcPr>
          <w:p>
            <w:pPr>
              <w:spacing w:after="0"/>
              <w:rPr>
                <w:sz w:val="1"/>
                <w:szCs w:val="1"/>
                <w:color w:val="auto"/>
              </w:rPr>
            </w:pPr>
          </w:p>
        </w:tc>
      </w:tr>
      <w:tr>
        <w:trPr>
          <w:trHeight w:val="94"/>
        </w:trPr>
        <w:tc>
          <w:tcPr>
            <w:tcW w:w="3380" w:type="dxa"/>
            <w:vAlign w:val="bottom"/>
            <w:vMerge w:val="restart"/>
          </w:tcPr>
          <w:p>
            <w:pPr>
              <w:jc w:val="center"/>
              <w:ind w:left="1657"/>
              <w:spacing w:after="0"/>
              <w:rPr>
                <w:sz w:val="20"/>
                <w:szCs w:val="20"/>
                <w:color w:val="auto"/>
              </w:rPr>
            </w:pPr>
            <w:r>
              <w:rPr>
                <w:rFonts w:ascii="Arial" w:cs="Arial" w:eastAsia="Arial" w:hAnsi="Arial"/>
                <w:sz w:val="17"/>
                <w:szCs w:val="17"/>
                <w:b w:val="1"/>
                <w:bCs w:val="1"/>
                <w:color w:val="auto"/>
                <w:w w:val="98"/>
              </w:rPr>
              <w:t>Registrant or Filer</w:t>
            </w:r>
          </w:p>
        </w:tc>
        <w:tc>
          <w:tcPr>
            <w:tcW w:w="6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3"/>
              </w:rPr>
              <w:t>or</w:t>
            </w:r>
          </w:p>
        </w:tc>
        <w:tc>
          <w:tcPr>
            <w:tcW w:w="8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File</w:t>
            </w:r>
          </w:p>
        </w:tc>
        <w:tc>
          <w:tcPr>
            <w:tcW w:w="62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Filing</w:t>
            </w:r>
          </w:p>
        </w:tc>
        <w:tc>
          <w:tcPr>
            <w:tcW w:w="720" w:type="dxa"/>
            <w:vAlign w:val="bottom"/>
            <w:vMerge w:val="continue"/>
          </w:tcPr>
          <w:p>
            <w:pPr>
              <w:spacing w:after="0"/>
              <w:rPr>
                <w:sz w:val="8"/>
                <w:szCs w:val="8"/>
                <w:color w:val="auto"/>
              </w:rPr>
            </w:pPr>
          </w:p>
        </w:tc>
        <w:tc>
          <w:tcPr>
            <w:tcW w:w="2840" w:type="dxa"/>
            <w:vAlign w:val="bottom"/>
            <w:gridSpan w:val="3"/>
            <w:vMerge w:val="restart"/>
          </w:tcPr>
          <w:p>
            <w:pPr>
              <w:jc w:val="center"/>
              <w:spacing w:after="0"/>
              <w:rPr>
                <w:sz w:val="20"/>
                <w:szCs w:val="20"/>
                <w:color w:val="auto"/>
              </w:rPr>
            </w:pPr>
            <w:r>
              <w:rPr>
                <w:rFonts w:ascii="Arial" w:cs="Arial" w:eastAsia="Arial" w:hAnsi="Arial"/>
                <w:sz w:val="17"/>
                <w:szCs w:val="17"/>
                <w:b w:val="1"/>
                <w:bCs w:val="1"/>
                <w:color w:val="auto"/>
                <w:w w:val="98"/>
              </w:rPr>
              <w:t>Associated Associated Associated</w:t>
            </w: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Amount</w:t>
            </w:r>
          </w:p>
        </w:tc>
        <w:tc>
          <w:tcPr>
            <w:tcW w:w="7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620" w:type="dxa"/>
            <w:vAlign w:val="bottom"/>
            <w:vMerge w:val="continue"/>
          </w:tcPr>
          <w:p>
            <w:pPr>
              <w:spacing w:after="0"/>
              <w:rPr>
                <w:sz w:val="14"/>
                <w:szCs w:val="14"/>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84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80" w:type="dxa"/>
            <w:vAlign w:val="bottom"/>
          </w:tcPr>
          <w:p>
            <w:pPr>
              <w:jc w:val="center"/>
              <w:ind w:left="1677"/>
              <w:spacing w:after="0" w:line="188" w:lineRule="exact"/>
              <w:rPr>
                <w:sz w:val="20"/>
                <w:szCs w:val="20"/>
                <w:color w:val="auto"/>
              </w:rPr>
            </w:pPr>
            <w:r>
              <w:rPr>
                <w:rFonts w:ascii="Arial" w:cs="Arial" w:eastAsia="Arial" w:hAnsi="Arial"/>
                <w:sz w:val="17"/>
                <w:szCs w:val="17"/>
                <w:b w:val="1"/>
                <w:bCs w:val="1"/>
                <w:color w:val="auto"/>
                <w:w w:val="99"/>
              </w:rPr>
              <w:t>Name</w:t>
            </w:r>
          </w:p>
        </w:tc>
        <w:tc>
          <w:tcPr>
            <w:tcW w:w="6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Filing</w:t>
            </w:r>
          </w:p>
        </w:tc>
        <w:tc>
          <w:tcPr>
            <w:tcW w:w="80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6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6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7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9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9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98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70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0" w:type="dxa"/>
            <w:vAlign w:val="bottom"/>
          </w:tcPr>
          <w:p>
            <w:pPr>
              <w:spacing w:after="0"/>
              <w:rPr>
                <w:sz w:val="1"/>
                <w:szCs w:val="1"/>
                <w:color w:val="auto"/>
              </w:rPr>
            </w:pPr>
          </w:p>
        </w:tc>
      </w:tr>
      <w:tr>
        <w:trPr>
          <w:trHeight w:val="115"/>
        </w:trPr>
        <w:tc>
          <w:tcPr>
            <w:tcW w:w="338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9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9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9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70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7"/>
              </w:rPr>
              <w:t>Offset</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-859790</wp:posOffset>
            </wp:positionV>
            <wp:extent cx="7169785" cy="16071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69785" cy="1607185"/>
                    </a:xfrm>
                    <a:prstGeom prst="rect">
                      <a:avLst/>
                    </a:prstGeom>
                    <a:noFill/>
                  </pic:spPr>
                </pic:pic>
              </a:graphicData>
            </a:graphic>
          </wp:anchor>
        </w:drawing>
      </w:r>
    </w:p>
    <w:p>
      <w:pPr>
        <w:ind w:left="9760"/>
        <w:spacing w:after="0"/>
        <w:rPr>
          <w:sz w:val="20"/>
          <w:szCs w:val="20"/>
          <w:color w:val="auto"/>
        </w:rPr>
      </w:pPr>
      <w:r>
        <w:rPr>
          <w:rFonts w:ascii="Arial" w:cs="Arial" w:eastAsia="Arial" w:hAnsi="Arial"/>
          <w:sz w:val="17"/>
          <w:szCs w:val="17"/>
          <w:b w:val="1"/>
          <w:bCs w:val="1"/>
          <w:color w:val="auto"/>
        </w:rPr>
        <w:t>Claimed</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730" cy="2514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10730" cy="2514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730" cy="1936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10730" cy="193675"/>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bookmarkStart w:id="243" w:name="page244"/>
    <w:bookmarkEnd w:id="243"/>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69785" cy="8242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69785" cy="824230"/>
                    </a:xfrm>
                    <a:prstGeom prst="rect">
                      <a:avLst/>
                    </a:prstGeom>
                    <a:noFill/>
                  </pic:spPr>
                </pic:pic>
              </a:graphicData>
            </a:graphic>
          </wp:anchor>
        </w:drawing>
      </w:r>
    </w:p>
    <w:p>
      <w:pPr>
        <w:spacing w:after="0" w:line="1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6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5"/>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4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80"/>
              <w:spacing w:after="0" w:line="188"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300"/>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8"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80" w:type="dxa"/>
            <w:vAlign w:val="bottom"/>
            <w:gridSpan w:val="5"/>
            <w:vMerge w:val="restart"/>
            <w:shd w:val="clear" w:color="auto" w:fill="9ADAF6"/>
          </w:tcPr>
          <w:p>
            <w:pPr>
              <w:ind w:left="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4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30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lowerRoman"/>
      <w:start w:val="4"/>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lvl w:ilvl="1">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1)"/>
      <w:numFmt w:val="lowerRoman"/>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1)"/>
      <w:numFmt w:val="lowerRoman"/>
      <w:start w:val="1"/>
    </w:lvl>
  </w:abstractNum>
  <w:abstractNum w:abstractNumId="16">
    <w:nsid w:val="51D9C564"/>
    <w:multiLevelType w:val="hybridMultilevel"/>
    <w:lvl w:ilvl="0">
      <w:lvlJc w:val="left"/>
      <w:lvlText w:val="(%1)"/>
      <w:numFmt w:val="lowerRoman"/>
      <w:start w:val="3"/>
    </w:lvl>
  </w:abstractNum>
  <w:abstractNum w:abstractNumId="17">
    <w:nsid w:val="613EFDC5"/>
    <w:multiLevelType w:val="hybridMultilevel"/>
    <w:lvl w:ilvl="0">
      <w:lvlJc w:val="left"/>
      <w:lvlText w:val="(%1)"/>
      <w:numFmt w:val="lowerLetter"/>
      <w:start w:val="1"/>
    </w:lvl>
  </w:abstractNum>
  <w:abstractNum w:abstractNumId="18">
    <w:nsid w:val="BF72B14"/>
    <w:multiLevelType w:val="hybridMultilevel"/>
    <w:lvl w:ilvl="0">
      <w:lvlJc w:val="left"/>
      <w:lvlText w:val="(%1)"/>
      <w:numFmt w:val="lowerLetter"/>
      <w:start w:val="4"/>
    </w:lvl>
  </w:abstractNum>
  <w:abstractNum w:abstractNumId="19">
    <w:nsid w:val="11447B73"/>
    <w:multiLevelType w:val="hybridMultilevel"/>
    <w:lvl w:ilvl="0">
      <w:lvlJc w:val="left"/>
      <w:lvlText w:val="(%1)"/>
      <w:numFmt w:val="lowerLetter"/>
      <w:start w:val="24"/>
    </w:lvl>
  </w:abstractNum>
  <w:abstractNum w:abstractNumId="20">
    <w:nsid w:val="42963E5A"/>
    <w:multiLevelType w:val="hybridMultilevel"/>
    <w:lvl w:ilvl="0">
      <w:lvlJc w:val="left"/>
      <w:lvlText w:val="(%1)"/>
      <w:numFmt w:val="lowerLetter"/>
      <w:start w:val="5"/>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1)"/>
      <w:numFmt w:val="upperLetter"/>
      <w:start w:val="1"/>
    </w:lvl>
  </w:abstractNum>
  <w:abstractNum w:abstractNumId="23">
    <w:nsid w:val="1A32234B"/>
    <w:multiLevelType w:val="hybridMultilevel"/>
    <w:lvl w:ilvl="0">
      <w:lvlJc w:val="left"/>
      <w:lvlText w:val="(%1)"/>
      <w:numFmt w:val="upperLetter"/>
      <w:start w:val="5"/>
    </w:lvl>
  </w:abstractNum>
  <w:abstractNum w:abstractNumId="24">
    <w:nsid w:val="3B0FD379"/>
    <w:multiLevelType w:val="hybridMultilevel"/>
    <w:lvl w:ilvl="0">
      <w:lvlJc w:val="left"/>
      <w:lvlText w:val="(%1)"/>
      <w:numFmt w:val="upperLetter"/>
      <w:start w:val="9"/>
    </w:lvl>
  </w:abstractNum>
  <w:abstractNum w:abstractNumId="25">
    <w:nsid w:val="68EB2F63"/>
    <w:multiLevelType w:val="hybridMultilevel"/>
    <w:lvl w:ilvl="0">
      <w:lvlJc w:val="left"/>
      <w:lvlText w:val="(%1)"/>
      <w:numFmt w:val="upperLetter"/>
      <w:start w:val="13"/>
    </w:lvl>
  </w:abstractNum>
  <w:abstractNum w:abstractNumId="26">
    <w:nsid w:val="4962813B"/>
    <w:multiLevelType w:val="hybridMultilevel"/>
    <w:lvl w:ilvl="0">
      <w:lvlJc w:val="left"/>
      <w:lvlText w:val="(%1)"/>
      <w:numFmt w:val="upperLetter"/>
      <w:start w:val="14"/>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lvl w:ilvl="1">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lvl w:ilvl="1">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1)"/>
      <w:numFmt w:val="decimal"/>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1)"/>
      <w:numFmt w:val="decimal"/>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decimal"/>
      <w:start w:val="1"/>
    </w:lvl>
  </w:abstractNum>
  <w:abstractNum w:abstractNumId="70">
    <w:nsid w:val="555C55B5"/>
    <w:multiLevelType w:val="hybridMultilevel"/>
    <w:lvl w:ilvl="0">
      <w:lvlJc w:val="left"/>
      <w:lvlText w:val="(%1)"/>
      <w:numFmt w:val="decimal"/>
      <w:start w:val="2"/>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1)"/>
      <w:numFmt w:val="decimal"/>
      <w:start w:val="1"/>
    </w:lvl>
  </w:abstractNum>
  <w:abstractNum w:abstractNumId="73">
    <w:nsid w:val="6A3DD3E8"/>
    <w:multiLevelType w:val="hybridMultilevel"/>
    <w:lvl w:ilvl="0">
      <w:lvlJc w:val="left"/>
      <w:lvlText w:val="(%1)"/>
      <w:numFmt w:val="decimal"/>
      <w:start w:val="2"/>
    </w:lvl>
  </w:abstractNum>
  <w:abstractNum w:abstractNumId="74">
    <w:nsid w:val="71C91298"/>
    <w:multiLevelType w:val="hybridMultilevel"/>
    <w:lvl w:ilvl="0">
      <w:lvlJc w:val="left"/>
      <w:lvlText w:val="(%1)"/>
      <w:numFmt w:val="decimal"/>
      <w:start w:val="14"/>
    </w:lvl>
  </w:abstractNum>
  <w:abstractNum w:abstractNumId="75">
    <w:nsid w:val="9DAF632"/>
    <w:multiLevelType w:val="hybridMultilevel"/>
    <w:lvl w:ilvl="0">
      <w:lvlJc w:val="left"/>
      <w:lvlText w:val="(%1)"/>
      <w:numFmt w:val="decimal"/>
      <w:start w:val="28"/>
    </w:lvl>
  </w:abstractNum>
  <w:abstractNum w:abstractNumId="76">
    <w:nsid w:val="53299938"/>
    <w:multiLevelType w:val="hybridMultilevel"/>
    <w:lvl w:ilvl="0">
      <w:lvlJc w:val="left"/>
      <w:lvlText w:val="(%1)"/>
      <w:numFmt w:val="decimal"/>
      <w:start w:val="33"/>
    </w:lvl>
  </w:abstractNum>
  <w:abstractNum w:abstractNumId="77">
    <w:nsid w:val="1FBFE8E0"/>
    <w:multiLevelType w:val="hybridMultilevel"/>
    <w:lvl w:ilvl="0">
      <w:lvlJc w:val="left"/>
      <w:lvlText w:val="(%1)"/>
      <w:numFmt w:val="decimal"/>
      <w:start w:val="5"/>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1)"/>
      <w:numFmt w:val="lowerRoman"/>
      <w:start w:val="1"/>
    </w:lvl>
  </w:abstractNum>
  <w:abstractNum w:abstractNumId="88">
    <w:nsid w:val="415E286C"/>
    <w:multiLevelType w:val="hybridMultilevel"/>
    <w:lvl w:ilvl="0">
      <w:lvlJc w:val="left"/>
      <w:lvlText w:val="(%1)"/>
      <w:numFmt w:val="lowerLetter"/>
      <w:start w:val="1"/>
    </w:lvl>
  </w:abstractNum>
  <w:abstractNum w:abstractNumId="89">
    <w:nsid w:val="7C58FD05"/>
    <w:multiLevelType w:val="hybridMultilevel"/>
    <w:lvl w:ilvl="0">
      <w:lvlJc w:val="left"/>
      <w:lvlText w:val="(%1)"/>
      <w:numFmt w:val="lowerLetter"/>
      <w:start w:val="1"/>
    </w:lvl>
  </w:abstractNum>
  <w:abstractNum w:abstractNumId="90">
    <w:nsid w:val="23D86AAC"/>
    <w:multiLevelType w:val="hybridMultilevel"/>
    <w:lvl w:ilvl="0">
      <w:lvlJc w:val="left"/>
      <w:lvlText w:val="(%1)"/>
      <w:numFmt w:val="lowerRoman"/>
      <w:start w:val="1"/>
    </w:lvl>
  </w:abstractNum>
  <w:abstractNum w:abstractNumId="91">
    <w:nsid w:val="45E6D486"/>
    <w:multiLevelType w:val="hybridMultilevel"/>
    <w:lvl w:ilvl="0">
      <w:lvlJc w:val="left"/>
      <w:lvlText w:val="(%1)"/>
      <w:numFmt w:val="lowerLetter"/>
      <w:start w:val="2"/>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1."/>
      <w:numFmt w:val="decimal"/>
      <w:start w:val="7"/>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1)"/>
      <w:numFmt w:val="lowerLetter"/>
      <w:start w:val="1"/>
    </w:lvl>
  </w:abstractNum>
  <w:abstractNum w:abstractNumId="97">
    <w:nsid w:val="39B7AAA2"/>
    <w:multiLevelType w:val="hybridMultilevel"/>
    <w:lvl w:ilvl="0">
      <w:lvlJc w:val="left"/>
      <w:lvlText w:val="%1"/>
      <w:numFmt w:val="decimal"/>
      <w:start w:val="1"/>
    </w:lvl>
    <w:lvl w:ilvl="1">
      <w:lvlJc w:val="left"/>
      <w:lvlText w:val="(%2)"/>
      <w:numFmt w:val="lowerLetter"/>
      <w:start w:val="3"/>
    </w:lvl>
  </w:abstractNum>
  <w:abstractNum w:abstractNumId="98">
    <w:nsid w:val="2B0D8DBE"/>
    <w:multiLevelType w:val="hybridMultilevel"/>
    <w:lvl w:ilvl="0">
      <w:lvlJc w:val="left"/>
      <w:lvlText w:val="(%1)"/>
      <w:numFmt w:val="decimal"/>
      <w:start w:val="4"/>
    </w:lvl>
    <w:lvl w:ilvl="1">
      <w:lvlJc w:val="left"/>
      <w:lvlText w:val="(%2)"/>
      <w:numFmt w:val="lowerLetter"/>
      <w:start w:val="5"/>
    </w:lvl>
  </w:abstractNum>
  <w:abstractNum w:abstractNumId="99">
    <w:nsid w:val="6C80EC70"/>
    <w:multiLevelType w:val="hybridMultilevel"/>
    <w:lvl w:ilvl="0">
      <w:lvlJc w:val="left"/>
      <w:lvlText w:val="(%1)"/>
      <w:numFmt w:val="lowerLetter"/>
      <w:start w:val="9"/>
    </w:lvl>
  </w:abstractNum>
  <w:abstractNum w:abstractNumId="100">
    <w:nsid w:val="379E21B5"/>
    <w:multiLevelType w:val="hybridMultilevel"/>
    <w:lvl w:ilvl="0">
      <w:lvlJc w:val="left"/>
      <w:lvlText w:val="*"/>
      <w:numFmt w:val="bullet"/>
      <w:start w:val="1"/>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
      <w:numFmt w:val="bullet"/>
      <w:start w:val="1"/>
    </w:lvl>
  </w:abstractNum>
  <w:abstractNum w:abstractNumId="103">
    <w:nsid w:val="4C9B0904"/>
    <w:multiLevelType w:val="hybridMultilevel"/>
    <w:lvl w:ilvl="0">
      <w:lvlJc w:val="left"/>
      <w:lvlText w:val="(%1)"/>
      <w:numFmt w:val="lowerRoman"/>
      <w:start w:val="1"/>
    </w:lvl>
  </w:abstractNum>
  <w:abstractNum w:abstractNumId="104">
    <w:nsid w:val="6AA7B75C"/>
    <w:multiLevelType w:val="hybridMultilevel"/>
    <w:lvl w:ilvl="0">
      <w:lvlJc w:val="left"/>
      <w:lvlText w:val="(%1)"/>
      <w:numFmt w:val="lowerRoman"/>
      <w:start w:val="1"/>
    </w:lvl>
  </w:abstractNum>
  <w:abstractNum w:abstractNumId="105">
    <w:nsid w:val="1DF029D3"/>
    <w:multiLevelType w:val="hybridMultilevel"/>
    <w:lvl w:ilvl="0">
      <w:lvlJc w:val="left"/>
      <w:lvlText w:val="(%1)"/>
      <w:numFmt w:val="lowerRoman"/>
      <w:start w:val="3"/>
    </w:lvl>
  </w:abstractNum>
  <w:abstractNum w:abstractNumId="106">
    <w:nsid w:val="5675FF36"/>
    <w:multiLevelType w:val="hybridMultilevel"/>
    <w:lvl w:ilvl="0">
      <w:lvlJc w:val="left"/>
      <w:lvlText w:val="(%1)"/>
      <w:numFmt w:val="lowerRoman"/>
      <w:start w:val="2"/>
    </w:lvl>
  </w:abstractNum>
  <w:abstractNum w:abstractNumId="107">
    <w:nsid w:val="3DD15094"/>
    <w:multiLevelType w:val="hybridMultilevel"/>
    <w:lvl w:ilvl="0">
      <w:lvlJc w:val="left"/>
      <w:lvlText w:val="(%1)"/>
      <w:numFmt w:val="lowerRoman"/>
      <w:start w:val="5"/>
    </w:lvl>
  </w:abstractNum>
  <w:abstractNum w:abstractNumId="108">
    <w:nsid w:val="3DB012B3"/>
    <w:multiLevelType w:val="hybridMultilevel"/>
    <w:lvl w:ilvl="0">
      <w:lvlJc w:val="left"/>
      <w:lvlText w:val="%1."/>
      <w:numFmt w:val="decimal"/>
      <w:start w:val="1"/>
    </w:lvl>
  </w:abstractNum>
  <w:abstractNum w:abstractNumId="109">
    <w:nsid w:val="2708C9AF"/>
    <w:multiLevelType w:val="hybridMultilevel"/>
    <w:lvl w:ilvl="0">
      <w:lvlJc w:val="left"/>
      <w:lvlText w:val="%1."/>
      <w:numFmt w:val="upperLetter"/>
      <w:start w:val="9"/>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1)"/>
      <w:numFmt w:val="lowerLetter"/>
      <w:start w:val="1"/>
    </w:lvl>
  </w:abstractNum>
  <w:abstractNum w:abstractNumId="113">
    <w:nsid w:val="53B0A9E"/>
    <w:multiLevelType w:val="hybridMultilevel"/>
    <w:lvl w:ilvl="0">
      <w:lvlJc w:val="left"/>
      <w:lvlText w:val="(%1)"/>
      <w:numFmt w:val="lowerLetter"/>
      <w:start w:val="1"/>
    </w:lvl>
  </w:abstractNum>
  <w:abstractNum w:abstractNumId="114">
    <w:nsid w:val="34FD6B4F"/>
    <w:multiLevelType w:val="hybridMultilevel"/>
    <w:lvl w:ilvl="0">
      <w:lvlJc w:val="left"/>
      <w:lvlText w:val="(%1)"/>
      <w:numFmt w:val="lowerLetter"/>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
      <w:numFmt w:val="bullet"/>
      <w:start w:val="1"/>
    </w:lvl>
  </w:abstractNum>
  <w:abstractNum w:abstractNumId="119">
    <w:nsid w:val="17A1B582"/>
    <w:multiLevelType w:val="hybridMultilevel"/>
    <w:lvl w:ilvl="0">
      <w:lvlJc w:val="left"/>
      <w:lvlText w:val="•"/>
      <w:numFmt w:val="bullet"/>
      <w:start w:val="1"/>
    </w:lvl>
    <w:lvl w:ilvl="1">
      <w:lvlJc w:val="left"/>
      <w:lvlText w:val="(%2)"/>
      <w:numFmt w:val="lowerRoman"/>
      <w:start w:val="2"/>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1."/>
      <w:numFmt w:val="decimal"/>
      <w:start w:val="1"/>
    </w:lvl>
    <w:lvl w:ilvl="1">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1"/>
      <w:numFmt w:val="bullet"/>
      <w:start w:val="1"/>
    </w:lvl>
  </w:abstractNum>
  <w:abstractNum w:abstractNumId="131">
    <w:nsid w:val="B37E80A"/>
    <w:multiLevelType w:val="hybridMultilevel"/>
    <w:lvl w:ilvl="0">
      <w:lvlJc w:val="left"/>
      <w:lvlText w:val="2"/>
      <w:numFmt w:val="bullet"/>
      <w:start w:val="1"/>
    </w:lvl>
  </w:abstractNum>
  <w:abstractNum w:abstractNumId="132">
    <w:nsid w:val="2157F6BC"/>
    <w:multiLevelType w:val="hybridMultilevel"/>
    <w:lvl w:ilvl="0">
      <w:lvlJc w:val="left"/>
      <w:lvlText w:val="3"/>
      <w:numFmt w:val="bullet"/>
      <w:start w:val="1"/>
    </w:lvl>
  </w:abstractNum>
  <w:abstractNum w:abstractNumId="133">
    <w:nsid w:val="704E1DD5"/>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8"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51" Type="http://schemas.openxmlformats.org/officeDocument/2006/relationships/hyperlink" Target="http://www.sec.gov/Archives/edgar/data/2023730/000119312525221780/d63557dex21.htm" TargetMode="External"/><Relationship Id="rId252" Type="http://schemas.openxmlformats.org/officeDocument/2006/relationships/hyperlink" Target="http://www.sec.gov/ix?doc=/Archives/edgar/data/2023730/000119312526151242/d949764ds4a.htm#ii949764_bb" TargetMode="External"/><Relationship Id="rId253" Type="http://schemas.openxmlformats.org/officeDocument/2006/relationships/hyperlink" Target="http://www.sec.gov/Archives/edgar/data/2023730/000119312526162774/d144257dex21.htm" TargetMode="External"/><Relationship Id="rId254" Type="http://schemas.openxmlformats.org/officeDocument/2006/relationships/hyperlink" Target="http://www.sec.gov/Archives/edgar/data/2023730/000119312526249151/d26249dex31.htm" TargetMode="External"/><Relationship Id="rId255" Type="http://schemas.openxmlformats.org/officeDocument/2006/relationships/hyperlink" Target="http://www.sec.gov/Archives/edgar/data/2023730/000119312526249151/d26249dex32.htm" TargetMode="External"/><Relationship Id="rId256" Type="http://schemas.openxmlformats.org/officeDocument/2006/relationships/hyperlink" Target="http://www.sec.gov/Archives/edgar/data/2023730/000119312524212131/d890800dex41.htm" TargetMode="External"/><Relationship Id="rId257" Type="http://schemas.openxmlformats.org/officeDocument/2006/relationships/hyperlink" Target="http://www.sec.gov/Archives/edgar/data/2023730/000119312524212131/d890800dex101.htm" TargetMode="External"/><Relationship Id="rId259" Type="http://schemas.openxmlformats.org/officeDocument/2006/relationships/hyperlink" Target="http://www.sec.gov/Archives/edgar/data/2023730/000119312526242343/d23892dex101.htm" TargetMode="External"/><Relationship Id="rId260" Type="http://schemas.openxmlformats.org/officeDocument/2006/relationships/hyperlink" Target="http://www.sec.gov/Archives/edgar/data/2023730/000119312526249151/d26249dex101.htm" TargetMode="External"/><Relationship Id="rId261" Type="http://schemas.openxmlformats.org/officeDocument/2006/relationships/hyperlink" Target="http://www.sec.gov/Archives/edgar/data/2023730/000119312525221780/d63557dex101.htm" TargetMode="External"/><Relationship Id="rId262" Type="http://schemas.openxmlformats.org/officeDocument/2006/relationships/hyperlink" Target="http://www.sec.gov/Archives/edgar/data/2023730/000119312526242343/d23892dex102.htm" TargetMode="External"/><Relationship Id="rId263" Type="http://schemas.openxmlformats.org/officeDocument/2006/relationships/hyperlink" Target="http://www.sec.gov/Archives/edgar/data/2023730/000119312526249151/d26249dex102.htm" TargetMode="External"/><Relationship Id="rId264" Type="http://schemas.openxmlformats.org/officeDocument/2006/relationships/hyperlink" Target="http://www.sec.gov/Archives/edgar/data/2023730/000119312526211817/d152235dex102.htm" TargetMode="External"/><Relationship Id="rId265" Type="http://schemas.openxmlformats.org/officeDocument/2006/relationships/hyperlink" Target="http://www.sec.gov/Archives/edgar/data/2023730/000119312526201664/d725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2026-06-15T16:33:49Z</dcterms:created>
  <dcterms:modified xsi:type="dcterms:W3CDTF">2026-06-15T16:33:49Z</dcterms:modified>
</cp:coreProperties>
</file>