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3"/>
          <w:szCs w:val="23"/>
          <w:b w:val="1"/>
          <w:bCs w:val="1"/>
          <w:color w:val="auto"/>
        </w:rPr>
        <w:drawing>
          <wp:anchor simplePos="0" relativeHeight="251657728" behindDoc="1" locked="0" layoutInCell="0" allowOverlap="1">
            <wp:simplePos x="0" y="0"/>
            <wp:positionH relativeFrom="page">
              <wp:posOffset>1318895</wp:posOffset>
            </wp:positionH>
            <wp:positionV relativeFrom="page">
              <wp:posOffset>142875</wp:posOffset>
            </wp:positionV>
            <wp:extent cx="4910455"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910455" cy="5715"/>
                    </a:xfrm>
                    <a:prstGeom prst="rect">
                      <a:avLst/>
                    </a:prstGeom>
                    <a:noFill/>
                  </pic:spPr>
                </pic:pic>
              </a:graphicData>
            </a:graphic>
          </wp:anchor>
        </w:drawing>
        <w:drawing>
          <wp:anchor simplePos="0" relativeHeight="251657728" behindDoc="1" locked="0" layoutInCell="0" allowOverlap="1">
            <wp:simplePos x="0" y="0"/>
            <wp:positionH relativeFrom="page">
              <wp:posOffset>1318895</wp:posOffset>
            </wp:positionH>
            <wp:positionV relativeFrom="page">
              <wp:posOffset>173355</wp:posOffset>
            </wp:positionV>
            <wp:extent cx="4910455"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910455" cy="5715"/>
                    </a:xfrm>
                    <a:prstGeom prst="rect">
                      <a:avLst/>
                    </a:prstGeom>
                    <a:noFill/>
                  </pic:spPr>
                </pic:pic>
              </a:graphicData>
            </a:graphic>
          </wp:anchor>
        </w:drawing>
        <w:t>UNITED STATES</w:t>
      </w:r>
    </w:p>
    <w:p>
      <w:pPr>
        <w:spacing w:after="0" w:line="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102870</wp:posOffset>
            </wp:positionV>
            <wp:extent cx="103505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19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124460</wp:posOffset>
            </wp:positionV>
            <wp:extent cx="103505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2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CURRENT REPORT</w:t>
      </w: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Pursuant to Section 13 or 15(d)</w:t>
      </w:r>
    </w:p>
    <w:p>
      <w:pPr>
        <w:jc w:val="center"/>
        <w:spacing w:after="0"/>
        <w:rPr>
          <w:sz w:val="20"/>
          <w:szCs w:val="20"/>
          <w:color w:val="auto"/>
        </w:rPr>
      </w:pPr>
      <w:r>
        <w:rPr>
          <w:rFonts w:ascii="Times New Roman" w:cs="Times New Roman" w:eastAsia="Times New Roman" w:hAnsi="Times New Roman"/>
          <w:sz w:val="15"/>
          <w:szCs w:val="15"/>
          <w:b w:val="1"/>
          <w:bCs w:val="1"/>
          <w:color w:val="auto"/>
        </w:rPr>
        <w:t>of the Securities Exchange Act of 1934</w:t>
      </w:r>
    </w:p>
    <w:p>
      <w:pPr>
        <w:spacing w:after="0" w:line="7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Date of Report (Date of earliest event reported): June 18,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121285</wp:posOffset>
            </wp:positionV>
            <wp:extent cx="103505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0"/>
          <w:szCs w:val="30"/>
          <w:b w:val="1"/>
          <w:bCs w:val="1"/>
          <w:color w:val="auto"/>
        </w:rPr>
        <w:t>Hadron Energy, Inc.</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102870</wp:posOffset>
            </wp:positionV>
            <wp:extent cx="103505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ectPr>
          <w:pgSz w:w="11900" w:h="16838" w:orient="portrait"/>
          <w:cols w:equalWidth="0" w:num="1">
            <w:col w:w="9019"/>
          </w:cols>
          <w:pgMar w:left="1440" w:top="352" w:right="1440" w:bottom="1440" w:gutter="0" w:footer="0" w:header="0"/>
        </w:sectPr>
      </w:pPr>
    </w:p>
    <w:p>
      <w:pPr>
        <w:spacing w:after="0" w:line="270" w:lineRule="exact"/>
        <w:rPr>
          <w:sz w:val="24"/>
          <w:szCs w:val="24"/>
          <w:color w:val="auto"/>
        </w:rPr>
      </w:pPr>
    </w:p>
    <w:p>
      <w:pPr>
        <w:ind w:left="1700"/>
        <w:spacing w:after="0"/>
        <w:rPr>
          <w:sz w:val="20"/>
          <w:szCs w:val="20"/>
          <w:color w:val="auto"/>
        </w:rPr>
      </w:pPr>
      <w:r>
        <w:rPr>
          <w:rFonts w:ascii="Times New Roman" w:cs="Times New Roman" w:eastAsia="Times New Roman" w:hAnsi="Times New Roman"/>
          <w:sz w:val="12"/>
          <w:szCs w:val="12"/>
          <w:b w:val="1"/>
          <w:bCs w:val="1"/>
          <w:color w:val="auto"/>
        </w:rPr>
        <w:t>Delaware</w:t>
      </w:r>
    </w:p>
    <w:p>
      <w:pPr>
        <w:spacing w:after="0" w:line="20" w:lineRule="exact"/>
        <w:rPr>
          <w:sz w:val="24"/>
          <w:szCs w:val="24"/>
          <w:color w:val="auto"/>
        </w:rPr>
      </w:pPr>
      <w:r>
        <w:rPr>
          <w:sz w:val="24"/>
          <w:szCs w:val="24"/>
          <w:color w:val="auto"/>
        </w:rPr>
        <w:br w:type="column"/>
      </w:r>
    </w:p>
    <w:p>
      <w:pPr>
        <w:spacing w:after="0" w:line="250" w:lineRule="exact"/>
        <w:rPr>
          <w:sz w:val="24"/>
          <w:szCs w:val="24"/>
          <w:color w:val="auto"/>
        </w:rPr>
      </w:pPr>
    </w:p>
    <w:p>
      <w:pPr>
        <w:jc w:val="center"/>
        <w:ind w:right="1240"/>
        <w:spacing w:after="0"/>
        <w:rPr>
          <w:sz w:val="20"/>
          <w:szCs w:val="20"/>
          <w:color w:val="auto"/>
        </w:rPr>
      </w:pPr>
      <w:r>
        <w:rPr>
          <w:rFonts w:ascii="Times New Roman" w:cs="Times New Roman" w:eastAsia="Times New Roman" w:hAnsi="Times New Roman"/>
          <w:sz w:val="12"/>
          <w:szCs w:val="12"/>
          <w:b w:val="1"/>
          <w:bCs w:val="1"/>
          <w:color w:val="auto"/>
        </w:rPr>
        <w:t>001-42262</w:t>
      </w:r>
    </w:p>
    <w:p>
      <w:pPr>
        <w:spacing w:after="0" w:line="20" w:lineRule="exact"/>
        <w:rPr>
          <w:sz w:val="24"/>
          <w:szCs w:val="24"/>
          <w:color w:val="auto"/>
        </w:rPr>
      </w:pPr>
      <w:r>
        <w:rPr>
          <w:sz w:val="24"/>
          <w:szCs w:val="24"/>
          <w:color w:val="auto"/>
        </w:rPr>
        <w:br w:type="column"/>
      </w:r>
    </w:p>
    <w:p>
      <w:pPr>
        <w:spacing w:after="0" w:line="250"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33-4336458</w:t>
      </w:r>
    </w:p>
    <w:p>
      <w:pPr>
        <w:spacing w:after="0" w:line="13" w:lineRule="exact"/>
        <w:rPr>
          <w:sz w:val="24"/>
          <w:szCs w:val="24"/>
          <w:color w:val="auto"/>
        </w:rPr>
      </w:pPr>
    </w:p>
    <w:p>
      <w:pPr>
        <w:sectPr>
          <w:pgSz w:w="11900" w:h="16838" w:orient="portrait"/>
          <w:cols w:equalWidth="0" w:num="3">
            <w:col w:w="3600" w:space="720"/>
            <w:col w:w="1780" w:space="720"/>
            <w:col w:w="2199"/>
          </w:cols>
          <w:pgMar w:left="1440" w:top="352" w:right="1440" w:bottom="1440" w:gutter="0" w:footer="0" w:header="0"/>
          <w:type w:val="continuous"/>
        </w:sectPr>
      </w:pPr>
    </w:p>
    <w:p>
      <w:pPr>
        <w:ind w:left="1320"/>
        <w:spacing w:after="0"/>
        <w:rPr>
          <w:sz w:val="20"/>
          <w:szCs w:val="20"/>
          <w:color w:val="auto"/>
        </w:rPr>
      </w:pPr>
      <w:r>
        <w:rPr>
          <w:rFonts w:ascii="Times New Roman" w:cs="Times New Roman" w:eastAsia="Times New Roman" w:hAnsi="Times New Roman"/>
          <w:sz w:val="10"/>
          <w:szCs w:val="10"/>
          <w:b w:val="1"/>
          <w:bCs w:val="1"/>
          <w:color w:val="auto"/>
        </w:rPr>
        <w:t>(State or other jurisdiction of</w:t>
      </w:r>
    </w:p>
    <w:p>
      <w:pPr>
        <w:ind w:left="1300"/>
        <w:spacing w:after="0"/>
        <w:rPr>
          <w:sz w:val="20"/>
          <w:szCs w:val="20"/>
          <w:color w:val="auto"/>
        </w:rPr>
      </w:pPr>
      <w:r>
        <w:rPr>
          <w:rFonts w:ascii="Times New Roman" w:cs="Times New Roman" w:eastAsia="Times New Roman" w:hAnsi="Times New Roman"/>
          <w:sz w:val="9"/>
          <w:szCs w:val="9"/>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0"/>
          <w:szCs w:val="10"/>
          <w:b w:val="1"/>
          <w:bCs w:val="1"/>
          <w:color w:val="auto"/>
        </w:rPr>
        <w:t>(Commission</w:t>
      </w:r>
    </w:p>
    <w:p>
      <w:pPr>
        <w:spacing w:after="0"/>
        <w:rPr>
          <w:sz w:val="20"/>
          <w:szCs w:val="20"/>
          <w:color w:val="auto"/>
        </w:rPr>
      </w:pPr>
      <w:r>
        <w:rPr>
          <w:rFonts w:ascii="Times New Roman" w:cs="Times New Roman" w:eastAsia="Times New Roman" w:hAnsi="Times New Roman"/>
          <w:sz w:val="10"/>
          <w:szCs w:val="10"/>
          <w:b w:val="1"/>
          <w:bCs w:val="1"/>
          <w:color w:val="auto"/>
        </w:rPr>
        <w:t>File Number)</w:t>
      </w:r>
    </w:p>
    <w:p>
      <w:pPr>
        <w:spacing w:after="0" w:line="20" w:lineRule="exact"/>
        <w:rPr>
          <w:sz w:val="24"/>
          <w:szCs w:val="24"/>
          <w:color w:val="auto"/>
        </w:rPr>
      </w:pPr>
      <w:r>
        <w:rPr>
          <w:sz w:val="24"/>
          <w:szCs w:val="24"/>
          <w:color w:val="auto"/>
        </w:rPr>
        <w:br w:type="column"/>
      </w:r>
    </w:p>
    <w:p>
      <w:pPr>
        <w:jc w:val="center"/>
        <w:ind w:right="1499"/>
        <w:spacing w:after="0"/>
        <w:rPr>
          <w:sz w:val="20"/>
          <w:szCs w:val="20"/>
          <w:color w:val="auto"/>
        </w:rPr>
      </w:pPr>
      <w:r>
        <w:rPr>
          <w:rFonts w:ascii="Times New Roman" w:cs="Times New Roman" w:eastAsia="Times New Roman" w:hAnsi="Times New Roman"/>
          <w:sz w:val="10"/>
          <w:szCs w:val="10"/>
          <w:b w:val="1"/>
          <w:bCs w:val="1"/>
          <w:color w:val="auto"/>
        </w:rPr>
        <w:t>(IRS Employer</w:t>
      </w:r>
    </w:p>
    <w:p>
      <w:pPr>
        <w:jc w:val="center"/>
        <w:ind w:right="1499"/>
        <w:spacing w:after="0"/>
        <w:rPr>
          <w:sz w:val="20"/>
          <w:szCs w:val="20"/>
          <w:color w:val="auto"/>
        </w:rPr>
      </w:pPr>
      <w:r>
        <w:rPr>
          <w:rFonts w:ascii="Times New Roman" w:cs="Times New Roman" w:eastAsia="Times New Roman" w:hAnsi="Times New Roman"/>
          <w:sz w:val="9"/>
          <w:szCs w:val="9"/>
          <w:b w:val="1"/>
          <w:bCs w:val="1"/>
          <w:color w:val="auto"/>
        </w:rPr>
        <w:t>Identification No.)</w:t>
      </w:r>
    </w:p>
    <w:p>
      <w:pPr>
        <w:spacing w:after="0" w:line="94" w:lineRule="exact"/>
        <w:rPr>
          <w:sz w:val="24"/>
          <w:szCs w:val="24"/>
          <w:color w:val="auto"/>
        </w:rPr>
      </w:pPr>
    </w:p>
    <w:p>
      <w:pPr>
        <w:sectPr>
          <w:pgSz w:w="11900" w:h="16838" w:orient="portrait"/>
          <w:cols w:equalWidth="0" w:num="3">
            <w:col w:w="3580" w:space="720"/>
            <w:col w:w="1720" w:space="720"/>
            <w:col w:w="2279"/>
          </w:cols>
          <w:pgMar w:left="1440" w:top="352" w:right="1440"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3"/>
          <w:szCs w:val="13"/>
          <w:b w:val="1"/>
          <w:bCs w:val="1"/>
          <w:color w:val="auto"/>
        </w:rPr>
        <w:t>3 Twin Dolphin Drive, Ste 260</w:t>
      </w: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Redwood City, CA 94065</w:t>
      </w:r>
    </w:p>
    <w:p>
      <w:pPr>
        <w:jc w:val="center"/>
        <w:spacing w:after="0"/>
        <w:rPr>
          <w:sz w:val="20"/>
          <w:szCs w:val="20"/>
          <w:color w:val="auto"/>
        </w:rPr>
      </w:pPr>
      <w:r>
        <w:rPr>
          <w:rFonts w:ascii="Times New Roman" w:cs="Times New Roman" w:eastAsia="Times New Roman" w:hAnsi="Times New Roman"/>
          <w:sz w:val="10"/>
          <w:szCs w:val="10"/>
          <w:b w:val="1"/>
          <w:bCs w:val="1"/>
          <w:color w:val="auto"/>
        </w:rPr>
        <w:t>(Address of principal executive offices, including zip code)</w:t>
      </w:r>
    </w:p>
    <w:p>
      <w:pPr>
        <w:spacing w:after="0" w:line="8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(650) 276-7040</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0"/>
          <w:szCs w:val="10"/>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98425</wp:posOffset>
            </wp:positionV>
            <wp:extent cx="103505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ectPr>
          <w:pgSz w:w="11900" w:h="16838" w:orient="portrait"/>
          <w:cols w:equalWidth="0" w:num="1">
            <w:col w:w="9019"/>
          </w:cols>
          <w:pgMar w:left="1440" w:top="352" w:right="1440" w:bottom="1440" w:gutter="0" w:footer="0" w:header="0"/>
          <w:type w:val="continuous"/>
        </w:sectPr>
      </w:pPr>
    </w:p>
    <w:p>
      <w:pPr>
        <w:spacing w:after="0" w:line="228" w:lineRule="exact"/>
        <w:rPr>
          <w:sz w:val="24"/>
          <w:szCs w:val="24"/>
          <w:color w:val="auto"/>
        </w:rPr>
      </w:pPr>
    </w:p>
    <w:p>
      <w:pPr>
        <w:ind w:left="640" w:right="979"/>
        <w:spacing w:after="0" w:line="267" w:lineRule="auto"/>
        <w:rPr>
          <w:sz w:val="20"/>
          <w:szCs w:val="20"/>
          <w:color w:val="auto"/>
        </w:rPr>
      </w:pPr>
      <w:r>
        <w:rPr>
          <w:rFonts w:ascii="Times New Roman" w:cs="Times New Roman" w:eastAsia="Times New Roman" w:hAnsi="Times New Roman"/>
          <w:sz w:val="13"/>
          <w:szCs w:val="13"/>
          <w:color w:val="auto"/>
        </w:rPr>
        <w:t>Check the appropriate box below if the Form 8-K filing is intended to simultaneously satisfy the filing obligation of the registrant under any of the following provisions (see General Instruction A.2 below):</w:t>
      </w:r>
    </w:p>
    <w:p>
      <w:pPr>
        <w:spacing w:after="0" w:line="56" w:lineRule="exact"/>
        <w:rPr>
          <w:sz w:val="24"/>
          <w:szCs w:val="24"/>
          <w:color w:val="auto"/>
        </w:rPr>
      </w:pPr>
    </w:p>
    <w:p>
      <w:pPr>
        <w:ind w:left="940" w:hanging="303"/>
        <w:spacing w:after="0"/>
        <w:tabs>
          <w:tab w:leader="none" w:pos="94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Written communications pursuant to Rule 425 under the Securities Act (17 CFR 230.425)</w:t>
      </w:r>
    </w:p>
    <w:p>
      <w:pPr>
        <w:spacing w:after="0" w:line="87" w:lineRule="exact"/>
        <w:rPr>
          <w:rFonts w:ascii="MS PGothic" w:cs="MS PGothic" w:eastAsia="MS PGothic" w:hAnsi="MS PGothic"/>
          <w:sz w:val="13"/>
          <w:szCs w:val="13"/>
          <w:color w:val="auto"/>
        </w:rPr>
      </w:pPr>
    </w:p>
    <w:p>
      <w:pPr>
        <w:ind w:left="940" w:hanging="303"/>
        <w:spacing w:after="0"/>
        <w:tabs>
          <w:tab w:leader="none" w:pos="94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Soliciting material pursuant to Rule 14a-12 under the Exchange Act (17 CFR 240.14a-12)</w:t>
      </w:r>
    </w:p>
    <w:p>
      <w:pPr>
        <w:spacing w:after="0" w:line="87" w:lineRule="exact"/>
        <w:rPr>
          <w:rFonts w:ascii="MS PGothic" w:cs="MS PGothic" w:eastAsia="MS PGothic" w:hAnsi="MS PGothic"/>
          <w:sz w:val="13"/>
          <w:szCs w:val="13"/>
          <w:color w:val="auto"/>
        </w:rPr>
      </w:pPr>
    </w:p>
    <w:p>
      <w:pPr>
        <w:ind w:left="940" w:hanging="303"/>
        <w:spacing w:after="0"/>
        <w:tabs>
          <w:tab w:leader="none" w:pos="94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Pre-commencement communications pursuant to Rule 14d-2(b) under the Exchange Act (17 CFR 240.14d-2(b))</w:t>
      </w:r>
    </w:p>
    <w:p>
      <w:pPr>
        <w:spacing w:after="0" w:line="87" w:lineRule="exact"/>
        <w:rPr>
          <w:rFonts w:ascii="MS PGothic" w:cs="MS PGothic" w:eastAsia="MS PGothic" w:hAnsi="MS PGothic"/>
          <w:sz w:val="13"/>
          <w:szCs w:val="13"/>
          <w:color w:val="auto"/>
        </w:rPr>
      </w:pPr>
    </w:p>
    <w:p>
      <w:pPr>
        <w:ind w:left="640" w:right="2439" w:hanging="3"/>
        <w:spacing w:after="0" w:line="407" w:lineRule="auto"/>
        <w:tabs>
          <w:tab w:leader="none" w:pos="943"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Pre-commencement communications pursuant to Rule 13e-4(c) under the Exchange Act (17 CFR 240.13e-4(c)) Securities registered pursuant to Section 12(b) of the Act:</w:t>
      </w:r>
    </w:p>
    <w:tbl>
      <w:tblPr>
        <w:tblLayout w:type="fixed"/>
        <w:tblInd w:w="640" w:type="dxa"/>
        <w:tblCellMar>
          <w:top w:w="0" w:type="dxa"/>
          <w:left w:w="0" w:type="dxa"/>
          <w:bottom w:w="0" w:type="dxa"/>
          <w:right w:w="0" w:type="dxa"/>
        </w:tblCellMar>
      </w:tblPr>
      <w:tr>
        <w:trPr>
          <w:trHeight w:val="105"/>
        </w:trPr>
        <w:tc>
          <w:tcPr>
            <w:tcW w:w="27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w w:val="98"/>
              </w:rPr>
              <w:t>Title of each class</w:t>
            </w:r>
          </w:p>
        </w:tc>
        <w:tc>
          <w:tcPr>
            <w:tcW w:w="2560" w:type="dxa"/>
            <w:vAlign w:val="bottom"/>
            <w:gridSpan w:val="2"/>
          </w:tcPr>
          <w:p>
            <w:pPr>
              <w:jc w:val="center"/>
              <w:ind w:right="60"/>
              <w:spacing w:after="0" w:line="105" w:lineRule="exact"/>
              <w:rPr>
                <w:sz w:val="20"/>
                <w:szCs w:val="20"/>
                <w:color w:val="auto"/>
              </w:rPr>
            </w:pPr>
            <w:r>
              <w:rPr>
                <w:rFonts w:ascii="Times New Roman" w:cs="Times New Roman" w:eastAsia="Times New Roman" w:hAnsi="Times New Roman"/>
                <w:sz w:val="10"/>
                <w:szCs w:val="10"/>
                <w:b w:val="1"/>
                <w:bCs w:val="1"/>
                <w:color w:val="auto"/>
                <w:w w:val="96"/>
              </w:rPr>
              <w:t>Trading</w:t>
            </w:r>
          </w:p>
        </w:tc>
        <w:tc>
          <w:tcPr>
            <w:tcW w:w="2480" w:type="dxa"/>
            <w:vAlign w:val="bottom"/>
          </w:tcPr>
          <w:p>
            <w:pPr>
              <w:jc w:val="center"/>
              <w:spacing w:after="0" w:line="105" w:lineRule="exact"/>
              <w:rPr>
                <w:sz w:val="20"/>
                <w:szCs w:val="20"/>
                <w:color w:val="auto"/>
              </w:rPr>
            </w:pPr>
            <w:r>
              <w:rPr>
                <w:rFonts w:ascii="Times New Roman" w:cs="Times New Roman" w:eastAsia="Times New Roman" w:hAnsi="Times New Roman"/>
                <w:sz w:val="10"/>
                <w:szCs w:val="10"/>
                <w:b w:val="1"/>
                <w:bCs w:val="1"/>
                <w:color w:val="auto"/>
              </w:rPr>
              <w:t>Name of each exchange</w:t>
            </w:r>
          </w:p>
        </w:tc>
        <w:tc>
          <w:tcPr>
            <w:tcW w:w="0" w:type="dxa"/>
            <w:vAlign w:val="bottom"/>
          </w:tcPr>
          <w:p>
            <w:pPr>
              <w:spacing w:after="0"/>
              <w:rPr>
                <w:sz w:val="1"/>
                <w:szCs w:val="1"/>
                <w:color w:val="auto"/>
              </w:rPr>
            </w:pPr>
          </w:p>
        </w:tc>
      </w:tr>
      <w:tr>
        <w:trPr>
          <w:trHeight w:val="130"/>
        </w:trPr>
        <w:tc>
          <w:tcPr>
            <w:tcW w:w="2700" w:type="dxa"/>
            <w:vAlign w:val="bottom"/>
            <w:gridSpan w:val="2"/>
            <w:vMerge w:val="continue"/>
          </w:tcPr>
          <w:p>
            <w:pPr>
              <w:spacing w:after="0"/>
              <w:rPr>
                <w:sz w:val="11"/>
                <w:szCs w:val="11"/>
                <w:color w:val="auto"/>
              </w:rPr>
            </w:pPr>
          </w:p>
        </w:tc>
        <w:tc>
          <w:tcPr>
            <w:tcW w:w="2560" w:type="dxa"/>
            <w:vAlign w:val="bottom"/>
            <w:gridSpan w:val="2"/>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rPr>
              <w:t>Symbol(s)</w:t>
            </w:r>
          </w:p>
        </w:tc>
        <w:tc>
          <w:tcPr>
            <w:tcW w:w="24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on which registered</w:t>
            </w:r>
          </w:p>
        </w:tc>
        <w:tc>
          <w:tcPr>
            <w:tcW w:w="0" w:type="dxa"/>
            <w:vAlign w:val="bottom"/>
          </w:tcPr>
          <w:p>
            <w:pPr>
              <w:spacing w:after="0"/>
              <w:rPr>
                <w:sz w:val="1"/>
                <w:szCs w:val="1"/>
                <w:color w:val="auto"/>
              </w:rPr>
            </w:pPr>
          </w:p>
        </w:tc>
      </w:tr>
      <w:tr>
        <w:trPr>
          <w:trHeight w:val="128"/>
        </w:trPr>
        <w:tc>
          <w:tcPr>
            <w:tcW w:w="2620" w:type="dxa"/>
            <w:vAlign w:val="bottom"/>
            <w:tcBorders>
              <w:top w:val="single" w:sz="8" w:color="auto"/>
            </w:tcBorders>
          </w:tcPr>
          <w:p>
            <w:pPr>
              <w:jc w:val="center"/>
              <w:spacing w:after="0" w:line="128" w:lineRule="exact"/>
              <w:rPr>
                <w:sz w:val="20"/>
                <w:szCs w:val="20"/>
                <w:color w:val="auto"/>
              </w:rPr>
            </w:pPr>
            <w:r>
              <w:rPr>
                <w:rFonts w:ascii="Times New Roman" w:cs="Times New Roman" w:eastAsia="Times New Roman" w:hAnsi="Times New Roman"/>
                <w:sz w:val="13"/>
                <w:szCs w:val="13"/>
                <w:color w:val="auto"/>
                <w:w w:val="97"/>
              </w:rPr>
              <w:t>Common Stock, par value $0.0001 per share</w:t>
            </w:r>
          </w:p>
        </w:tc>
        <w:tc>
          <w:tcPr>
            <w:tcW w:w="80" w:type="dxa"/>
            <w:vAlign w:val="bottom"/>
          </w:tcPr>
          <w:p>
            <w:pPr>
              <w:spacing w:after="0"/>
              <w:rPr>
                <w:sz w:val="11"/>
                <w:szCs w:val="11"/>
                <w:color w:val="auto"/>
              </w:rPr>
            </w:pPr>
          </w:p>
        </w:tc>
        <w:tc>
          <w:tcPr>
            <w:tcW w:w="2480" w:type="dxa"/>
            <w:vAlign w:val="bottom"/>
            <w:tcBorders>
              <w:top w:val="single" w:sz="8" w:color="auto"/>
            </w:tcBorders>
          </w:tcPr>
          <w:p>
            <w:pPr>
              <w:jc w:val="center"/>
              <w:spacing w:after="0" w:line="128" w:lineRule="exact"/>
              <w:rPr>
                <w:sz w:val="20"/>
                <w:szCs w:val="20"/>
                <w:color w:val="auto"/>
              </w:rPr>
            </w:pPr>
            <w:r>
              <w:rPr>
                <w:rFonts w:ascii="Times New Roman" w:cs="Times New Roman" w:eastAsia="Times New Roman" w:hAnsi="Times New Roman"/>
                <w:sz w:val="13"/>
                <w:szCs w:val="13"/>
                <w:color w:val="auto"/>
                <w:w w:val="97"/>
              </w:rPr>
              <w:t>HDRN</w:t>
            </w:r>
          </w:p>
        </w:tc>
        <w:tc>
          <w:tcPr>
            <w:tcW w:w="80" w:type="dxa"/>
            <w:vAlign w:val="bottom"/>
          </w:tcPr>
          <w:p>
            <w:pPr>
              <w:spacing w:after="0"/>
              <w:rPr>
                <w:sz w:val="11"/>
                <w:szCs w:val="11"/>
                <w:color w:val="auto"/>
              </w:rPr>
            </w:pPr>
          </w:p>
        </w:tc>
        <w:tc>
          <w:tcPr>
            <w:tcW w:w="2480" w:type="dxa"/>
            <w:vAlign w:val="bottom"/>
            <w:tcBorders>
              <w:top w:val="single" w:sz="8" w:color="auto"/>
            </w:tcBorders>
          </w:tcPr>
          <w:p>
            <w:pPr>
              <w:jc w:val="center"/>
              <w:spacing w:after="0" w:line="128" w:lineRule="exact"/>
              <w:rPr>
                <w:sz w:val="20"/>
                <w:szCs w:val="20"/>
                <w:color w:val="auto"/>
              </w:rPr>
            </w:pPr>
            <w:r>
              <w:rPr>
                <w:rFonts w:ascii="Times New Roman" w:cs="Times New Roman" w:eastAsia="Times New Roman" w:hAnsi="Times New Roman"/>
                <w:sz w:val="13"/>
                <w:szCs w:val="13"/>
                <w:color w:val="auto"/>
                <w:w w:val="97"/>
              </w:rPr>
              <w:t>The Nasdaq Stock Market LLC</w:t>
            </w:r>
          </w:p>
        </w:tc>
        <w:tc>
          <w:tcPr>
            <w:tcW w:w="0" w:type="dxa"/>
            <w:vAlign w:val="bottom"/>
          </w:tcPr>
          <w:p>
            <w:pPr>
              <w:spacing w:after="0"/>
              <w:rPr>
                <w:sz w:val="1"/>
                <w:szCs w:val="1"/>
                <w:color w:val="auto"/>
              </w:rPr>
            </w:pPr>
          </w:p>
        </w:tc>
      </w:tr>
      <w:tr>
        <w:trPr>
          <w:trHeight w:val="152"/>
        </w:trPr>
        <w:tc>
          <w:tcPr>
            <w:tcW w:w="27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97"/>
              </w:rPr>
              <w:t>Redeemable warrants, each full warrant exercisable</w:t>
            </w:r>
          </w:p>
        </w:tc>
        <w:tc>
          <w:tcPr>
            <w:tcW w:w="256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97"/>
              </w:rPr>
              <w:t>HDRNW</w:t>
            </w:r>
          </w:p>
        </w:tc>
        <w:tc>
          <w:tcPr>
            <w:tcW w:w="24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The Nasdaq Stock Market LLC</w:t>
            </w:r>
          </w:p>
        </w:tc>
        <w:tc>
          <w:tcPr>
            <w:tcW w:w="0" w:type="dxa"/>
            <w:vAlign w:val="bottom"/>
          </w:tcPr>
          <w:p>
            <w:pPr>
              <w:spacing w:after="0"/>
              <w:rPr>
                <w:sz w:val="1"/>
                <w:szCs w:val="1"/>
                <w:color w:val="auto"/>
              </w:rPr>
            </w:pPr>
          </w:p>
        </w:tc>
      </w:tr>
      <w:tr>
        <w:trPr>
          <w:trHeight w:val="152"/>
        </w:trPr>
        <w:tc>
          <w:tcPr>
            <w:tcW w:w="27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97"/>
              </w:rPr>
              <w:t>for one share of Common Stock at an exercise price</w:t>
            </w:r>
          </w:p>
        </w:tc>
        <w:tc>
          <w:tcPr>
            <w:tcW w:w="2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7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97"/>
              </w:rPr>
              <w:t>of $11.50 per share</w:t>
            </w:r>
          </w:p>
        </w:tc>
        <w:tc>
          <w:tcPr>
            <w:tcW w:w="2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1" w:lineRule="exact"/>
        <w:rPr>
          <w:sz w:val="24"/>
          <w:szCs w:val="24"/>
          <w:color w:val="auto"/>
        </w:rPr>
      </w:pPr>
    </w:p>
    <w:p>
      <w:pPr>
        <w:ind w:left="640" w:right="859"/>
        <w:spacing w:after="0" w:line="267" w:lineRule="auto"/>
        <w:rPr>
          <w:sz w:val="20"/>
          <w:szCs w:val="20"/>
          <w:color w:val="auto"/>
        </w:rPr>
      </w:pPr>
      <w:r>
        <w:rPr>
          <w:rFonts w:ascii="Times New Roman" w:cs="Times New Roman" w:eastAsia="Times New Roman" w:hAnsi="Times New Roman"/>
          <w:sz w:val="13"/>
          <w:szCs w:val="13"/>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7" w:lineRule="exact"/>
        <w:rPr>
          <w:sz w:val="24"/>
          <w:szCs w:val="24"/>
          <w:color w:val="auto"/>
        </w:rPr>
      </w:pPr>
    </w:p>
    <w:p>
      <w:pPr>
        <w:ind w:left="640"/>
        <w:spacing w:after="0" w:line="150" w:lineRule="exact"/>
        <w:rPr>
          <w:sz w:val="20"/>
          <w:szCs w:val="20"/>
          <w:color w:val="auto"/>
        </w:rPr>
      </w:pPr>
      <w:r>
        <w:rPr>
          <w:rFonts w:ascii="Times New Roman" w:cs="Times New Roman" w:eastAsia="Times New Roman" w:hAnsi="Times New Roman"/>
          <w:sz w:val="13"/>
          <w:szCs w:val="13"/>
          <w:color w:val="auto"/>
        </w:rPr>
        <w:t xml:space="preserve">Emerging growth company  </w:t>
      </w:r>
      <w:r>
        <w:rPr>
          <w:rFonts w:ascii="MS PGothic" w:cs="MS PGothic" w:eastAsia="MS PGothic" w:hAnsi="MS PGothic"/>
          <w:sz w:val="13"/>
          <w:szCs w:val="13"/>
          <w:color w:val="auto"/>
        </w:rPr>
        <w:t>☒</w:t>
      </w:r>
    </w:p>
    <w:p>
      <w:pPr>
        <w:spacing w:after="0" w:line="135" w:lineRule="exact"/>
        <w:rPr>
          <w:sz w:val="24"/>
          <w:szCs w:val="24"/>
          <w:color w:val="auto"/>
        </w:rPr>
      </w:pPr>
    </w:p>
    <w:p>
      <w:pPr>
        <w:ind w:left="640" w:right="859"/>
        <w:spacing w:after="0" w:line="168"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404495</wp:posOffset>
            </wp:positionH>
            <wp:positionV relativeFrom="paragraph">
              <wp:posOffset>60325</wp:posOffset>
            </wp:positionV>
            <wp:extent cx="4910455"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910455" cy="5715"/>
                    </a:xfrm>
                    <a:prstGeom prst="rect">
                      <a:avLst/>
                    </a:prstGeom>
                    <a:noFill/>
                  </pic:spPr>
                </pic:pic>
              </a:graphicData>
            </a:graphic>
          </wp:anchor>
        </w:drawing>
        <w:drawing>
          <wp:anchor simplePos="0" relativeHeight="251657728" behindDoc="1" locked="0" layoutInCell="0" allowOverlap="1">
            <wp:simplePos x="0" y="0"/>
            <wp:positionH relativeFrom="column">
              <wp:posOffset>404495</wp:posOffset>
            </wp:positionH>
            <wp:positionV relativeFrom="paragraph">
              <wp:posOffset>90170</wp:posOffset>
            </wp:positionV>
            <wp:extent cx="4910455"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910455" cy="5715"/>
                    </a:xfrm>
                    <a:prstGeom prst="rect">
                      <a:avLst/>
                    </a:prstGeom>
                    <a:noFill/>
                  </pic:spPr>
                </pic:pic>
              </a:graphicData>
            </a:graphic>
          </wp:anchor>
        </w:drawing>
      </w:r>
    </w:p>
    <w:p>
      <w:pPr>
        <w:sectPr>
          <w:pgSz w:w="11900" w:h="16838" w:orient="portrait"/>
          <w:cols w:equalWidth="0" w:num="1">
            <w:col w:w="9019"/>
          </w:cols>
          <w:pgMar w:left="1440" w:top="352" w:right="1440" w:bottom="1440" w:gutter="0" w:footer="0" w:header="0"/>
          <w:type w:val="continuous"/>
        </w:sectPr>
      </w:pPr>
    </w:p>
    <w:bookmarkStart w:id="1" w:name="page2"/>
    <w:bookmarkEnd w:id="1"/>
    <w:p>
      <w:pPr>
        <w:ind w:left="640"/>
        <w:spacing w:after="0"/>
        <w:tabs>
          <w:tab w:leader="none" w:pos="1460" w:val="left"/>
        </w:tabs>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10425" cy="42545"/>
                    </a:xfrm>
                    <a:prstGeom prst="rect">
                      <a:avLst/>
                    </a:prstGeom>
                    <a:noFill/>
                  </pic:spPr>
                </pic:pic>
              </a:graphicData>
            </a:graphic>
          </wp:anchor>
        </w:drawing>
        <w:t>Item 8.01</w:t>
      </w:r>
      <w:r>
        <w:rPr>
          <w:sz w:val="20"/>
          <w:szCs w:val="20"/>
          <w:color w:val="auto"/>
        </w:rPr>
        <w:tab/>
      </w:r>
      <w:r>
        <w:rPr>
          <w:rFonts w:ascii="Times New Roman" w:cs="Times New Roman" w:eastAsia="Times New Roman" w:hAnsi="Times New Roman"/>
          <w:sz w:val="13"/>
          <w:szCs w:val="13"/>
          <w:b w:val="1"/>
          <w:bCs w:val="1"/>
          <w:color w:val="auto"/>
        </w:rPr>
        <w:t>Other Events</w:t>
      </w:r>
    </w:p>
    <w:p>
      <w:pPr>
        <w:spacing w:after="0" w:line="80" w:lineRule="exact"/>
        <w:rPr>
          <w:sz w:val="20"/>
          <w:szCs w:val="20"/>
          <w:color w:val="auto"/>
        </w:rPr>
      </w:pPr>
    </w:p>
    <w:p>
      <w:pPr>
        <w:jc w:val="both"/>
        <w:ind w:left="640" w:right="719"/>
        <w:spacing w:after="0" w:line="255" w:lineRule="auto"/>
        <w:rPr>
          <w:sz w:val="20"/>
          <w:szCs w:val="20"/>
          <w:color w:val="auto"/>
        </w:rPr>
      </w:pPr>
      <w:r>
        <w:rPr>
          <w:rFonts w:ascii="Times New Roman" w:cs="Times New Roman" w:eastAsia="Times New Roman" w:hAnsi="Times New Roman"/>
          <w:sz w:val="13"/>
          <w:szCs w:val="13"/>
          <w:color w:val="auto"/>
        </w:rPr>
        <w:t>On June 18, 2026, Hadron Energy, Inc. (the “Company”) will be giving a presentation entitled “Halo-10: The LW-MMR Able To Meet Ever-Increasing Power Demand” at the Advancing Standards Transforming Markets Conference on the HALEU Fuel Cycle in Chester, United Kingdom. A copy of the presentation is attached as Exhibit 99.1 to this Current Report on Form 8-K and is incorporated by reference herein.</w:t>
      </w:r>
    </w:p>
    <w:p>
      <w:pPr>
        <w:spacing w:after="0" w:line="130" w:lineRule="exact"/>
        <w:rPr>
          <w:sz w:val="20"/>
          <w:szCs w:val="20"/>
          <w:color w:val="auto"/>
        </w:rPr>
      </w:pPr>
    </w:p>
    <w:p>
      <w:pPr>
        <w:ind w:left="640" w:right="659"/>
        <w:spacing w:after="0" w:line="279" w:lineRule="auto"/>
        <w:rPr>
          <w:sz w:val="20"/>
          <w:szCs w:val="20"/>
          <w:color w:val="auto"/>
        </w:rPr>
      </w:pPr>
      <w:r>
        <w:rPr>
          <w:rFonts w:ascii="Times New Roman" w:cs="Times New Roman" w:eastAsia="Times New Roman" w:hAnsi="Times New Roman"/>
          <w:sz w:val="12"/>
          <w:szCs w:val="12"/>
          <w:color w:val="auto"/>
        </w:rPr>
        <w:t>The information included in Item 8.01, and Exhibit 99.1 attached hereto, is being furnished and shall not be deemed “filed” with the Securities and Exchange Commission for the purposes of Section 18 of the Securities Exchange Act of 1934, as amended (the “Exchange Act”), or otherwise subject to the liabilities of that section, and shall not be deemed incorporated by reference in any registration statement filed by the Company under the Securities Act of 1933, as amended (the “Securities Act”), or the Exchange Act, regardless of any general incorporation language in any such filing.</w:t>
      </w:r>
    </w:p>
    <w:p>
      <w:pPr>
        <w:spacing w:after="0" w:line="219" w:lineRule="exact"/>
        <w:rPr>
          <w:sz w:val="20"/>
          <w:szCs w:val="20"/>
          <w:color w:val="auto"/>
        </w:rPr>
      </w:pPr>
    </w:p>
    <w:tbl>
      <w:tblPr>
        <w:tblLayout w:type="fixed"/>
        <w:tblInd w:w="640" w:type="dxa"/>
        <w:tblCellMar>
          <w:top w:w="0" w:type="dxa"/>
          <w:left w:w="0" w:type="dxa"/>
          <w:bottom w:w="0" w:type="dxa"/>
          <w:right w:w="0" w:type="dxa"/>
        </w:tblCellMar>
      </w:tblPr>
      <w:tr>
        <w:trPr>
          <w:trHeight w:val="167"/>
        </w:trPr>
        <w:tc>
          <w:tcPr>
            <w:tcW w:w="74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Item 9.01</w:t>
            </w:r>
          </w:p>
        </w:tc>
        <w:tc>
          <w:tcPr>
            <w:tcW w:w="368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Financial Statements and Exhibits.</w:t>
            </w:r>
          </w:p>
        </w:tc>
      </w:tr>
      <w:tr>
        <w:trPr>
          <w:trHeight w:val="227"/>
        </w:trPr>
        <w:tc>
          <w:tcPr>
            <w:tcW w:w="7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(d) Exhibits:</w:t>
            </w:r>
          </w:p>
        </w:tc>
        <w:tc>
          <w:tcPr>
            <w:tcW w:w="318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275"/>
        </w:trPr>
        <w:tc>
          <w:tcPr>
            <w:tcW w:w="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0"/>
                <w:szCs w:val="10"/>
                <w:b w:val="1"/>
                <w:bCs w:val="1"/>
                <w:color w:val="auto"/>
                <w:w w:val="94"/>
              </w:rPr>
              <w:t>Exhibit</w:t>
            </w:r>
          </w:p>
        </w:tc>
        <w:tc>
          <w:tcPr>
            <w:tcW w:w="420" w:type="dxa"/>
            <w:vAlign w:val="bottom"/>
          </w:tcPr>
          <w:p>
            <w:pPr>
              <w:spacing w:after="0"/>
              <w:rPr>
                <w:sz w:val="23"/>
                <w:szCs w:val="23"/>
                <w:color w:val="auto"/>
              </w:rPr>
            </w:pPr>
          </w:p>
        </w:tc>
        <w:tc>
          <w:tcPr>
            <w:tcW w:w="3180" w:type="dxa"/>
            <w:vAlign w:val="bottom"/>
          </w:tcPr>
          <w:p>
            <w:pPr>
              <w:spacing w:after="0"/>
              <w:rPr>
                <w:sz w:val="23"/>
                <w:szCs w:val="23"/>
                <w:color w:val="auto"/>
              </w:rPr>
            </w:pPr>
          </w:p>
        </w:tc>
        <w:tc>
          <w:tcPr>
            <w:tcW w:w="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0"/>
                <w:szCs w:val="10"/>
                <w:b w:val="1"/>
                <w:bCs w:val="1"/>
                <w:color w:val="auto"/>
                <w:w w:val="96"/>
              </w:rPr>
              <w:t>Description</w:t>
            </w:r>
          </w:p>
        </w:tc>
      </w:tr>
    </w:tbl>
    <w:p>
      <w:pPr>
        <w:spacing w:after="0" w:line="63" w:lineRule="exact"/>
        <w:rPr>
          <w:sz w:val="20"/>
          <w:szCs w:val="20"/>
          <w:color w:val="auto"/>
        </w:rPr>
      </w:pPr>
    </w:p>
    <w:p>
      <w:pPr>
        <w:ind w:left="1260" w:right="1079" w:hanging="615"/>
        <w:spacing w:after="0" w:line="267" w:lineRule="auto"/>
        <w:tabs>
          <w:tab w:leader="none" w:pos="1240" w:val="left"/>
        </w:tabs>
        <w:rPr>
          <w:sz w:val="20"/>
          <w:szCs w:val="20"/>
          <w:color w:val="auto"/>
        </w:rPr>
      </w:pPr>
      <w:r>
        <w:rPr>
          <w:rFonts w:ascii="Times New Roman" w:cs="Times New Roman" w:eastAsia="Times New Roman" w:hAnsi="Times New Roman"/>
          <w:sz w:val="13"/>
          <w:szCs w:val="13"/>
          <w:color w:val="auto"/>
        </w:rPr>
        <w:t>99.1</w:t>
      </w:r>
      <w:r>
        <w:rPr>
          <w:sz w:val="20"/>
          <w:szCs w:val="20"/>
          <w:color w:val="auto"/>
        </w:rPr>
        <w:tab/>
      </w:r>
      <w:r>
        <w:rPr>
          <w:rFonts w:ascii="Times New Roman" w:cs="Times New Roman" w:eastAsia="Times New Roman" w:hAnsi="Times New Roman"/>
          <w:sz w:val="13"/>
          <w:szCs w:val="13"/>
          <w:u w:val="single" w:color="auto"/>
          <w:color w:val="0000EE"/>
        </w:rPr>
        <w:t>Halo-10: The LW-MMR Able To Meet Ever-Increasing Power Demand Presentation at Advancing Standards Transforming Markets Conference on the HALEU Fuel Cycle, June 18, 2026.</w:t>
      </w:r>
    </w:p>
    <w:p>
      <w:pPr>
        <w:spacing w:after="0" w:line="46" w:lineRule="exact"/>
        <w:rPr>
          <w:sz w:val="20"/>
          <w:szCs w:val="20"/>
          <w:color w:val="auto"/>
        </w:rPr>
      </w:pPr>
    </w:p>
    <w:p>
      <w:pPr>
        <w:ind w:left="640"/>
        <w:spacing w:after="0"/>
        <w:tabs>
          <w:tab w:leader="none" w:pos="1240" w:val="left"/>
        </w:tabs>
        <w:rPr>
          <w:sz w:val="20"/>
          <w:szCs w:val="20"/>
          <w:color w:val="auto"/>
        </w:rPr>
      </w:pPr>
      <w:r>
        <w:rPr>
          <w:rFonts w:ascii="Times New Roman" w:cs="Times New Roman" w:eastAsia="Times New Roman" w:hAnsi="Times New Roman"/>
          <w:sz w:val="13"/>
          <w:szCs w:val="13"/>
          <w:color w:val="auto"/>
        </w:rPr>
        <w:t>104</w:t>
      </w:r>
      <w:r>
        <w:rPr>
          <w:sz w:val="20"/>
          <w:szCs w:val="20"/>
          <w:color w:val="auto"/>
        </w:rPr>
        <w:tab/>
      </w:r>
      <w:r>
        <w:rPr>
          <w:rFonts w:ascii="Times New Roman" w:cs="Times New Roman" w:eastAsia="Times New Roman" w:hAnsi="Times New Roman"/>
          <w:sz w:val="13"/>
          <w:szCs w:val="13"/>
          <w:color w:val="auto"/>
        </w:rPr>
        <w:t>Cover Page Interactive Data File (embedded within the Inline XBRL document).</w:t>
      </w:r>
    </w:p>
    <w:p>
      <w:pPr>
        <w:sectPr>
          <w:pgSz w:w="11900" w:h="16838" w:orient="portrait"/>
          <w:cols w:equalWidth="0" w:num="1">
            <w:col w:w="9019"/>
          </w:cols>
          <w:pgMar w:left="1440" w:top="248" w:right="1440"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10425" cy="42545"/>
                    </a:xfrm>
                    <a:prstGeom prst="rect">
                      <a:avLst/>
                    </a:prstGeom>
                    <a:noFill/>
                  </pic:spPr>
                </pic:pic>
              </a:graphicData>
            </a:graphic>
          </wp:anchor>
        </w:drawing>
        <w:t>SIGNATURES</w:t>
      </w:r>
    </w:p>
    <w:p>
      <w:pPr>
        <w:spacing w:after="0" w:line="156" w:lineRule="exact"/>
        <w:rPr>
          <w:sz w:val="20"/>
          <w:szCs w:val="20"/>
          <w:color w:val="auto"/>
        </w:rPr>
      </w:pPr>
    </w:p>
    <w:p>
      <w:pPr>
        <w:ind w:left="640" w:right="1119"/>
        <w:spacing w:after="0" w:line="267" w:lineRule="auto"/>
        <w:rPr>
          <w:sz w:val="20"/>
          <w:szCs w:val="20"/>
          <w:color w:val="auto"/>
        </w:rPr>
      </w:pPr>
      <w:r>
        <w:rPr>
          <w:rFonts w:ascii="Times New Roman" w:cs="Times New Roman" w:eastAsia="Times New Roman" w:hAnsi="Times New Roman"/>
          <w:sz w:val="13"/>
          <w:szCs w:val="13"/>
          <w:color w:val="auto"/>
        </w:rPr>
        <w:t>Pursuant to the requirements of the Securities Exchange Act of 1934, the Registrant has duly caused this report to be signed on its behalf by the undersigned hereunto duly authorized.</w:t>
      </w:r>
    </w:p>
    <w:p>
      <w:pPr>
        <w:spacing w:after="0" w:line="139"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3"/>
          <w:szCs w:val="13"/>
          <w:b w:val="1"/>
          <w:bCs w:val="1"/>
          <w:color w:val="auto"/>
        </w:rPr>
        <w:t>Hadron Energy, Inc.</w:t>
      </w:r>
    </w:p>
    <w:p>
      <w:pPr>
        <w:spacing w:after="0" w:line="15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Dated: June 17, 2026</w:t>
      </w:r>
    </w:p>
    <w:p>
      <w:pPr>
        <w:spacing w:after="0" w:line="154" w:lineRule="exact"/>
        <w:rPr>
          <w:sz w:val="20"/>
          <w:szCs w:val="20"/>
          <w:color w:val="auto"/>
        </w:rPr>
      </w:pPr>
    </w:p>
    <w:p>
      <w:pPr>
        <w:ind w:left="4580"/>
        <w:spacing w:after="0"/>
        <w:tabs>
          <w:tab w:leader="none" w:pos="4880" w:val="left"/>
        </w:tabs>
        <w:rPr>
          <w:sz w:val="20"/>
          <w:szCs w:val="20"/>
          <w:color w:val="auto"/>
        </w:rPr>
      </w:pPr>
      <w:r>
        <w:rPr>
          <w:rFonts w:ascii="Times New Roman" w:cs="Times New Roman" w:eastAsia="Times New Roman" w:hAnsi="Times New Roman"/>
          <w:sz w:val="13"/>
          <w:szCs w:val="13"/>
          <w:color w:val="auto"/>
        </w:rPr>
        <w:t>By:</w:t>
      </w:r>
      <w:r>
        <w:rPr>
          <w:sz w:val="20"/>
          <w:szCs w:val="20"/>
          <w:color w:val="auto"/>
        </w:rPr>
        <w:tab/>
      </w:r>
      <w:r>
        <w:rPr>
          <w:rFonts w:ascii="Times New Roman" w:cs="Times New Roman" w:eastAsia="Times New Roman" w:hAnsi="Times New Roman"/>
          <w:sz w:val="12"/>
          <w:szCs w:val="12"/>
          <w:color w:val="auto"/>
        </w:rPr>
        <w:t>/s/ Samuel Gibson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3107055</wp:posOffset>
            </wp:positionH>
            <wp:positionV relativeFrom="paragraph">
              <wp:posOffset>9525</wp:posOffset>
            </wp:positionV>
            <wp:extent cx="2208530" cy="57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208530" cy="5715"/>
                    </a:xfrm>
                    <a:prstGeom prst="rect">
                      <a:avLst/>
                    </a:prstGeom>
                    <a:noFill/>
                  </pic:spPr>
                </pic:pic>
              </a:graphicData>
            </a:graphic>
          </wp:anchor>
        </w:drawing>
      </w:r>
    </w:p>
    <w:p>
      <w:pPr>
        <w:spacing w:after="0" w:line="1"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3"/>
          <w:szCs w:val="13"/>
          <w:color w:val="auto"/>
        </w:rPr>
        <w:t>Chief Executive Officer</w:t>
      </w:r>
    </w:p>
    <w:p>
      <w:pPr>
        <w:sectPr>
          <w:pgSz w:w="11900" w:h="16838" w:orient="portrait"/>
          <w:cols w:equalWidth="0" w:num="1">
            <w:col w:w="9019"/>
          </w:cols>
          <w:pgMar w:left="1440" w:top="248" w:right="1440" w:bottom="1440"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187960</wp:posOffset>
            </wp:positionH>
            <wp:positionV relativeFrom="page">
              <wp:posOffset>88900</wp:posOffset>
            </wp:positionV>
            <wp:extent cx="7216140" cy="40557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7216140" cy="4055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00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28840" cy="41700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00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28840" cy="41700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00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28840" cy="41700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00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28840" cy="41700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00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28840" cy="41700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00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28840" cy="41700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00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28840" cy="41700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00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28840" cy="41700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00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28840" cy="41700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00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28840" cy="41700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00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28840" cy="41700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00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28840" cy="41700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00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28840" cy="41700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00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28840" cy="41700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00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28840" cy="41700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00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28840" cy="417004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2026-06-18T05:10:30Z</dcterms:created>
  <dcterms:modified xsi:type="dcterms:W3CDTF">2026-06-18T05:10:30Z</dcterms:modified>
</cp:coreProperties>
</file>