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370" w:after="240"/>
        <w:jc w:val="center"/>
        <w:rPr>
          <w:rFonts w:ascii="Times New Roman;serif" w:hAnsi="Times New Roman;serif"/>
          <w:b/>
          <w:color w:val="000000"/>
          <w:sz w:val="32"/>
        </w:rPr>
      </w:pPr>
      <w:r>
        <w:rPr>
          <w:rFonts w:ascii="Times New Roman;serif" w:hAnsi="Times New Roman;serif"/>
          <w:b/>
          <w:color w:val="000000"/>
          <w:sz w:val="32"/>
        </w:rPr>
        <w:t>SCHEDULE 14A INFORMATION</w:t>
      </w:r>
    </w:p>
    <w:p>
      <w:pPr>
        <w:pStyle w:val="TextBody"/>
        <w:bidi w:val="0"/>
        <w:spacing w:lineRule="auto" w:line="288" w:before="370" w:after="283"/>
        <w:jc w:val="center"/>
        <w:rPr>
          <w:rFonts w:ascii="Times New Roman;serif" w:hAnsi="Times New Roman;serif"/>
          <w:b/>
          <w:color w:val="000000"/>
          <w:sz w:val="24"/>
        </w:rPr>
      </w:pPr>
      <w:r>
        <w:rPr>
          <w:rFonts w:ascii="Times New Roman;serif" w:hAnsi="Times New Roman;serif"/>
          <w:b/>
          <w:color w:val="000000"/>
          <w:sz w:val="24"/>
        </w:rPr>
        <w:t>PROXY STATEMENT PURSUANT TO SECTION 14(a)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170"/>
        <w:jc w:val="center"/>
        <w:rPr>
          <w:rFonts w:ascii="Times New Roman;serif" w:hAnsi="Times New Roman;serif"/>
          <w:b/>
          <w:color w:val="000000"/>
          <w:sz w:val="24"/>
        </w:rPr>
      </w:pPr>
      <w:r>
        <w:rPr>
          <w:rFonts w:ascii="Times New Roman;serif" w:hAnsi="Times New Roman;serif"/>
          <w:b/>
          <w:color w:val="000000"/>
          <w:sz w:val="24"/>
        </w:rPr>
        <w:t>(Amendment No.  )</w:t>
      </w:r>
    </w:p>
    <w:p>
      <w:pPr>
        <w:pStyle w:val="TextBody"/>
        <w:bidi w:val="0"/>
        <w:spacing w:lineRule="auto" w:line="288" w:before="0" w:after="170"/>
        <w:jc w:val="both"/>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288" w:before="0" w:after="170"/>
        <w:jc w:val="both"/>
        <w:rPr/>
      </w:pP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002" w:type="dxa"/>
        <w:jc w:val="left"/>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tbl>
      <w:tblPr>
        <w:tblW w:w="5925" w:type="dxa"/>
        <w:jc w:val="left"/>
        <w:tblInd w:w="0" w:type="dxa"/>
        <w:tblLayout w:type="fixed"/>
        <w:tblCellMar>
          <w:top w:w="28" w:type="dxa"/>
          <w:left w:w="28" w:type="dxa"/>
          <w:bottom w:w="28" w:type="dxa"/>
          <w:right w:w="28" w:type="dxa"/>
        </w:tblCellMar>
      </w:tblPr>
      <w:tblGrid>
        <w:gridCol w:w="1898"/>
        <w:gridCol w:w="1668"/>
        <w:gridCol w:w="2359"/>
      </w:tblGrid>
      <w:tr>
        <w:trPr/>
        <w:tc>
          <w:tcPr>
            <w:tcW w:w="189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40"/>
              </w:rPr>
            </w:pPr>
            <w:r>
              <w:rPr>
                <w:rFonts w:ascii="Times New Roman;serif" w:hAnsi="Times New Roman;serif"/>
                <w:b/>
                <w:color w:val="000000"/>
                <w:sz w:val="40"/>
              </w:rPr>
              <w:t>QT Imaging Holdings, Inc.</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57" w:type="dxa"/>
        <w:jc w:val="left"/>
        <w:tblInd w:w="0" w:type="dxa"/>
        <w:tblLayout w:type="fixed"/>
        <w:tblCellMar>
          <w:top w:w="28" w:type="dxa"/>
          <w:left w:w="28" w:type="dxa"/>
          <w:bottom w:w="28" w:type="dxa"/>
          <w:right w:w="28" w:type="dxa"/>
        </w:tblCellMar>
      </w:tblPr>
      <w:tblGrid>
        <w:gridCol w:w="124"/>
        <w:gridCol w:w="109"/>
        <w:gridCol w:w="109"/>
        <w:gridCol w:w="2462"/>
        <w:gridCol w:w="2462"/>
        <w:gridCol w:w="3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June [__],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88" w:before="0" w:after="180"/>
        <w:jc w:val="both"/>
        <w:rPr/>
      </w:pPr>
      <w:r>
        <w:rPr>
          <w:rFonts w:ascii="Times New Roman;serif" w:hAnsi="Times New Roman;serif"/>
          <w:b w:val="false"/>
          <w:color w:val="000000"/>
          <w:sz w:val="20"/>
        </w:rPr>
        <w:t xml:space="preserve">You are cordially invited to attend this year’s Annual Meeting of Stockholders of QT Imaging Holdings, Inc. on July 28, 2026 at 1:00 p.m., Eastern Time. The meeting will be held virtually, at </w:t>
      </w:r>
      <w:r>
        <w:rPr>
          <w:rFonts w:ascii="Times New Roman;serif" w:hAnsi="Times New Roman;serif"/>
          <w:b w:val="false"/>
          <w:color w:val="0000FF"/>
          <w:sz w:val="20"/>
          <w:u w:val="single"/>
        </w:rPr>
        <w:t>www.virtualshareholdermeeting.com/QTI2026</w:t>
      </w:r>
      <w:r>
        <w:rPr>
          <w:rFonts w:ascii="Times New Roman;serif" w:hAnsi="Times New Roman;serif"/>
          <w:b w:val="false"/>
          <w:color w:val="000000"/>
          <w:sz w:val="20"/>
        </w:rPr>
        <w:t>. The meeting will comprise a discussion and voting on the matters set forth in the accompanying Notice of Annual Meeting of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Notice of Annual Meeting of Stockholders and a Proxy Statement, which describe the formal business to be conducted at the meeting, accompany this letter. A copy of our Annual Report on Form 10-K is also enclosed for your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matters to be acted upon are described in the Notice of Annual Meeting of Stockholders and Proxy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Whether or not you plan to attend the meeting, your vote is very important and we encourage you to vote promptly. You may vote by proxy over the Internet, or you can also vote by mail by following the instructions on the paper copy of the proxy card that was mailed to you. If you attend the meeting you will, of course, have the right to revoke the proxy and vote your shares in person. If you hold your shares through an account with a brokerage firm, bank or other nominee, please follow the instructions you receive from your brokerage firm, bank or other nominee to vote your shares. We look forward to seeing you at the Annual Meeting.</w:t>
      </w:r>
    </w:p>
    <w:tbl>
      <w:tblPr>
        <w:tblW w:w="2397" w:type="dxa"/>
        <w:jc w:val="left"/>
        <w:tblInd w:w="0" w:type="dxa"/>
        <w:tblLayout w:type="fixed"/>
        <w:tblCellMar>
          <w:top w:w="28" w:type="dxa"/>
          <w:left w:w="28" w:type="dxa"/>
          <w:bottom w:w="28" w:type="dxa"/>
          <w:right w:w="28" w:type="dxa"/>
        </w:tblCellMar>
      </w:tblPr>
      <w:tblGrid>
        <w:gridCol w:w="734"/>
        <w:gridCol w:w="644"/>
        <w:gridCol w:w="647"/>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Dr. Raluca Dinu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DR. RALUCA DINU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before="0" w:after="41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NOTICE OF 2026 ANNUAL MEETING OF STOCKHOLDERS</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To Be Held July 28, 2026</w:t>
      </w:r>
    </w:p>
    <w:p>
      <w:pPr>
        <w:pStyle w:val="TextBody"/>
        <w:bidi w:val="0"/>
        <w:spacing w:lineRule="auto" w:line="288" w:before="0" w:after="180"/>
        <w:jc w:val="both"/>
        <w:rPr/>
      </w:pPr>
      <w:r>
        <w:rPr>
          <w:rFonts w:ascii="Times New Roman;serif" w:hAnsi="Times New Roman;serif"/>
          <w:b w:val="false"/>
          <w:color w:val="000000"/>
          <w:sz w:val="20"/>
        </w:rPr>
        <w:t xml:space="preserve">The 2026 Annual Meeting of Stockholders of QT Imaging Holdings, Inc., a Delaware corporation, will be held on July 28, 2026 at 1:00 p.m., Eastern Time, virtually at </w:t>
      </w:r>
      <w:r>
        <w:rPr>
          <w:rFonts w:ascii="Times New Roman;serif" w:hAnsi="Times New Roman;serif"/>
          <w:b w:val="false"/>
          <w:color w:val="0000FF"/>
          <w:sz w:val="20"/>
          <w:u w:val="single"/>
        </w:rPr>
        <w:t>www.virtualshareholdermeeting.com/QTI2026</w:t>
      </w:r>
      <w:r>
        <w:rPr>
          <w:rFonts w:ascii="Times New Roman;serif" w:hAnsi="Times New Roman;serif"/>
          <w:b w:val="false"/>
          <w:color w:val="000000"/>
          <w:sz w:val="20"/>
        </w:rPr>
        <w:t>, for the following purposes:</w:t>
      </w:r>
    </w:p>
    <w:p>
      <w:pPr>
        <w:pStyle w:val="TextBody"/>
        <w:bidi w:val="0"/>
        <w:spacing w:lineRule="auto" w:line="288" w:before="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1.To elect two Class II directors to hold office until the 2029 annual meeting and until their respective successors are elected and qualified.</w:t>
      </w:r>
    </w:p>
    <w:p>
      <w:pPr>
        <w:pStyle w:val="TextBody"/>
        <w:bidi w:val="0"/>
        <w:spacing w:lineRule="auto" w:line="288" w:before="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2.To ratify the appointment of BPM LLP as our independent registered public accounting firm for the fiscal year ending December 31, 2026.</w:t>
      </w:r>
    </w:p>
    <w:p>
      <w:pPr>
        <w:pStyle w:val="TextBody"/>
        <w:bidi w:val="0"/>
        <w:spacing w:lineRule="auto" w:line="288" w:before="0" w:after="180"/>
        <w:ind w:left="0" w:right="0" w:hanging="450"/>
        <w:jc w:val="both"/>
        <w:rPr/>
      </w:pPr>
      <w:r>
        <w:rPr>
          <w:rFonts w:ascii="Times New Roman;serif" w:hAnsi="Times New Roman;serif"/>
          <w:b w:val="false"/>
          <w:color w:val="000000"/>
          <w:sz w:val="20"/>
        </w:rPr>
        <w:t>3.To approve an amendment (the “</w:t>
      </w:r>
      <w:r>
        <w:rPr>
          <w:rFonts w:ascii="Times New Roman;serif" w:hAnsi="Times New Roman;serif"/>
          <w:b w:val="false"/>
          <w:i/>
          <w:color w:val="000000"/>
          <w:sz w:val="20"/>
        </w:rPr>
        <w:t>Plan Amendment</w:t>
      </w:r>
      <w:r>
        <w:rPr>
          <w:color w:val="000000"/>
        </w:rPr>
        <w:t>”</w:t>
      </w:r>
      <w:r>
        <w:rPr>
          <w:rFonts w:ascii="Times New Roman;serif" w:hAnsi="Times New Roman;serif"/>
          <w:b w:val="false"/>
          <w:color w:val="000000"/>
          <w:sz w:val="20"/>
        </w:rPr>
        <w:t>) to our 2024 Equity Incentive Plan (the “</w:t>
      </w:r>
      <w:r>
        <w:rPr>
          <w:rFonts w:ascii="Times New Roman;serif" w:hAnsi="Times New Roman;serif"/>
          <w:b w:val="false"/>
          <w:i/>
          <w:color w:val="000000"/>
          <w:sz w:val="20"/>
        </w:rPr>
        <w:t>Plan</w:t>
      </w:r>
      <w:r>
        <w:rPr>
          <w:color w:val="000000"/>
        </w:rPr>
        <w:t>”</w:t>
      </w:r>
      <w:r>
        <w:rPr>
          <w:rFonts w:ascii="Times New Roman;serif" w:hAnsi="Times New Roman;serif"/>
          <w:b w:val="false"/>
          <w:color w:val="000000"/>
          <w:sz w:val="20"/>
        </w:rPr>
        <w:t>) to increase the total number of shares of Company common stock, par value $0.0001 per share (“</w:t>
      </w:r>
      <w:r>
        <w:rPr>
          <w:rFonts w:ascii="Times New Roman;serif" w:hAnsi="Times New Roman;serif"/>
          <w:b w:val="false"/>
          <w:i/>
          <w:color w:val="000000"/>
          <w:sz w:val="20"/>
        </w:rPr>
        <w:t>Common Stock</w:t>
      </w:r>
      <w:r>
        <w:rPr>
          <w:color w:val="000000"/>
        </w:rPr>
        <w:t>”</w:t>
      </w:r>
      <w:r>
        <w:rPr>
          <w:rFonts w:ascii="Times New Roman;serif" w:hAnsi="Times New Roman;serif"/>
          <w:b w:val="false"/>
          <w:color w:val="000000"/>
          <w:sz w:val="20"/>
        </w:rPr>
        <w:t xml:space="preserve">) authorized and reserved for issuance under the Plan, which is currently 1,827,278 shares, by 550,900 shares, which is 4% of our currently issued and outstanding shares of Common Stock, to 2,378,178 shares. </w:t>
      </w:r>
    </w:p>
    <w:p>
      <w:pPr>
        <w:pStyle w:val="TextBody"/>
        <w:bidi w:val="0"/>
        <w:spacing w:lineRule="auto" w:line="288" w:before="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4.To transact such other business as may properly come before the meeting or any adjournment or postponement of the meeting.</w:t>
      </w:r>
    </w:p>
    <w:p>
      <w:pPr>
        <w:pStyle w:val="TextBody"/>
        <w:bidi w:val="0"/>
        <w:spacing w:lineRule="auto" w:line="288" w:before="0" w:after="180"/>
        <w:jc w:val="both"/>
        <w:rPr/>
      </w:pPr>
      <w:r>
        <w:rPr>
          <w:rFonts w:ascii="Times New Roman;serif" w:hAnsi="Times New Roman;serif"/>
          <w:b w:val="false"/>
          <w:color w:val="000000"/>
          <w:sz w:val="20"/>
        </w:rPr>
        <w:t>Our Board of Directors (the “</w:t>
      </w:r>
      <w:r>
        <w:rPr>
          <w:rFonts w:ascii="Times New Roman;serif" w:hAnsi="Times New Roman;serif"/>
          <w:b w:val="false"/>
          <w:i/>
          <w:color w:val="000000"/>
          <w:sz w:val="20"/>
        </w:rPr>
        <w:t>Board</w:t>
      </w:r>
      <w:r>
        <w:rPr>
          <w:color w:val="000000"/>
        </w:rPr>
        <w:t>”</w:t>
      </w:r>
      <w:r>
        <w:rPr>
          <w:rFonts w:ascii="Times New Roman;serif" w:hAnsi="Times New Roman;serif"/>
          <w:b w:val="false"/>
          <w:color w:val="000000"/>
          <w:sz w:val="20"/>
        </w:rPr>
        <w:t>) recommends a vote FOR Items 1, 2 and 3. Stockholders of record at the close of business on June 23, 2026 are entitled to notice of, and to vote at, the meeting and any adjournment or postponement thereof. For 10 days prior to the meeting, a complete list of stockholders entitled to vote at the meeting will be available for examination by any stockholder, for any purpose relating to the meeting, during ordinary business hours at our principal executive offices located at Three Hamilton Landing, Suite 160, Novato, California 94949.</w:t>
      </w:r>
    </w:p>
    <w:tbl>
      <w:tblPr>
        <w:tblW w:w="3281" w:type="dxa"/>
        <w:jc w:val="left"/>
        <w:tblInd w:w="0" w:type="dxa"/>
        <w:tblLayout w:type="fixed"/>
        <w:tblCellMar>
          <w:top w:w="28" w:type="dxa"/>
          <w:left w:w="28" w:type="dxa"/>
          <w:bottom w:w="28" w:type="dxa"/>
          <w:right w:w="28" w:type="dxa"/>
        </w:tblCellMar>
      </w:tblPr>
      <w:tblGrid>
        <w:gridCol w:w="1054"/>
        <w:gridCol w:w="924"/>
        <w:gridCol w:w="931"/>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Dr. Avi S. Katz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DR. AVI S. KATZ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of the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IMPORTANT: Please vote your shares over the Internet, in the manner described at </w:t>
            </w:r>
            <w:r>
              <w:rPr>
                <w:rFonts w:ascii="Times New Roman;serif" w:hAnsi="Times New Roman;serif"/>
                <w:b w:val="false"/>
                <w:color w:val="0E32E1"/>
                <w:sz w:val="20"/>
                <w:u w:val="single"/>
              </w:rPr>
              <w:t>www.virtualshareholdermeeting.com/QTI2026</w:t>
            </w:r>
            <w:r>
              <w:rPr>
                <w:rFonts w:ascii="Times New Roman;serif" w:hAnsi="Times New Roman;serif"/>
                <w:b w:val="false"/>
                <w:color w:val="000000"/>
                <w:sz w:val="20"/>
              </w:rPr>
              <w:t>, to assure that your shares are represented at the meeting, or you may mark, sign and date the paper copy of the proxy card that you received by mail and return it in the enclosed postage-paid envelope. If you attend the meeting, you may choose to vote in person even if you have previously voted your shares.</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color w:val="000000"/>
          <w:sz w:val="20"/>
        </w:rPr>
        <w:t>IMPORTANT NOTICE REGARDING THE AVAILABILITY OF PROXY MATERIALS FOR THE ANNUAL MEETING OF STOCKHOLDERS TO BE HELD ON JULY 28, 2026:</w:t>
      </w:r>
      <w:r>
        <w:rPr>
          <w:color w:val="000000"/>
        </w:rPr>
        <w:t xml:space="preserve"> </w:t>
      </w:r>
      <w:r>
        <w:rPr>
          <w:rFonts w:ascii="Times New Roman;serif" w:hAnsi="Times New Roman;serif"/>
          <w:b w:val="false"/>
          <w:color w:val="000000"/>
          <w:sz w:val="20"/>
        </w:rPr>
        <w:t>Our Proxy Statement is enclosed. Financial and other information concerning QT Imaging Holdings, Inc. is contained in our Annual Report on Form10</w:t>
        <w:noBreakHyphen/>
        <w:t xml:space="preserve">K for the fiscal year ended December 31, 2025, as well as our Quarterly Reports on Form 10-Q for the quarterly period ended March 31, 2026, which are available on the SEC’s website at </w:t>
      </w:r>
      <w:r>
        <w:rPr>
          <w:rFonts w:ascii="Times New Roman;serif" w:hAnsi="Times New Roman;serif"/>
          <w:b w:val="false"/>
          <w:color w:val="0000FF"/>
          <w:sz w:val="20"/>
          <w:u w:val="single"/>
        </w:rPr>
        <w:t>www.sec.gov</w:t>
      </w:r>
      <w:r>
        <w:rPr>
          <w:color w:val="000000"/>
        </w:rPr>
        <w:t xml:space="preserve"> </w:t>
      </w:r>
      <w:r>
        <w:rPr>
          <w:rFonts w:ascii="Times New Roman;serif" w:hAnsi="Times New Roman;serif"/>
          <w:b w:val="false"/>
          <w:color w:val="000000"/>
          <w:sz w:val="20"/>
        </w:rPr>
        <w:t xml:space="preserve">and on our website at </w:t>
      </w:r>
      <w:r>
        <w:rPr>
          <w:rFonts w:ascii="Times New Roman;serif" w:hAnsi="Times New Roman;serif"/>
          <w:b w:val="false"/>
          <w:color w:val="0000FF"/>
          <w:sz w:val="20"/>
          <w:u w:val="single"/>
        </w:rPr>
        <w:t>https://www.qtimaging.</w:t>
      </w:r>
      <w:r>
        <w:rPr>
          <w:rFonts w:ascii="Times New Roman;serif" w:hAnsi="Times New Roman;serif"/>
          <w:b w:val="false"/>
          <w:color w:val="0E32E1"/>
          <w:sz w:val="20"/>
          <w:u w:val="single"/>
        </w:rPr>
        <w:t>com</w:t>
      </w:r>
      <w:r>
        <w:rPr>
          <w:rFonts w:ascii="Times New Roman;serif" w:hAnsi="Times New Roman;serif"/>
          <w:b w:val="false"/>
          <w:color w:val="0000FF"/>
          <w:sz w:val="20"/>
          <w:u w:val="single"/>
        </w:rPr>
        <w:t>/sec-filings/</w:t>
      </w:r>
      <w:r>
        <w:rPr>
          <w:rFonts w:ascii="Times New Roman;serif" w:hAnsi="Times New Roman;serif"/>
          <w:b w:val="false"/>
          <w:color w:val="000000"/>
          <w:sz w:val="20"/>
        </w:rPr>
        <w:t xml:space="preserve">. A complete set of proxy materials relating to our Annual Meeting, consisting of the Notice of Annual Meeting of Stockholders, Proxy Statement, Proxy Card and Annual Report on Form 10-K, is available on the Internet and may be viewed at </w:t>
      </w:r>
      <w:r>
        <w:rPr>
          <w:rFonts w:ascii="Times New Roman;serif" w:hAnsi="Times New Roman;serif"/>
          <w:b w:val="false"/>
          <w:color w:val="0000FF"/>
          <w:sz w:val="20"/>
          <w:u w:val="single"/>
        </w:rPr>
        <w:t>www.virtualshareholdermeeting.com/QTI2026</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before="0" w:after="4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11" w:type="dxa"/>
        <w:jc w:val="left"/>
        <w:tblInd w:w="0" w:type="dxa"/>
        <w:tblLayout w:type="fixed"/>
        <w:tblCellMar>
          <w:top w:w="28" w:type="dxa"/>
          <w:left w:w="28" w:type="dxa"/>
          <w:bottom w:w="28" w:type="dxa"/>
          <w:right w:w="28" w:type="dxa"/>
        </w:tblCellMar>
      </w:tblPr>
      <w:tblGrid>
        <w:gridCol w:w="2861"/>
        <w:gridCol w:w="2513"/>
        <w:gridCol w:w="2531"/>
        <w:gridCol w:w="118"/>
        <w:gridCol w:w="118"/>
        <w:gridCol w:w="170"/>
      </w:tblGrid>
      <w:tr>
        <w:trPr/>
        <w:tc>
          <w:tcPr>
            <w:tcW w:w="2861"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16">
              <w:r>
                <w:rPr>
                  <w:rStyle w:val="InternetLink"/>
                  <w:rFonts w:ascii="Times New Roman;serif" w:hAnsi="Times New Roman;serif"/>
                  <w:b w:val="false"/>
                  <w:color w:val="000080"/>
                  <w:sz w:val="20"/>
                  <w:u w:val="single"/>
                </w:rPr>
                <w:t>202</w:t>
              </w:r>
            </w:hyperlink>
            <w:hyperlink w:anchor="i06b7cd4726b64f7c93228e635172bb86_16">
              <w:r>
                <w:rPr>
                  <w:rStyle w:val="InternetLink"/>
                  <w:rFonts w:ascii="Times New Roman;serif" w:hAnsi="Times New Roman;serif"/>
                  <w:b w:val="false"/>
                  <w:color w:val="000080"/>
                  <w:sz w:val="20"/>
                  <w:u w:val="single"/>
                </w:rPr>
                <w:t>6</w:t>
              </w:r>
            </w:hyperlink>
            <w:hyperlink w:anchor="i06b7cd4726b64f7c93228e635172bb86_16">
              <w:r>
                <w:rPr>
                  <w:rStyle w:val="InternetLink"/>
                  <w:rFonts w:ascii="Times New Roman;serif" w:hAnsi="Times New Roman;serif"/>
                  <w:b w:val="false"/>
                  <w:color w:val="000080"/>
                  <w:sz w:val="20"/>
                  <w:u w:val="single"/>
                </w:rPr>
                <w:t xml:space="preserve"> Proxy Statement Summary</w:t>
              </w:r>
            </w:hyperlink>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16">
              <w:r>
                <w:rPr>
                  <w:rStyle w:val="InternetLink"/>
                  <w:rFonts w:ascii="Times New Roman;serif" w:hAnsi="Times New Roman;serif"/>
                  <w:b w:val="false"/>
                  <w:color w:val="0000FF"/>
                  <w:sz w:val="20"/>
                  <w:u w:val="single"/>
                </w:rPr>
                <w:t>1</w:t>
              </w:r>
            </w:hyperlink>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19">
              <w:r>
                <w:rPr>
                  <w:rStyle w:val="InternetLink"/>
                  <w:rFonts w:ascii="Times New Roman;serif" w:hAnsi="Times New Roman;serif"/>
                  <w:b w:val="false"/>
                  <w:color w:val="0000FF"/>
                  <w:sz w:val="20"/>
                  <w:u w:val="single"/>
                </w:rPr>
                <w:t>Solicitation and Voting</w:t>
              </w:r>
            </w:hyperlink>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19">
              <w:r>
                <w:rPr>
                  <w:rStyle w:val="InternetLink"/>
                  <w:rFonts w:ascii="Times New Roman;serif" w:hAnsi="Times New Roman;serif"/>
                  <w:b w:val="false"/>
                  <w:color w:val="0000FF"/>
                  <w:sz w:val="20"/>
                  <w:u w:val="single"/>
                </w:rPr>
                <w:t>3</w:t>
              </w:r>
            </w:hyperlink>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22">
              <w:r>
                <w:rPr>
                  <w:rStyle w:val="InternetLink"/>
                  <w:rFonts w:ascii="Times New Roman;serif" w:hAnsi="Times New Roman;serif"/>
                  <w:b w:val="false"/>
                  <w:color w:val="0000FF"/>
                  <w:sz w:val="20"/>
                  <w:u w:val="single"/>
                </w:rPr>
                <w:t>Proposal No. 1: Election of Directors</w:t>
              </w:r>
            </w:hyperlink>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22">
              <w:r>
                <w:rPr>
                  <w:rStyle w:val="InternetLink"/>
                  <w:rFonts w:ascii="Times New Roman;serif" w:hAnsi="Times New Roman;serif"/>
                  <w:b w:val="false"/>
                  <w:color w:val="0000FF"/>
                  <w:sz w:val="20"/>
                  <w:u w:val="single"/>
                </w:rPr>
                <w:t>6</w:t>
              </w:r>
            </w:hyperlink>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25">
              <w:r>
                <w:rPr>
                  <w:rStyle w:val="InternetLink"/>
                  <w:rFonts w:ascii="Times New Roman;serif" w:hAnsi="Times New Roman;serif"/>
                  <w:b w:val="false"/>
                  <w:color w:val="0000FF"/>
                  <w:sz w:val="20"/>
                  <w:u w:val="single"/>
                </w:rPr>
                <w:t>Proposal No. 2: Ratification of Appointment of Independent Registered Public Accounting Firm</w:t>
              </w:r>
            </w:hyperlink>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25">
              <w:r>
                <w:rPr>
                  <w:rStyle w:val="InternetLink"/>
                  <w:rFonts w:ascii="Times New Roman;serif" w:hAnsi="Times New Roman;serif"/>
                  <w:b w:val="false"/>
                  <w:color w:val="0000FF"/>
                  <w:sz w:val="20"/>
                  <w:u w:val="single"/>
                </w:rPr>
                <w:t>18</w:t>
              </w:r>
            </w:hyperlink>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28">
              <w:r>
                <w:rPr>
                  <w:rStyle w:val="InternetLink"/>
                  <w:rFonts w:ascii="Times New Roman;serif" w:hAnsi="Times New Roman;serif"/>
                  <w:b w:val="false"/>
                  <w:color w:val="0000FF"/>
                  <w:sz w:val="20"/>
                  <w:u w:val="single"/>
                </w:rPr>
                <w:t>Proposal No. 3: Approval of Plan Amendment to 2024 Equity Incentive Plan</w:t>
              </w:r>
            </w:hyperlink>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28">
              <w:r>
                <w:rPr>
                  <w:rStyle w:val="InternetLink"/>
                  <w:rFonts w:ascii="Times New Roman;serif" w:hAnsi="Times New Roman;serif"/>
                  <w:b w:val="false"/>
                  <w:color w:val="0000FF"/>
                  <w:sz w:val="20"/>
                  <w:u w:val="single"/>
                </w:rPr>
                <w:t>21</w:t>
              </w:r>
            </w:hyperlink>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Executive Compensation</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31">
              <w:r>
                <w:rPr>
                  <w:rStyle w:val="InternetLink"/>
                  <w:rFonts w:ascii="Times New Roman;serif" w:hAnsi="Times New Roman;serif"/>
                  <w:b w:val="false"/>
                  <w:color w:val="0000FF"/>
                  <w:sz w:val="20"/>
                  <w:u w:val="single"/>
                </w:rPr>
                <w:t>25</w:t>
              </w:r>
            </w:hyperlink>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34">
              <w:r>
                <w:rPr>
                  <w:rStyle w:val="InternetLink"/>
                  <w:rFonts w:ascii="Times New Roman;serif" w:hAnsi="Times New Roman;serif"/>
                  <w:b w:val="false"/>
                  <w:color w:val="0000FF"/>
                  <w:sz w:val="20"/>
                  <w:u w:val="single"/>
                </w:rPr>
                <w:t>Certain Relationships and Related Transactions</w:t>
              </w:r>
            </w:hyperlink>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34">
              <w:r>
                <w:rPr>
                  <w:rStyle w:val="InternetLink"/>
                  <w:rFonts w:ascii="Times New Roman;serif" w:hAnsi="Times New Roman;serif"/>
                  <w:b w:val="false"/>
                  <w:color w:val="0000FF"/>
                  <w:sz w:val="20"/>
                  <w:u w:val="single"/>
                </w:rPr>
                <w:t>34</w:t>
              </w:r>
            </w:hyperlink>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37">
              <w:r>
                <w:rPr>
                  <w:rStyle w:val="InternetLink"/>
                  <w:rFonts w:ascii="Times New Roman;serif" w:hAnsi="Times New Roman;serif"/>
                  <w:b w:val="false"/>
                  <w:color w:val="0000FF"/>
                  <w:sz w:val="20"/>
                  <w:u w:val="single"/>
                </w:rPr>
                <w:t>Security Ownership of Certain Beneficial Owners and Management</w:t>
              </w:r>
            </w:hyperlink>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37">
              <w:r>
                <w:rPr>
                  <w:rStyle w:val="InternetLink"/>
                  <w:rFonts w:ascii="Times New Roman;serif" w:hAnsi="Times New Roman;serif"/>
                  <w:b w:val="false"/>
                  <w:color w:val="0000FF"/>
                  <w:sz w:val="20"/>
                  <w:u w:val="single"/>
                </w:rPr>
                <w:t>37</w:t>
              </w:r>
            </w:hyperlink>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40">
              <w:r>
                <w:rPr>
                  <w:rStyle w:val="InternetLink"/>
                  <w:rFonts w:ascii="Times New Roman;serif" w:hAnsi="Times New Roman;serif"/>
                  <w:b w:val="false"/>
                  <w:color w:val="0000FF"/>
                  <w:sz w:val="20"/>
                  <w:u w:val="single"/>
                </w:rPr>
                <w:t>Stockholder Proposals and Nominations to be Presented at 2027 Annual Meeting</w:t>
              </w:r>
            </w:hyperlink>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40">
              <w:r>
                <w:rPr>
                  <w:rStyle w:val="InternetLink"/>
                  <w:rFonts w:ascii="Times New Roman;serif" w:hAnsi="Times New Roman;serif"/>
                  <w:b w:val="false"/>
                  <w:color w:val="0000FF"/>
                  <w:sz w:val="20"/>
                  <w:u w:val="single"/>
                </w:rPr>
                <w:t>40</w:t>
              </w:r>
            </w:hyperlink>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43">
              <w:r>
                <w:rPr>
                  <w:rStyle w:val="InternetLink"/>
                  <w:rFonts w:ascii="Times New Roman;serif" w:hAnsi="Times New Roman;serif"/>
                  <w:b w:val="false"/>
                  <w:color w:val="0000FF"/>
                  <w:sz w:val="20"/>
                  <w:u w:val="single"/>
                </w:rPr>
                <w:t>Transaction of Other Business</w:t>
              </w:r>
            </w:hyperlink>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43">
              <w:r>
                <w:rPr>
                  <w:rStyle w:val="InternetLink"/>
                  <w:rFonts w:ascii="Times New Roman;serif" w:hAnsi="Times New Roman;serif"/>
                  <w:b w:val="false"/>
                  <w:color w:val="0000FF"/>
                  <w:sz w:val="20"/>
                  <w:u w:val="single"/>
                </w:rPr>
                <w:t>41</w:t>
              </w:r>
            </w:hyperlink>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46">
              <w:r>
                <w:rPr>
                  <w:rStyle w:val="InternetLink"/>
                  <w:rFonts w:ascii="Times New Roman;serif" w:hAnsi="Times New Roman;serif"/>
                  <w:b w:val="false"/>
                  <w:color w:val="0000FF"/>
                  <w:sz w:val="20"/>
                  <w:u w:val="single"/>
                </w:rPr>
                <w:t>Stockholders Sharing the Same Last Name and Address</w:t>
              </w:r>
            </w:hyperlink>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46">
              <w:r>
                <w:rPr>
                  <w:rStyle w:val="InternetLink"/>
                  <w:rFonts w:ascii="Times New Roman;serif" w:hAnsi="Times New Roman;serif"/>
                  <w:b w:val="false"/>
                  <w:color w:val="0000FF"/>
                  <w:sz w:val="20"/>
                  <w:u w:val="single"/>
                </w:rPr>
                <w:t>41</w:t>
              </w:r>
            </w:hyperlink>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b7cd4726b64f7c93228e635172bb86_49">
              <w:r>
                <w:rPr>
                  <w:rStyle w:val="InternetLink"/>
                  <w:rFonts w:ascii="Times New Roman;serif" w:hAnsi="Times New Roman;serif"/>
                  <w:b w:val="false"/>
                  <w:color w:val="0000FF"/>
                  <w:sz w:val="20"/>
                  <w:u w:val="single"/>
                </w:rPr>
                <w:t>Appendix A</w:t>
              </w:r>
            </w:hyperlink>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b7cd4726b64f7c93228e635172bb86_49">
              <w:r>
                <w:rPr>
                  <w:rStyle w:val="InternetLink"/>
                  <w:rFonts w:ascii="Times New Roman;serif" w:hAnsi="Times New Roman;serif"/>
                  <w:b w:val="false"/>
                  <w:color w:val="0000FF"/>
                  <w:sz w:val="20"/>
                  <w:u w:val="single"/>
                </w:rPr>
                <w:t>A-i</w:t>
              </w:r>
            </w:hyperlink>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2026 PROXY STATEMENT SUMMARY</w:t>
      </w:r>
    </w:p>
    <w:p>
      <w:pPr>
        <w:pStyle w:val="TextBody"/>
        <w:bidi w:val="0"/>
        <w:spacing w:lineRule="auto" w:line="288" w:before="0" w:after="370"/>
        <w:jc w:val="both"/>
        <w:rPr>
          <w:rFonts w:ascii="Times New Roman;serif" w:hAnsi="Times New Roman;serif"/>
          <w:b w:val="false"/>
          <w:i/>
          <w:color w:val="000000"/>
          <w:sz w:val="20"/>
        </w:rPr>
      </w:pPr>
      <w:r>
        <w:rPr>
          <w:rFonts w:ascii="Times New Roman;serif" w:hAnsi="Times New Roman;serif"/>
          <w:b w:val="false"/>
          <w:i/>
          <w:color w:val="000000"/>
          <w:sz w:val="20"/>
        </w:rPr>
        <w:t>This summary highlights information contained elsewhere in our Proxy Statement. This summary does not contain all of the information that you should consider, and you should read the entire Proxy Statement carefully before voting.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Annual Meeting of Stockholders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1"/>
        <w:gridCol w:w="289"/>
        <w:gridCol w:w="290"/>
        <w:gridCol w:w="2514"/>
        <w:gridCol w:w="2514"/>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Time and date:</w:t>
            </w:r>
          </w:p>
        </w:tc>
        <w:tc>
          <w:tcPr>
            <w:tcW w:w="8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1:00 p.m., Eastern Time, July 28,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Place:</w:t>
            </w:r>
          </w:p>
        </w:tc>
        <w:tc>
          <w:tcPr>
            <w:tcW w:w="856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Virtually, at: </w:t>
            </w:r>
            <w:r>
              <w:rPr>
                <w:rFonts w:ascii="Times New Roman;serif" w:hAnsi="Times New Roman;serif"/>
                <w:b w:val="false"/>
                <w:color w:val="0E32E1"/>
                <w:sz w:val="20"/>
                <w:u w:val="single"/>
              </w:rPr>
              <w:t>www.virtualshareholdermeeting.com/QTI2026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Record date:</w:t>
            </w:r>
          </w:p>
        </w:tc>
        <w:tc>
          <w:tcPr>
            <w:tcW w:w="8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23,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How to vote:</w:t>
            </w:r>
          </w:p>
        </w:tc>
        <w:tc>
          <w:tcPr>
            <w:tcW w:w="856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In general, you may vote by the Internet or mail. See “</w:t>
            </w:r>
            <w:r>
              <w:rPr>
                <w:rFonts w:ascii="Times New Roman;serif" w:hAnsi="Times New Roman;serif"/>
                <w:b w:val="false"/>
                <w:i/>
                <w:color w:val="000000"/>
                <w:sz w:val="20"/>
              </w:rPr>
              <w:t>Voting Instructions</w:t>
            </w:r>
            <w:r>
              <w:rPr>
                <w:color w:val="000000"/>
              </w:rPr>
              <w:t xml:space="preserve">” </w:t>
            </w:r>
            <w:r>
              <w:rPr>
                <w:rFonts w:ascii="Times New Roman;serif" w:hAnsi="Times New Roman;serif"/>
                <w:b w:val="false"/>
                <w:color w:val="000000"/>
                <w:sz w:val="20"/>
              </w:rPr>
              <w:t>on page 5 for more detail regarding how you may vote if you are a registered holder or a beneficial owner of shares held in “street name.”</w:t>
            </w:r>
          </w:p>
        </w:tc>
      </w:tr>
    </w:tbl>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Voting Matters</w:t>
      </w:r>
    </w:p>
    <w:tbl>
      <w:tblPr>
        <w:tblW w:w="10205" w:type="dxa"/>
        <w:jc w:val="left"/>
        <w:tblInd w:w="0" w:type="dxa"/>
        <w:tblLayout w:type="fixed"/>
        <w:tblCellMar>
          <w:top w:w="28" w:type="dxa"/>
          <w:left w:w="28" w:type="dxa"/>
          <w:bottom w:w="28" w:type="dxa"/>
          <w:right w:w="28" w:type="dxa"/>
        </w:tblCellMar>
      </w:tblPr>
      <w:tblGrid>
        <w:gridCol w:w="2314"/>
        <w:gridCol w:w="1902"/>
        <w:gridCol w:w="1918"/>
        <w:gridCol w:w="109"/>
        <w:gridCol w:w="109"/>
        <w:gridCol w:w="109"/>
        <w:gridCol w:w="766"/>
        <w:gridCol w:w="766"/>
        <w:gridCol w:w="768"/>
        <w:gridCol w:w="109"/>
        <w:gridCol w:w="109"/>
        <w:gridCol w:w="109"/>
        <w:gridCol w:w="326"/>
        <w:gridCol w:w="326"/>
        <w:gridCol w:w="465"/>
      </w:tblGrid>
      <w:tr>
        <w:trPr/>
        <w:tc>
          <w:tcPr>
            <w:tcW w:w="231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Board Voting Recommendations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Reference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more detail)</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FOR” EACH 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Ratification of BPM LLP as our independent registered public accounting firm for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Amendment to the Plan to increase the total number of shares of Common Stock authorized and reserved for issuance under the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288" w:before="330" w:after="240"/>
        <w:jc w:val="left"/>
        <w:rPr>
          <w:rFonts w:ascii="Times New Roman;serif" w:hAnsi="Times New Roman;serif"/>
          <w:b/>
          <w:color w:val="000000"/>
          <w:sz w:val="20"/>
          <w:u w:val="single"/>
        </w:rPr>
      </w:pPr>
      <w:r>
        <w:rPr>
          <w:rFonts w:ascii="Times New Roman;serif" w:hAnsi="Times New Roman;serif"/>
          <w:b/>
          <w:color w:val="000000"/>
          <w:sz w:val="20"/>
          <w:u w:val="single"/>
        </w:rPr>
        <w:t>Board Nominees</w:t>
      </w:r>
    </w:p>
    <w:tbl>
      <w:tblPr>
        <w:tblW w:w="7114" w:type="dxa"/>
        <w:jc w:val="left"/>
        <w:tblInd w:w="0" w:type="dxa"/>
        <w:tblLayout w:type="fixed"/>
        <w:tblCellMar>
          <w:top w:w="28" w:type="dxa"/>
          <w:left w:w="28" w:type="dxa"/>
          <w:bottom w:w="28" w:type="dxa"/>
          <w:right w:w="28" w:type="dxa"/>
        </w:tblCellMar>
      </w:tblPr>
      <w:tblGrid>
        <w:gridCol w:w="418"/>
        <w:gridCol w:w="366"/>
        <w:gridCol w:w="371"/>
        <w:gridCol w:w="109"/>
        <w:gridCol w:w="109"/>
        <w:gridCol w:w="109"/>
        <w:gridCol w:w="130"/>
        <w:gridCol w:w="130"/>
        <w:gridCol w:w="131"/>
        <w:gridCol w:w="109"/>
        <w:gridCol w:w="109"/>
        <w:gridCol w:w="109"/>
        <w:gridCol w:w="469"/>
        <w:gridCol w:w="469"/>
        <w:gridCol w:w="471"/>
        <w:gridCol w:w="109"/>
        <w:gridCol w:w="109"/>
        <w:gridCol w:w="109"/>
        <w:gridCol w:w="604"/>
        <w:gridCol w:w="604"/>
        <w:gridCol w:w="607"/>
        <w:gridCol w:w="109"/>
        <w:gridCol w:w="109"/>
        <w:gridCol w:w="109"/>
        <w:gridCol w:w="303"/>
        <w:gridCol w:w="303"/>
        <w:gridCol w:w="430"/>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Director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QT Imaging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 at QT Imaging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Independent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Bryan Timm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Zeev Weiner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Fiscal 2025 Business Performance Highlights</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Revenue for 2025 was $18.9 million, surpassing the Company’s guidance of $18.0 million and representing 288% growth from $4.9 million for 2024. The Company shipped forty QT Breast Acoustic CT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Scanners in 2025, compared to twelve shipments in 2024.</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Gross margin during the year ended December 31, 2025 was 45%.</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Total operating expenses for 2025 were $13.0 million, a 12% improvement from $14.8 million for 2024. The decrease was primarily attributable to a $4.3 million decrease in transaction expenses related to the Business Combinations in 2024, a $1.7 million increase in the allocation of overhead expenses from operating expenses to cost of revenue, and a $0.3 million reduction in insurance expense, partially offset by a $3.0 million increase in compensation and benefits, a $1.0 million increase in professional and outside services, and a $0.2 million increase in technology infrastructure expenses.</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Net loss for 2025 was $21.1 million, or $2.01 per share, and included other expense of $8.8 million consisting of non-cash expense of $6.6 million incurred at the issuance of the Lynrock Lake Term Loan, an extinguishment loss of $2.1 million for the Yorkville Note and Cable Car Note, and a $0.1 million extension fee for the Cable Car Note, as well as a $3.6 million increase in the fair value of warrant liability and a $1.8 million increase in the fair value of earnout liability. This compared with a net loss of $9.0 million, or $2.13 per share, for 2024.</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Net cash used in operating activities for 2025 was $9.0 million compared with $10.0 million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Significantly strengthened its financial position through a private placement completed in October 2025 with gross proceeds of $18.2 million, which included lead investor Sio Capital and participation from other institutional investors and existing stockholders.</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Received $5.0 million in additional financing via the restatement and amendment of the Lynrock Lake Term Loan and used the net proceeds from the transaction to repurchase in full the warrant held by YA II PN, Ltd. to purchase 5,000,071 shares of the Company’s common stock at an exercise price of $1.20 per share (post-reverse stock split). The Company subsequently enhanced the balance sheet by repaying this $5.0 million of additional debt with a portion of the proceeds raised in the October 2025 private placement.</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Implemented a 3:1 reverse stock split of the Company’s issued and outstanding common stock that became market effective on October 23, 2025, and used this and the enhancement of the balance sheet to subsequently in January 2026 uplist to The Nasdaq Capital Market after having met all listing requirements, including financial, corporate governance, and regulatory criteria.</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 xml:space="preserve">Entered into an exclusive distribution agreement with Gulf Medical Co. (“GMC”), pursuant to which GMC has become the exclusive distributor of QTI Breast Acoustic CT™ scanners and user subscriptions to the QTI Cloud Platform in Saudi Arabia. Similarly, in January 2026, entered into an exclusive distribution agreement for QTI's Breast Acoustic CT scanners and the QTI Cloud Platform in the United Arab Emirates (UAE) with Al Naghi Medical Co., a leading regional distributor of medical devices. </w:t>
      </w:r>
    </w:p>
    <w:p>
      <w:pPr>
        <w:pStyle w:val="TextBody"/>
        <w:bidi w:val="0"/>
        <w:spacing w:before="0" w:after="24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QT IMAGING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HAMILTON LANDING, SUITE 160, NOVATO, CA 94949</w: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FOR ANNUAL MEETING OF STOCKHOLDERS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TO BE HELD JULY 28, 2026</w:t>
      </w:r>
    </w:p>
    <w:p>
      <w:pPr>
        <w:pStyle w:val="TextBody"/>
        <w:bidi w:val="0"/>
        <w:spacing w:lineRule="auto" w:line="288" w:before="0" w:after="180"/>
        <w:jc w:val="both"/>
        <w:rPr/>
      </w:pPr>
      <w:r>
        <w:rPr>
          <w:rFonts w:ascii="Times New Roman;serif" w:hAnsi="Times New Roman;serif"/>
          <w:b w:val="false"/>
          <w:color w:val="000000"/>
          <w:sz w:val="20"/>
        </w:rPr>
        <w:t>The Board of QT Imaging Holdings, Inc. is soliciting your proxy for the 2026 Annual Meeting of Stockholders to be held on July 28, 2026, or any adjournment or postponement thereof, for the purposes set forth in the accompanying Notice of Annual Meeting of Stockholders (the “</w:t>
      </w:r>
      <w:r>
        <w:rPr>
          <w:rFonts w:ascii="Times New Roman;serif" w:hAnsi="Times New Roman;serif"/>
          <w:b w:val="false"/>
          <w:i/>
          <w:color w:val="000000"/>
          <w:sz w:val="20"/>
        </w:rPr>
        <w:t>Notice</w:t>
      </w:r>
      <w:r>
        <w:rPr>
          <w:color w:val="000000"/>
        </w:rPr>
        <w:t>”</w:t>
      </w:r>
      <w:r>
        <w:rPr>
          <w:rFonts w:ascii="Times New Roman;serif" w:hAnsi="Times New Roman;serif"/>
          <w:b w:val="false"/>
          <w:color w:val="000000"/>
          <w:sz w:val="20"/>
        </w:rPr>
        <w:t>). This Proxy Statement and related materials are first being made available to stockholders on or about [_______], 2026. References in this Proxy Statement to the “</w:t>
      </w:r>
      <w:r>
        <w:rPr>
          <w:rFonts w:ascii="Times New Roman;serif" w:hAnsi="Times New Roman;serif"/>
          <w:b w:val="false"/>
          <w:i/>
          <w:color w:val="000000"/>
          <w:sz w:val="20"/>
        </w:rPr>
        <w:t>Company</w:t>
      </w:r>
      <w:r>
        <w:rPr>
          <w:rFonts w:ascii="Times New Roman;serif" w:hAnsi="Times New Roman;serif"/>
          <w:b w:val="false"/>
          <w:color w:val="000000"/>
          <w:sz w:val="20"/>
        </w:rPr>
        <w:t>,” “</w:t>
      </w:r>
      <w:r>
        <w:rPr>
          <w:rFonts w:ascii="Times New Roman;serif" w:hAnsi="Times New Roman;serif"/>
          <w:b w:val="false"/>
          <w:i/>
          <w:color w:val="000000"/>
          <w:sz w:val="20"/>
        </w:rPr>
        <w:t>we</w:t>
      </w:r>
      <w:r>
        <w:rPr>
          <w:rFonts w:ascii="Times New Roman;serif" w:hAnsi="Times New Roman;serif"/>
          <w:b w:val="false"/>
          <w:color w:val="000000"/>
          <w:sz w:val="20"/>
        </w:rPr>
        <w:t>,” “</w:t>
      </w:r>
      <w:r>
        <w:rPr>
          <w:rFonts w:ascii="Times New Roman;serif" w:hAnsi="Times New Roman;serif"/>
          <w:b w:val="false"/>
          <w:i/>
          <w:color w:val="000000"/>
          <w:sz w:val="20"/>
        </w:rPr>
        <w:t>our</w:t>
      </w:r>
      <w:r>
        <w:rPr>
          <w:rFonts w:ascii="Times New Roman;serif" w:hAnsi="Times New Roman;serif"/>
          <w:b w:val="false"/>
          <w:color w:val="000000"/>
          <w:sz w:val="20"/>
        </w:rPr>
        <w:t>,” “</w:t>
      </w:r>
      <w:r>
        <w:rPr>
          <w:rFonts w:ascii="Times New Roman;serif" w:hAnsi="Times New Roman;serif"/>
          <w:b w:val="false"/>
          <w:i/>
          <w:color w:val="000000"/>
          <w:sz w:val="20"/>
        </w:rPr>
        <w:t>us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QT Imaging</w:t>
      </w:r>
      <w:r>
        <w:rPr>
          <w:color w:val="000000"/>
        </w:rPr>
        <w:t xml:space="preserve">” </w:t>
      </w:r>
      <w:r>
        <w:rPr>
          <w:rFonts w:ascii="Times New Roman;serif" w:hAnsi="Times New Roman;serif"/>
          <w:b w:val="false"/>
          <w:color w:val="000000"/>
          <w:sz w:val="20"/>
        </w:rPr>
        <w:t>are to QT Imaging Holdings, Inc., and references to the “</w:t>
      </w:r>
      <w:r>
        <w:rPr>
          <w:rFonts w:ascii="Times New Roman;serif" w:hAnsi="Times New Roman;serif"/>
          <w:b w:val="false"/>
          <w:i/>
          <w:color w:val="000000"/>
          <w:sz w:val="20"/>
        </w:rPr>
        <w:t>Annual Meeting</w:t>
      </w:r>
      <w:r>
        <w:rPr>
          <w:color w:val="000000"/>
        </w:rPr>
        <w:t xml:space="preserve">” </w:t>
      </w:r>
      <w:r>
        <w:rPr>
          <w:rFonts w:ascii="Times New Roman;serif" w:hAnsi="Times New Roman;serif"/>
          <w:b w:val="false"/>
          <w:color w:val="000000"/>
          <w:sz w:val="20"/>
        </w:rPr>
        <w:t>are to the 2026 Annual Meeting of Stockholders. When we refer to QT Imaging’s fiscal year, we mean the annual period ending on December 31. This Proxy Statement covers our 2025 fiscal year, which ended on December 31, 2025. When we refer to “</w:t>
      </w:r>
      <w:r>
        <w:rPr>
          <w:rFonts w:ascii="Times New Roman;serif" w:hAnsi="Times New Roman;serif"/>
          <w:b w:val="false"/>
          <w:i/>
          <w:color w:val="000000"/>
          <w:sz w:val="20"/>
        </w:rPr>
        <w:t>in person</w:t>
      </w:r>
      <w:r>
        <w:rPr>
          <w:color w:val="000000"/>
        </w:rPr>
        <w:t xml:space="preserve">” </w:t>
      </w:r>
      <w:r>
        <w:rPr>
          <w:rFonts w:ascii="Times New Roman;serif" w:hAnsi="Times New Roman;serif"/>
          <w:b w:val="false"/>
          <w:color w:val="000000"/>
          <w:sz w:val="20"/>
        </w:rPr>
        <w:t>attendance and voting at the Annual Meeting, we mean virtual attendance and voting over the Internet during the Annual Meeting (such meaning having been authorized by the Board in accordance with Section 9.5 of our Second Amended and Restated Bylaws (the “</w:t>
      </w:r>
      <w:r>
        <w:rPr>
          <w:rFonts w:ascii="Times New Roman;serif" w:hAnsi="Times New Roman;serif"/>
          <w:b w:val="false"/>
          <w:i/>
          <w:color w:val="000000"/>
          <w:sz w:val="20"/>
        </w:rPr>
        <w:t>Bylaws</w:t>
      </w:r>
      <w:r>
        <w:rPr>
          <w:color w:val="000000"/>
        </w:rPr>
        <w: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10" w:after="240"/>
        <w:jc w:val="center"/>
        <w:rPr>
          <w:rFonts w:ascii="Times New Roman;serif" w:hAnsi="Times New Roman;serif"/>
          <w:b/>
          <w:color w:val="000000"/>
          <w:sz w:val="20"/>
        </w:rPr>
      </w:pPr>
      <w:r>
        <w:rPr>
          <w:rFonts w:ascii="Times New Roman;serif" w:hAnsi="Times New Roman;serif"/>
          <w:b/>
          <w:color w:val="000000"/>
          <w:sz w:val="20"/>
        </w:rPr>
        <w:t>SOLICITATION AND VOTING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Record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Only stockholders of record at the close of business on June 23, 2026 will be entitled to notice of and to vote at the meeting and any adjournment thereof. As of the record date, 13,768,903 shares of Common Stock, were outstanding and entitled to vote.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Quorum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least one-third of the 13,768,903 shares of Common Stock outstanding as of the record date, or 4,589,635 shares of Common Stock, must be represented at the meeting, either in person or by proxy, to constitute a quorum for the transaction of business at the meeting. Your shares will be counted towards the quorum if you submit a valid proxy (or one is submitted on your behalf by your broker or bank) or if you vote in person at the meeting. Withheld votes, abstentions and “broker non-votes” (shares held by a broker or nominee that does not have the authority, either express or discretionary, to vote on a particular matter) will each be counted as present for purposes of determining the presence of a quorum.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410" w:after="240"/>
        <w:jc w:val="left"/>
        <w:rPr>
          <w:rFonts w:ascii="Times New Roman;serif" w:hAnsi="Times New Roman;serif"/>
          <w:b/>
          <w:color w:val="000000"/>
          <w:sz w:val="20"/>
        </w:rPr>
      </w:pPr>
      <w:r>
        <w:rPr>
          <w:rFonts w:ascii="Times New Roman;serif" w:hAnsi="Times New Roman;serif"/>
          <w:b/>
          <w:color w:val="000000"/>
          <w:sz w:val="20"/>
        </w:rPr>
        <w:t>Votes Required to Approve Each Proposal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share of our Common Stock outstanding on the record date is entitled to one vote on each of the two director nominees and one vote on each other proposal. Shares not present at the meeting will have no effect on any proposal to be voted on at the Annual Meeting, assuming that a quorum is present. The table below summarizes the proposals that will be voted on, the vote required to approve each item and how votes are to be counted:</w:t>
      </w:r>
    </w:p>
    <w:tbl>
      <w:tblPr>
        <w:tblW w:w="10205" w:type="dxa"/>
        <w:jc w:val="left"/>
        <w:tblInd w:w="0" w:type="dxa"/>
        <w:tblLayout w:type="fixed"/>
        <w:tblCellMar>
          <w:top w:w="28" w:type="dxa"/>
          <w:left w:w="28" w:type="dxa"/>
          <w:bottom w:w="28" w:type="dxa"/>
          <w:right w:w="28" w:type="dxa"/>
        </w:tblCellMar>
      </w:tblPr>
      <w:tblGrid>
        <w:gridCol w:w="1305"/>
        <w:gridCol w:w="921"/>
        <w:gridCol w:w="928"/>
        <w:gridCol w:w="109"/>
        <w:gridCol w:w="109"/>
        <w:gridCol w:w="109"/>
        <w:gridCol w:w="1405"/>
        <w:gridCol w:w="1405"/>
        <w:gridCol w:w="1290"/>
        <w:gridCol w:w="109"/>
        <w:gridCol w:w="109"/>
        <w:gridCol w:w="109"/>
        <w:gridCol w:w="275"/>
        <w:gridCol w:w="275"/>
        <w:gridCol w:w="276"/>
        <w:gridCol w:w="109"/>
        <w:gridCol w:w="109"/>
        <w:gridCol w:w="109"/>
        <w:gridCol w:w="334"/>
        <w:gridCol w:w="334"/>
        <w:gridCol w:w="476"/>
      </w:tblGrid>
      <w:tr>
        <w:trPr/>
        <w:tc>
          <w:tcPr>
            <w:tcW w:w="130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Votes Required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Impact of</w:t>
            </w:r>
          </w:p>
          <w:p>
            <w:pPr>
              <w:pStyle w:val="TableContents"/>
              <w:bidi w:val="0"/>
              <w:spacing w:lineRule="auto" w:line="288" w:before="0" w:after="0"/>
              <w:jc w:val="center"/>
              <w:rPr>
                <w:color w:val="000000"/>
              </w:rPr>
            </w:pPr>
            <w:r>
              <w:rPr>
                <w:color w:val="000000"/>
              </w:rPr>
              <w:t>“</w:t>
            </w:r>
            <w:r>
              <w:rPr>
                <w:rFonts w:ascii="Times New Roman;serif" w:hAnsi="Times New Roman;serif"/>
                <w:b/>
                <w:color w:val="000000"/>
                <w:sz w:val="16"/>
              </w:rPr>
              <w:t>Withhold”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 “Abstain”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Broker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Discretionary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Voting</w:t>
            </w:r>
          </w:p>
          <w:p>
            <w:pPr>
              <w:pStyle w:val="TableContents"/>
              <w:bidi w:val="0"/>
              <w:spacing w:lineRule="auto" w:line="288" w:before="0" w:after="0"/>
              <w:jc w:val="center"/>
              <w:rPr/>
            </w:pPr>
            <w:r>
              <w:rPr>
                <w:rFonts w:ascii="Times New Roman;serif" w:hAnsi="Times New Roman;serif"/>
                <w:b/>
                <w:color w:val="000000"/>
                <w:sz w:val="16"/>
              </w:rPr>
              <w:t>Allowed</w:t>
            </w:r>
            <w:r>
              <w:rPr>
                <w:rFonts w:ascii="Times New Roman;serif" w:hAnsi="Times New Roman;serif"/>
                <w:b/>
                <w:color w:val="000000"/>
                <w:sz w:val="10"/>
              </w:rPr>
              <w:t>(1)</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Proposal No. 1: 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plurality of the votes cast. This means that the two director nominees who receive the highest number of “FOR” votes will be elected as Class II directors. You may vote “For” or “Withhold” with respect to each 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None</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w:t>
            </w:r>
            <w:r>
              <w:rPr>
                <w:rFonts w:ascii="Times New Roman;serif" w:hAnsi="Times New Roman;serif"/>
                <w:b w:val="false"/>
                <w:color w:val="000000"/>
                <w:sz w:val="13"/>
              </w:rPr>
              <w:t>(3)</w:t>
            </w:r>
          </w:p>
        </w:tc>
      </w:tr>
      <w:tr>
        <w:trPr/>
        <w:tc>
          <w:tcPr>
            <w:tcW w:w="31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Proposal No. 2: Ratification of BPM LLP as our independent registered public accounting firm for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majority of the shares present and entitled to vote. You may vote “For,” “Against” or “Abstain” with respect to this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Yes</w:t>
            </w:r>
            <w:r>
              <w:rPr>
                <w:rFonts w:ascii="Times New Roman;serif" w:hAnsi="Times New Roman;serif"/>
                <w:b w:val="false"/>
                <w:color w:val="000000"/>
                <w:sz w:val="13"/>
              </w:rPr>
              <w:t>(5)</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Proposal No. 3: Approval of the Plan Amendment to increase the total number of shares of Common Stock authorized and reserved for issuance under the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majority of the shares present and entitled to vote. You may vote “For,” “Against” or “Abstain” with respect to this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w:t>
            </w:r>
            <w:r>
              <w:rPr>
                <w:rFonts w:ascii="Times New Roman;serif" w:hAnsi="Times New Roman;serif"/>
                <w:b w:val="false"/>
                <w:color w:val="000000"/>
                <w:sz w:val="13"/>
              </w:rPr>
              <w:t>(3)</w:t>
            </w:r>
          </w:p>
        </w:tc>
      </w:tr>
    </w:tbl>
    <w:p>
      <w:pPr>
        <w:pStyle w:val="TextBody"/>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(1)If your shares are held in “street name” by a bank or broker, such bank or broker is required to vote your shares according to your instructions, if provided. If you do not provide specific voting instructions, under NYSE rules governing banks and brokers who submit a proxy card with respect to shares held in “street name,” such banks and brokers have the discretionary authority to vote on routine matters, but not on non-routine matters. A broker non-vote occurs when a bank or broker has not received voting instructions from the beneficial owner of the shares and the bank or broker cannot vote the shares at its discretion because the matter is not considered a routine matter under NYSE rules. In tabulating the voting results for any particular proposal, shares that constitute broker non-votes are not considered entitled to vote on that proposal.</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(2)A vote that is withheld will be excluded entirely from the vote with respect to the director nominee from which it is withheld and will have the same effect as an abstention. Withheld votes and abstentions will not count as votes “FOR” or “AGAINST” a director and thus will not affect the outcome of this proposal (assuming that a quorum is present), because directors are elected by plurality voting.</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(3)As this proposal is not considered a routine matter, banks and brokers lack authority to exercise their discretion to vote on this proposal if you do not provide specific voting instructions. If you are a beneficial owner and hold your shares in “street name” in an account at a bank or brokerage firm, it is critical that you cast your vote if you want it to count in this proposal. Accordingly, we encourage you to vote promptly, even if you plan to attend the Annual Meeting.</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(4)Abstentions will have the effect of a vote against this proposal.</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(5)As this proposal is considered a routine matter, banks and brokers are permitted to exercise their discretion to vote uninstructed shares on this proposal.</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Voting Instructions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complete and submit your proxy card or voting instructions, the persons named as proxies will follow your voting instructions. If no choice is indicated on the proxy card, the shares will be voted as the Board recommends on each proposal. Many banks and brokerage firms have a process for their beneficial owners to provide instructions via the Internet. The voting form that you receive from your bank or broker will contain instructions for voting.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Depending on how you hold your shares, you may vote in one of the following ways:</w:t>
      </w:r>
    </w:p>
    <w:p>
      <w:pPr>
        <w:pStyle w:val="TextBody"/>
        <w:bidi w:val="0"/>
        <w:spacing w:lineRule="auto" w:line="288" w:before="0" w:after="180"/>
        <w:ind w:left="0" w:right="0" w:hanging="360"/>
        <w:jc w:val="both"/>
        <w:rPr/>
      </w:pPr>
      <w:r>
        <w:rPr>
          <w:color w:val="0094FF"/>
        </w:rPr>
        <w:t>•</w:t>
      </w:r>
      <w:r>
        <w:rPr>
          <w:rFonts w:ascii="Times New Roman;serif" w:hAnsi="Times New Roman;serif"/>
          <w:b/>
          <w:i/>
          <w:color w:val="000000"/>
          <w:sz w:val="20"/>
        </w:rPr>
        <w:t>Stockholders of Record:</w:t>
      </w:r>
      <w:r>
        <w:rPr>
          <w:color w:val="000000"/>
        </w:rPr>
        <w:t xml:space="preserve"> </w:t>
      </w:r>
      <w:r>
        <w:rPr>
          <w:rFonts w:ascii="Times New Roman;serif" w:hAnsi="Times New Roman;serif"/>
          <w:b w:val="false"/>
          <w:color w:val="000000"/>
          <w:sz w:val="20"/>
        </w:rPr>
        <w:t xml:space="preserve">You may vote by proxy or over the Internet. Please follow the instructions at </w:t>
      </w:r>
      <w:r>
        <w:rPr>
          <w:rFonts w:ascii="Times New Roman;serif" w:hAnsi="Times New Roman;serif"/>
          <w:b w:val="false"/>
          <w:color w:val="0000FF"/>
          <w:sz w:val="20"/>
          <w:u w:val="single"/>
        </w:rPr>
        <w:t>https://www.virtualshareholdermeeting.com/QTI2026</w:t>
      </w:r>
      <w:r>
        <w:rPr>
          <w:color w:val="000000"/>
        </w:rPr>
        <w:t xml:space="preserve"> </w:t>
      </w:r>
      <w:r>
        <w:rPr>
          <w:rFonts w:ascii="Times New Roman;serif" w:hAnsi="Times New Roman;serif"/>
          <w:b w:val="false"/>
          <w:color w:val="000000"/>
          <w:sz w:val="20"/>
        </w:rPr>
        <w:t>to vote over the Internet, or on the paper copy of the proxy card that you received by mail, then sign and return your proxy card in the prepaid envelope. You may also vote in person at the Annual Meeting.</w:t>
      </w:r>
    </w:p>
    <w:p>
      <w:pPr>
        <w:pStyle w:val="TextBody"/>
        <w:bidi w:val="0"/>
        <w:spacing w:lineRule="auto" w:line="288" w:before="0" w:after="180"/>
        <w:ind w:left="0" w:right="0" w:hanging="360"/>
        <w:jc w:val="both"/>
        <w:rPr/>
      </w:pPr>
      <w:r>
        <w:rPr>
          <w:color w:val="0094FF"/>
        </w:rPr>
        <w:t>•</w:t>
      </w:r>
      <w:r>
        <w:rPr>
          <w:rFonts w:ascii="Times New Roman;serif" w:hAnsi="Times New Roman;serif"/>
          <w:b/>
          <w:i/>
          <w:color w:val="000000"/>
          <w:sz w:val="20"/>
        </w:rPr>
        <w:t>Beneficial Stockholders:</w:t>
      </w:r>
      <w:r>
        <w:rPr>
          <w:color w:val="000000"/>
        </w:rPr>
        <w:t xml:space="preserve"> </w:t>
      </w:r>
      <w:r>
        <w:rPr>
          <w:rFonts w:ascii="Times New Roman;serif" w:hAnsi="Times New Roman;serif"/>
          <w:b w:val="false"/>
          <w:color w:val="000000"/>
          <w:sz w:val="20"/>
        </w:rPr>
        <w:t>Your bank, broker or other holder of record will provide you with a voting instruction card for you to use to instruct them on how to vote your shares. Check the instructions provided by your bank, broker or other holder of record to see which options are available to you. However, since you are not the stockholder of record, you may not vote your shares in person at the Annual Meeting unless you request and obtain a valid proxy from your bank, broker or other agent.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Votes submitted over the Internet must be received by 11:59 p.m., Eastern Time, on July 27, 2026. Submitting your proxy over the Internet will not affect your right to vote in person during the Annual Meeting should you decide to attend the Annual Meeting in person.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Revocability of Proxy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you may revoke your proxy and change your vote at any time before the polls close by returning a later-dated proxy card, by voting again over the Internet as more fully detailed in your Notice or proxy card, or by delivering written instructions to the Secretary at the principal executive offices of QT Imaging before the Annual Meeting. Attendance at the Annual Meeting will not in and of itself cause your previously voted proxy to be revoked unless you specifically so request or vote again at the Annual Meeting. If your shares are held in an account at a bank, brokerage firm or other agent, you may change your vote by submitting new voting instructions to your bank, brokerage firm or other agent, or, if you have obtained a valid proxy from your bank, brokerage firm or other agent giving you the right to vote your shares, by attending the Annual Meeting and voting in person.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0" w:after="180"/>
        <w:jc w:val="both"/>
        <w:rPr/>
      </w:pPr>
      <w:r>
        <w:rPr>
          <w:rFonts w:ascii="Times New Roman;serif" w:hAnsi="Times New Roman;serif"/>
          <w:b w:val="false"/>
          <w:color w:val="000000"/>
          <w:sz w:val="20"/>
        </w:rPr>
        <w:t>We are soliciting your proxy for the Annual Meeting and will bear the cost of such solicitation process. This includes the charges and expenses for preparation, assembly, printing, mailing, and distribution of this proxy statement and the related proxy materials. Sodali &amp; Co (“</w:t>
      </w:r>
      <w:r>
        <w:rPr>
          <w:rFonts w:ascii="Times New Roman;serif" w:hAnsi="Times New Roman;serif"/>
          <w:b w:val="false"/>
          <w:i/>
          <w:color w:val="000000"/>
          <w:sz w:val="20"/>
        </w:rPr>
        <w:t>Sodali</w:t>
      </w:r>
      <w:r>
        <w:rPr>
          <w:color w:val="000000"/>
        </w:rPr>
        <w:t>”</w:t>
      </w:r>
      <w:r>
        <w:rPr>
          <w:rFonts w:ascii="Times New Roman;serif" w:hAnsi="Times New Roman;serif"/>
          <w:b w:val="false"/>
          <w:color w:val="000000"/>
          <w:sz w:val="20"/>
        </w:rPr>
        <w:t>), a proxy solicitor, has been retained to assist us in the solicitation of proxies for the Annual Meeting, and we will pay Sodali $12,000, plus reimbursement for its reasonable out-of-pocket expenses, and indemnify Sodali and its affiliates against certain claims, liabilities, losses, damages and expenses for its services as our proxy solicitor. Proxies may be solicited by mail, personal interview, e-mail, telephone, or via the Internet by Sodali, or, without any additional compensation, by certain of our directors, officers and employees. We may use the services of our officers, directors and employees to solicit proxies, personally or by telephone, without additional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soliciting stockholders by mail, we will request banks, brokers and other intermediaries holding shares of our Common Stock beneficially owned by others to obtain proxies from the beneficial owners and will reimburse them for their reasonable, out-of-pocket costs.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Voting Results</w:t>
      </w:r>
    </w:p>
    <w:p>
      <w:pPr>
        <w:pStyle w:val="TextBody"/>
        <w:bidi w:val="0"/>
        <w:spacing w:lineRule="auto" w:line="288" w:before="0" w:after="180"/>
        <w:jc w:val="both"/>
        <w:rPr/>
      </w:pPr>
      <w:r>
        <w:rPr>
          <w:rFonts w:ascii="Times New Roman;serif" w:hAnsi="Times New Roman;serif"/>
          <w:b w:val="false"/>
          <w:color w:val="000000"/>
          <w:sz w:val="20"/>
        </w:rPr>
        <w:t>We will announce preliminary voting results at the Annual Meeting. We will report final results on a Form 8-K to be filed with the U.S. Securities and Exchange Commission (the “</w:t>
      </w:r>
      <w:r>
        <w:rPr>
          <w:rFonts w:ascii="Times New Roman;serif" w:hAnsi="Times New Roman;serif"/>
          <w:b w:val="false"/>
          <w:i/>
          <w:color w:val="000000"/>
          <w:sz w:val="20"/>
        </w:rPr>
        <w:t>SEC</w:t>
      </w:r>
      <w:r>
        <w:rPr>
          <w:color w:val="000000"/>
        </w:rPr>
        <w: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NO. 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 classified Board consisting of two Class I directors, two Class II directors and three Class III directors. At each annual meeting of stockholders, directors are elected for a term of three years to succeed those directors whose terms expire at the annual meeting dates. Following the Annual Meeting, we will have no vacancies on our Board.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 of the existing Class II directors will expire on the date of this Annual Meeting. Accordingly, two persons are to be elected to serve as Class II directors of the Board at this Annual Meeting. The Board’s nominees for election by the stockholders to those two positions are (1) current independent Class II director, Professor Zeev Weiner, and (2) new independent Class II director nominee, Bryan Timm. Each nominee has consented to being named in the proxy materials relating to the Annual Meeting and to serve if elected. Following a request by current Class II Director Mr. Ross Taylor to not be renominated for election to the Board, the Board has determined not to renominate Mr. Taylor. Mr. Taylor’s request to not be renominated was not as a result of any disagreements with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elected, each nominee will serve as a director until our annual meeting of stockholders in 2029 and until their respective successors are elected and qualified. If any of the nominees declines to serve or becomes unavailable for any reason, or if a vacancy occurs before the election (although we know of no reason to anticipate that this will occur), the proxies may be voted for such substitute nominees as we may designate. The proxies cannot vote for more than two persons.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two nominees for Class II director receiving the highest number of votes will be elected as Class II directors. A “Withhold” vote will have no effect on the vote.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Board recommends that you vote “FOR” the nominees named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names of our directors and director nominees, including the nominees for Class II director to be elected at this Annual Meeting, and certain information about them as of June 18, 2026 is set forth below.</w:t>
      </w:r>
    </w:p>
    <w:tbl>
      <w:tblPr>
        <w:tblW w:w="10205" w:type="dxa"/>
        <w:jc w:val="left"/>
        <w:tblInd w:w="0" w:type="dxa"/>
        <w:tblLayout w:type="fixed"/>
        <w:tblCellMar>
          <w:top w:w="28" w:type="dxa"/>
          <w:left w:w="28" w:type="dxa"/>
          <w:bottom w:w="28" w:type="dxa"/>
          <w:right w:w="28" w:type="dxa"/>
        </w:tblCellMar>
      </w:tblPr>
      <w:tblGrid>
        <w:gridCol w:w="687"/>
        <w:gridCol w:w="601"/>
        <w:gridCol w:w="607"/>
        <w:gridCol w:w="142"/>
        <w:gridCol w:w="142"/>
        <w:gridCol w:w="142"/>
        <w:gridCol w:w="1543"/>
        <w:gridCol w:w="1536"/>
        <w:gridCol w:w="1543"/>
        <w:gridCol w:w="142"/>
        <w:gridCol w:w="142"/>
        <w:gridCol w:w="142"/>
        <w:gridCol w:w="170"/>
        <w:gridCol w:w="170"/>
        <w:gridCol w:w="171"/>
        <w:gridCol w:w="142"/>
        <w:gridCol w:w="142"/>
        <w:gridCol w:w="142"/>
        <w:gridCol w:w="551"/>
        <w:gridCol w:w="551"/>
        <w:gridCol w:w="797"/>
      </w:tblGrid>
      <w:tr>
        <w:trPr/>
        <w:tc>
          <w:tcPr>
            <w:tcW w:w="68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 at QT Imaging</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Director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QT Imaging Since</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Class I Director Whose Terms Expire at the 2028 Annual Meeting of Stockholders:</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Dickson</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Greene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Class II Director Nominees for Election at the 2026 Annual Meeting of Stockholders:</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Bryan Timm</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Nominee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Professor Zeev Weiner</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Class III Directors Whose Terms Expire at the 2027 Annual Meeting of Stockholders:</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Raluca Dinu</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Secretary and Director</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Avi Katz</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John C. Klock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bl>
    <w:p>
      <w:pPr>
        <w:pStyle w:val="TextBody"/>
        <w:bidi w:val="0"/>
        <w:spacing w:lineRule="auto" w:line="288" w:before="280" w:after="140"/>
        <w:jc w:val="left"/>
        <w:rPr>
          <w:rFonts w:ascii="Times New Roman;serif" w:hAnsi="Times New Roman;serif"/>
          <w:b/>
          <w:color w:val="000000"/>
          <w:sz w:val="20"/>
        </w:rPr>
      </w:pPr>
      <w:r>
        <w:rPr>
          <w:rFonts w:ascii="Times New Roman;serif" w:hAnsi="Times New Roman;serif"/>
          <w:b/>
          <w:color w:val="000000"/>
          <w:sz w:val="20"/>
        </w:rPr>
        <w:t>Directors’ Principal Occupation, Business Experience, Qualifications, and Directorships</w:t>
      </w:r>
    </w:p>
    <w:p>
      <w:pPr>
        <w:pStyle w:val="TextBody"/>
        <w:bidi w:val="0"/>
        <w:spacing w:lineRule="auto" w:line="288" w:before="0" w:after="18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Class I Directors</w:t>
      </w:r>
    </w:p>
    <w:p>
      <w:pPr>
        <w:pStyle w:val="TextBody"/>
        <w:bidi w:val="0"/>
        <w:spacing w:lineRule="auto" w:line="288" w:before="0" w:after="180"/>
        <w:jc w:val="left"/>
        <w:rPr/>
      </w:pPr>
      <w:r>
        <w:rPr>
          <w:rFonts w:ascii="Times New Roman;serif" w:hAnsi="Times New Roman;serif"/>
          <w:b/>
          <w:i/>
          <w:color w:val="000000"/>
          <w:sz w:val="20"/>
          <w:shd w:fill="FFFFFF" w:val="clear"/>
        </w:rPr>
        <w:t>Mr. Daniel Dickson</w:t>
      </w:r>
      <w:r>
        <w:rPr>
          <w:color w:val="000000"/>
          <w:shd w:fill="FFFFFF" w:val="clear"/>
        </w:rPr>
        <w:t xml:space="preserve"> </w:t>
      </w:r>
      <w:r>
        <w:rPr>
          <w:rFonts w:ascii="Times New Roman;serif" w:hAnsi="Times New Roman;serif"/>
          <w:b w:val="false"/>
          <w:color w:val="000000"/>
          <w:sz w:val="20"/>
        </w:rPr>
        <w:t xml:space="preserve">joined the QT Imaging, Inc. Board in November 2022 and has continued to serve on our Board following the closing of the Business Combination in March 2024. Mr. Dickson began his executive management career in 1980, when he joined General Electric Company. From 1980 until 1987, he held a number of strategic and operational roles and had responsibility for a $300 million business in the company’s consumer electronics division. In 1987, Mr. Dickson left GE to join a startup company that brought advanced technology to consumer products retailing. As SVP Marketing, he helped grow revenue to $12 million and was a key player in the company’s IPO in 1989. In 1990, Mr. Dickson moved to California, where he became President and COO of a privately held data management company located in Santa Monica, CA. After repositioning the company to take advantage of the growing trend toward personalized marketing and internet-based market research, he was brought to San Francisco by the venture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firm Draper Fisher Jurvetson in 1996 to serve as President and CEO of one of their early-stage internet companies. Based on this experience, he joined The Brenner Group, Inc., in 1998 where he built that company’s interim CEO practice. During that period, he also served as a “parachute” CEO and was retained by multiple San Francisco Bay Area venture firms to manage and reposition their portfolio companies, including Armus Corporation, a data management firm that focused on medical outcomes (acquired by Health Catalyst Capital Management in 2022), and Vital Transport, a start-up company involved in organ transport. In 2003, Mr. Dickson returned to the East Coast where he became President and CEO of Best Cellars, Inc., an innovative wine retailer with operations in five states. After doubling sales and creating a significant internet business, he negotiated the company’s acquisition by the $9 billion publicly held Great Atlantic &amp; Pacific Grocery chain in 2007. After the acquisition, Mr. Dickson was retained as a “virtual COO” for the company’s $200 million wine, beer, and spirits operation, where he remained until 2011. From 2011 to 2018, he served as a board member and later advisor to the board of The Winebow Group, an $800 million fine wine distributor with locations in 19 states across the country. From 2018 until 2021 he acted as CFO of the Latin American Auto Group, an initiative led by automotive industry pioneer Marshall S. Cogan. He currently maintains an independent consulting practice focusing on executive coaching and strategic analysis, and is an executive coach affiliated with SUMMi7 LLC in Dallas, TX. Mr. Dickson holds an M.B.A., with Distinction, from Harvard’s Graduate School of Business Administration (1980), and a B.S. in Public Communication, Summa Cum Laude, from Boston University (1974), and is a registered Agile Product Owner and Scrum Master.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Mr. Dickson is qualified to serve on our Board because of his more than 30 years of C-level experience and expertise working in companies ranging from startups to Fortune 50 and his experience in industries from consumer products to enterprise software, as well as his proven ability to focus and scale a company.</w:t>
      </w:r>
    </w:p>
    <w:p>
      <w:pPr>
        <w:pStyle w:val="TextBody"/>
        <w:bidi w:val="0"/>
        <w:spacing w:lineRule="auto" w:line="288" w:before="0" w:after="180"/>
        <w:jc w:val="left"/>
        <w:rPr/>
      </w:pPr>
      <w:r>
        <w:rPr>
          <w:rFonts w:ascii="Times New Roman;serif" w:hAnsi="Times New Roman;serif"/>
          <w:b/>
          <w:i/>
          <w:color w:val="000000"/>
          <w:sz w:val="20"/>
        </w:rPr>
        <w:t>Mr. James Greene</w:t>
      </w:r>
      <w:r>
        <w:rPr>
          <w:color w:val="000000"/>
        </w:rPr>
        <w:t xml:space="preserve"> </w:t>
      </w:r>
      <w:r>
        <w:rPr>
          <w:rFonts w:ascii="Times New Roman;serif" w:hAnsi="Times New Roman;serif"/>
          <w:b w:val="false"/>
          <w:color w:val="000000"/>
          <w:sz w:val="20"/>
        </w:rPr>
        <w:t>joined our Board in March 2024</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Mr. Greene served as a director of Umpqua Bank (n/k/a Columbia Banking System) (“</w:t>
      </w:r>
      <w:r>
        <w:rPr>
          <w:rFonts w:ascii="Times New Roman;serif" w:hAnsi="Times New Roman;serif"/>
          <w:b w:val="false"/>
          <w:i/>
          <w:color w:val="000000"/>
          <w:sz w:val="20"/>
        </w:rPr>
        <w:t>Umpqua Bank</w:t>
      </w:r>
      <w:r>
        <w:rPr>
          <w:color w:val="000000"/>
        </w:rPr>
        <w:t>”</w:t>
      </w:r>
      <w:r>
        <w:rPr>
          <w:rFonts w:ascii="Times New Roman;serif" w:hAnsi="Times New Roman;serif"/>
          <w:b w:val="false"/>
          <w:color w:val="000000"/>
          <w:sz w:val="20"/>
        </w:rPr>
        <w:t>) (Nasdaq: UMPQ) until its acquisition in March 2023 and serves as a director of GigCapital8 Corp. (“</w:t>
      </w:r>
      <w:r>
        <w:rPr>
          <w:rFonts w:ascii="Times New Roman;serif" w:hAnsi="Times New Roman;serif"/>
          <w:b w:val="false"/>
          <w:i/>
          <w:color w:val="000000"/>
          <w:sz w:val="20"/>
        </w:rPr>
        <w:t>GIG8</w:t>
      </w:r>
      <w:r>
        <w:rPr>
          <w:color w:val="000000"/>
        </w:rPr>
        <w:t>”</w:t>
      </w:r>
      <w:r>
        <w:rPr>
          <w:rFonts w:ascii="Times New Roman;serif" w:hAnsi="Times New Roman;serif"/>
          <w:b w:val="false"/>
          <w:color w:val="000000"/>
          <w:sz w:val="20"/>
        </w:rPr>
        <w:t>) (Nasdaq: GIW) since its initial public offering in October 2025, and UpHealth, Inc. (OTC Expert Market: UPHL) since December 2023. He is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leader of Cisco’s global Strategic Partner Organization. Before Mr. Greene’s tenure at Cisco and Accenture, he generated significant growth as president and CEO of Abilizer, a portal technology start-up company, as managing director at Capgemini, and as global head of financial services at TeleTech.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Mr. Greene is qualified to serve on our Board based on his leadership experience with technology companies, as well as his business development and finance experience.</w:t>
      </w:r>
    </w:p>
    <w:p>
      <w:pPr>
        <w:pStyle w:val="TextBody"/>
        <w:bidi w:val="0"/>
        <w:spacing w:lineRule="auto" w:line="288" w:before="0" w:after="18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Class II Directors</w:t>
      </w:r>
    </w:p>
    <w:p>
      <w:pPr>
        <w:pStyle w:val="TextBody"/>
        <w:bidi w:val="0"/>
        <w:spacing w:lineRule="auto" w:line="288" w:before="0" w:after="180"/>
        <w:jc w:val="both"/>
        <w:rPr/>
      </w:pPr>
      <w:r>
        <w:rPr>
          <w:rFonts w:ascii="Times New Roman;serif" w:hAnsi="Times New Roman;serif"/>
          <w:b/>
          <w:i/>
          <w:color w:val="000000"/>
          <w:sz w:val="20"/>
        </w:rPr>
        <w:t>Bryan L. Timm</w:t>
      </w:r>
      <w:r>
        <w:rPr>
          <w:color w:val="000000"/>
        </w:rPr>
        <w:t xml:space="preserve"> </w:t>
      </w:r>
      <w:r>
        <w:rPr>
          <w:rFonts w:ascii="Times New Roman;serif" w:hAnsi="Times New Roman;serif"/>
          <w:b w:val="false"/>
          <w:color w:val="000000"/>
          <w:sz w:val="20"/>
        </w:rPr>
        <w:t>is being nominated to serve on the Board. He has served on the board of directors and as Chairman of the Audit Committee of GigCapital7 Corp. (“</w:t>
      </w:r>
      <w:r>
        <w:rPr>
          <w:rFonts w:ascii="Times New Roman;serif" w:hAnsi="Times New Roman;serif"/>
          <w:b w:val="false"/>
          <w:i/>
          <w:color w:val="000000"/>
          <w:sz w:val="20"/>
        </w:rPr>
        <w:t>GIG7</w:t>
      </w:r>
      <w:r>
        <w:rPr>
          <w:color w:val="000000"/>
        </w:rPr>
        <w:t>”</w:t>
      </w:r>
      <w:r>
        <w:rPr>
          <w:rFonts w:ascii="Times New Roman;serif" w:hAnsi="Times New Roman;serif"/>
          <w:b w:val="false"/>
          <w:color w:val="000000"/>
          <w:sz w:val="20"/>
        </w:rPr>
        <w:t>) and has continued in his role after that company became Hadron Energy, Inc. (“</w:t>
      </w:r>
      <w:r>
        <w:rPr>
          <w:rFonts w:ascii="Times New Roman;serif" w:hAnsi="Times New Roman;serif"/>
          <w:b w:val="false"/>
          <w:i/>
          <w:color w:val="000000"/>
          <w:sz w:val="20"/>
        </w:rPr>
        <w:t>Hadron Energy</w:t>
      </w:r>
      <w:r>
        <w:rPr>
          <w:color w:val="000000"/>
        </w:rPr>
        <w:t>”</w:t>
      </w:r>
      <w:r>
        <w:rPr>
          <w:rFonts w:ascii="Times New Roman;serif" w:hAnsi="Times New Roman;serif"/>
          <w:b w:val="false"/>
          <w:color w:val="000000"/>
          <w:sz w:val="20"/>
        </w:rPr>
        <w:t>) (Nasdaq: HDRN) in May 2026. Mr. Timm also currently serves as a member of the board and Chairman of the Audit Committee for GIG8 since its initial public offering in October 2025 and as a director for GigCapital9 Corp. (“</w:t>
      </w:r>
      <w:r>
        <w:rPr>
          <w:rFonts w:ascii="Times New Roman;serif" w:hAnsi="Times New Roman;serif"/>
          <w:b w:val="false"/>
          <w:i/>
          <w:color w:val="000000"/>
          <w:sz w:val="20"/>
        </w:rPr>
        <w:t>GIG9</w:t>
      </w:r>
      <w:r>
        <w:rPr>
          <w:color w:val="000000"/>
        </w:rPr>
        <w:t>”</w:t>
      </w:r>
      <w:r>
        <w:rPr>
          <w:rFonts w:ascii="Times New Roman;serif" w:hAnsi="Times New Roman;serif"/>
          <w:b w:val="false"/>
          <w:color w:val="000000"/>
          <w:sz w:val="20"/>
        </w:rPr>
        <w:t>) (Nasdaq: GIX) since its initial public offering in January 2026. He also serves as a Board Advisor for the Pape’ Group, a family company serving the west coast with Kenworth, John Deere, and Hyster heavy equipment dealerships. He previously served on the Board of Directors of Umpqua Bank from 2004 to 2023. As a director he served in multiple roles including Vice Chairman of the Board, Chairman of the Audit and Compliance Committee,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Chief Operating Officer, and Chief Financial Officer from 1997 to 2017. Prior to 1997, he held financial positions for Oregon Steel Mills, Inc. (NYSE: OS) and at KPMG as part of the Audit practice. Mr. Timm holds a Bachelor of Science degree from the University of Idaho in Accounting and is a Certified Public Accountant (lapsed) in the state of Oregon.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Mr. Timm is qualified to serve on the Board based on his executive management, service on other boards and finance experience.</w:t>
      </w:r>
    </w:p>
    <w:p>
      <w:pPr>
        <w:pStyle w:val="TextBody"/>
        <w:bidi w:val="0"/>
        <w:spacing w:lineRule="auto" w:line="288" w:before="0" w:after="180"/>
        <w:jc w:val="both"/>
        <w:rPr/>
      </w:pPr>
      <w:r>
        <w:rPr>
          <w:rFonts w:ascii="Times New Roman;serif" w:hAnsi="Times New Roman;serif"/>
          <w:b/>
          <w:i/>
          <w:color w:val="000000"/>
          <w:sz w:val="20"/>
        </w:rPr>
        <w:t>Mr. Ross Taylor</w:t>
      </w:r>
      <w:r>
        <w:rPr>
          <w:color w:val="000000"/>
        </w:rPr>
        <w:t xml:space="preserve"> </w:t>
      </w:r>
      <w:r>
        <w:rPr>
          <w:rFonts w:ascii="Times New Roman;serif" w:hAnsi="Times New Roman;serif"/>
          <w:b w:val="false"/>
          <w:color w:val="000000"/>
          <w:sz w:val="20"/>
        </w:rPr>
        <w:t xml:space="preserve">joined our board in March 2024. Ross Taylor is the Chief Financial Officer of BillionToOne, Inc. Mr. Taylor served as Senior Vice President and Chief Financial Officer of Codexis, Inc. from August 2019 to January 2023. Previously, Mr. Taylor served as Chief Financial Officer, Vice President of Finance and Secretary of Abaxis, Inc. from August 2015 through July 2018 at which time Zoetis acquired Abaxis, Inc. Also, Mr. Taylor served as Vice President of Business Development &amp; Investor Relations at Abaxis, Inc. from October 2014 through July 2015. Prior to Abaxis, Mr. Taylor worked in equity research for various Wall Street firms including CL King &amp; Associates,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 was Senior Vice President/Equity Research Analyst from July 2005 through October 2014, UBS, and Smith Barney. Mr. Taylor earned a Master of Business Administration degree at Columbia Business School and a Bachelor’s degree in Economics from Duke University. Following a request by current Class II Director Mr. Ross Taylor to not be renominated for election to the Board, the Board has determined not to renominate Mr. Taylor. Mr. Taylor’s request to not be renominated is not as a result of any disagreements with the Company.</w:t>
      </w:r>
    </w:p>
    <w:p>
      <w:pPr>
        <w:pStyle w:val="TextBody"/>
        <w:bidi w:val="0"/>
        <w:spacing w:lineRule="auto" w:line="288" w:before="0" w:after="180"/>
        <w:jc w:val="both"/>
        <w:rPr/>
      </w:pPr>
      <w:r>
        <w:rPr>
          <w:rFonts w:ascii="Times New Roman;serif" w:hAnsi="Times New Roman;serif"/>
          <w:b/>
          <w:i/>
          <w:color w:val="000000"/>
          <w:sz w:val="20"/>
        </w:rPr>
        <w:t>Professor Zeev Weiner</w:t>
      </w:r>
      <w:r>
        <w:rPr>
          <w:color w:val="000000"/>
        </w:rPr>
        <w:t xml:space="preserve"> </w:t>
      </w:r>
      <w:r>
        <w:rPr>
          <w:rFonts w:ascii="Times New Roman;serif" w:hAnsi="Times New Roman;serif"/>
          <w:b w:val="false"/>
          <w:color w:val="000000"/>
          <w:sz w:val="20"/>
        </w:rPr>
        <w:t>joined our Board upon the closing of the Business Combination in March 2024. Professor Weiner has been the director of the Department of Obstetrics and Oncology at the Rambam Health Care Campus in Haifa, Israel since 2014. He is currently the president of the OB/GYN Society of Northern Israel, a member of Israel’s National OB/GYN Committee, a member of the Obstetrics and Gynecology Teaching Committee at Technion – Israel Institute of Technology’s Rappaport Faculty of Medicine, a member of Life journal’s editorial board, an organizer of post-graduate courses in obstetrics for resident physicians in northern Israel and a reviewer of the publication Prenatal Diagnosis. Professor Weiner also sits on the Rappaport Faculty of Medicine at Technion – Israel Institute of Technology in Haifa, Israel, a leading global medical school, as both a clinical professor and an associate clinical professor, positions Professor Weiner has held since 2022 and 2007, respectively. Since 1987, Professor Weiner has served as an instructor of obstetrics and gynecology to clinical medical students and a lecturer of obstetrics and gynecology to fifth year obstetrics and gynecology residents, in each case through the Rappaport Faculty of Medicine at Technion – Israel Institute of Technology. Since 2002, Professor Weiner has also served as lecturer of an ultrasound and doppler in obstetrics and gynecology course at the Israel School of Ultrasound in Obstetrics and Gynecology. Previously, Professor Weiner was the director Ultrasound in Obstetrics and Gynecology Rambam Health Care Campus from 2005 to 2014, the director of Maternal Fetal Medicine in the Department of Obstetrics and Gynecology at the Lutheran Medical Center in Brooklyn, NY from 2003 to 2005, and the director of Perinatology at the Emek Medical Center in Afula, Israel from 1998 to 2003. In addition, Professor Weiner served as head of the OB/GYN Exam Preparation Committee at Technion – Israel Institute of Technology’s Rappaport Faculty of Medicine from 2009 to 2012. In connection with these academic activities, Professor Weiner’s research has been published numerous times in various medical and related academic journals. Professor Weiner received his MD from Tel Aviv University’s Sackler Faculty of Medicine in 1986, and an MHA from Tel Aviv University’s Sackler Faculty of Medicine in 2012. Professor Weiner received the “Outstanding Sixth Year Student” in 1986 in honor of his high academic achievement as a medical student. Further, in 2005, Professor Weiner received the National Faculty Award in the field of Obstetrics and Gynecology from the American College of Obstetrics and Gynecology’s Council on Resident Education in Obstetrics and Gynecology and the APGO Excellence in Teaching Award from the Association of Professors of Gynecology and Obstetrics at Lutheran Medical Center’s Department of Obstetrics and Gynecology.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Professor Weiner is qualified to serve on our Board based on his business experience and his obstetrics and oncology expertise.</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Class III Directors</w:t>
      </w:r>
    </w:p>
    <w:p>
      <w:pPr>
        <w:pStyle w:val="TextBody"/>
        <w:bidi w:val="0"/>
        <w:spacing w:lineRule="auto" w:line="288" w:before="0" w:after="180"/>
        <w:jc w:val="left"/>
        <w:rPr/>
      </w:pPr>
      <w:r>
        <w:rPr>
          <w:rFonts w:ascii="Times New Roman;serif" w:hAnsi="Times New Roman;serif"/>
          <w:b/>
          <w:i/>
          <w:color w:val="000000"/>
          <w:sz w:val="20"/>
        </w:rPr>
        <w:t>Dr. Raluca Dinu</w:t>
      </w:r>
      <w:r>
        <w:rPr>
          <w:color w:val="000000"/>
        </w:rPr>
        <w:t xml:space="preserve"> </w:t>
      </w:r>
      <w:r>
        <w:rPr>
          <w:rFonts w:ascii="Times New Roman;serif" w:hAnsi="Times New Roman;serif"/>
          <w:b w:val="false"/>
          <w:color w:val="000000"/>
          <w:sz w:val="20"/>
        </w:rPr>
        <w:t>co-founded GigCapital5 with Dr. Avi S. Katz, who is our Chairman of the Board, and has served as a member of our Board, as well as our President, Chief Executive Officer and Secretary since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GigCapital2, Inc. (“</w:t>
      </w:r>
      <w:r>
        <w:rPr>
          <w:rFonts w:ascii="Times New Roman;serif" w:hAnsi="Times New Roman;serif"/>
          <w:b w:val="false"/>
          <w:i/>
          <w:color w:val="000000"/>
          <w:sz w:val="20"/>
        </w:rPr>
        <w:t>GIG2</w:t>
      </w:r>
      <w:r>
        <w:rPr>
          <w:color w:val="000000"/>
        </w:rPr>
        <w:t>”</w:t>
      </w:r>
      <w:r>
        <w:rPr>
          <w:rFonts w:ascii="Times New Roman;serif" w:hAnsi="Times New Roman;serif"/>
          <w:b w:val="false"/>
          <w:color w:val="000000"/>
          <w:sz w:val="20"/>
        </w:rPr>
        <w:t>) from August 2019 to June 2021 and as a member of its board of directors since March 2019 and has continued in that role after that company became UpHealth, Inc. She also served on the board of directors of GigCapital3, Inc. (“</w:t>
      </w:r>
      <w:r>
        <w:rPr>
          <w:rFonts w:ascii="Times New Roman;serif" w:hAnsi="Times New Roman;serif"/>
          <w:b w:val="false"/>
          <w:i/>
          <w:color w:val="000000"/>
          <w:sz w:val="20"/>
        </w:rPr>
        <w:t>GIG3</w:t>
      </w:r>
      <w:r>
        <w:rPr>
          <w:color w:val="000000"/>
        </w:rPr>
        <w:t>”</w:t>
      </w:r>
      <w:r>
        <w:rPr>
          <w:rFonts w:ascii="Times New Roman;serif" w:hAnsi="Times New Roman;serif"/>
          <w:b w:val="false"/>
          <w:color w:val="000000"/>
          <w:sz w:val="20"/>
        </w:rPr>
        <w:t>) beginning in February 2020 and continued in that role after that company became Lightning eMotors, Inc. in May 2021 until October 2021. She has also served as a member of the board of directors of BigBear.ai Holdings, Inc. since its inception in December 2020 as GigCapital4, Inc. (“</w:t>
      </w:r>
      <w:r>
        <w:rPr>
          <w:rFonts w:ascii="Times New Roman;serif" w:hAnsi="Times New Roman;serif"/>
          <w:b w:val="false"/>
          <w:i/>
          <w:color w:val="000000"/>
          <w:sz w:val="20"/>
        </w:rPr>
        <w:t>GIG4</w:t>
      </w:r>
      <w:r>
        <w:rPr>
          <w:color w:val="000000"/>
        </w:rPr>
        <w:t>”</w:t>
      </w:r>
      <w:r>
        <w:rPr>
          <w:rFonts w:ascii="Times New Roman;serif" w:hAnsi="Times New Roman;serif"/>
          <w:b w:val="false"/>
          <w:color w:val="000000"/>
          <w:sz w:val="20"/>
        </w:rPr>
        <w:t>) until March 2024, and prior to the December 2021 business combination, was also the President, Chief Executive Officer and Secretary of GIG4 since its inception in December 2020. Drs. Katz and Dinu co-founded GigCapital7 Corp. (“</w:t>
      </w:r>
      <w:r>
        <w:rPr>
          <w:rFonts w:ascii="Times New Roman;serif" w:hAnsi="Times New Roman;serif"/>
          <w:b w:val="false"/>
          <w:i/>
          <w:color w:val="000000"/>
          <w:sz w:val="20"/>
        </w:rPr>
        <w:t>GIG7</w:t>
      </w:r>
      <w:r>
        <w:rPr>
          <w:color w:val="000000"/>
        </w:rPr>
        <w:t>”</w:t>
      </w:r>
      <w:r>
        <w:rPr>
          <w:rFonts w:ascii="Times New Roman;serif" w:hAnsi="Times New Roman;serif"/>
          <w:b w:val="false"/>
          <w:color w:val="000000"/>
          <w:sz w:val="20"/>
        </w:rPr>
        <w:t xml:space="preserve">) in May 2024, a Private-to-Public Equity (PPE) company formed for the purpose of acquiring a company in the TMT, AI/ML, cybersecurity, MedTech, semiconductor and sustainable industries, and Dr. Dinu has served on the board of directors of GIG7 since its inception, and has continued in that role after that company became Hadron Energy following the business combination between GIG7 and Hadron Energy, Inc. GIG7 completed its initial public offering in August 2024. Drs. Katz and Dinu co-founded GIG8 in June 2025, a Private-to-Public Equity (PPE) company formed for the purpose of acquiring a company in the TMT, A&amp;D and intelligent automation industries, and Dr. Dinu has served on the board of directors of GIG8 since its inception. GIG8 completed its initial public offering in October 2025. Drs. Katz and Dinu also cofounded GIG) in October 2025, a Private-to-Public Equity (PPE) company formed for the purpose of acquiring a company in the aerospace and defense services industry and the TMT industry, including TMT companies focused on, cybersecurity and secured communications and quantum-based command and control systems, and artificial intelligence and machine-learning industries, and Dr. Dinu has served on the board of directors of GIG9 since its inception. GIG9 completed its initial public offering in January 2026. Drs. Katz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Dinu also co-founded GigInternational1, a Private-to-Public Equity (PPE) company formed for the purpose of acquiring a company in the TMT, aerospace and defense,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IDT’s Optical Interconnects Division. Prior to that, she held several executive-level positions at GigPeak,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Dr. Dinu is qualified to serve on the Board based on her business experience as a board member of a publicly-listed company and her investing experience.</w:t>
      </w:r>
    </w:p>
    <w:p>
      <w:pPr>
        <w:pStyle w:val="TextBody"/>
        <w:bidi w:val="0"/>
        <w:spacing w:lineRule="auto" w:line="288" w:before="0" w:after="180"/>
        <w:jc w:val="left"/>
        <w:rPr/>
      </w:pPr>
      <w:r>
        <w:rPr>
          <w:rFonts w:ascii="Times New Roman;serif" w:hAnsi="Times New Roman;serif"/>
          <w:b/>
          <w:i/>
          <w:color w:val="000000"/>
          <w:sz w:val="20"/>
        </w:rPr>
        <w:t>Dr. Avi S. Katz</w:t>
      </w:r>
      <w:r>
        <w:rPr>
          <w:color w:val="000000"/>
        </w:rPr>
        <w:t xml:space="preserve"> </w:t>
      </w:r>
      <w:r>
        <w:rPr>
          <w:rFonts w:ascii="Times New Roman;serif" w:hAnsi="Times New Roman;serif"/>
          <w:b w:val="false"/>
          <w:color w:val="000000"/>
          <w:sz w:val="20"/>
        </w:rPr>
        <w:t>co-founded GigCapital5 together with Dr. Dinu and has served as the Chairman of the Board since the inception of GigCapital5 in January 2021. Dr. Katz had also been GigCapital5’s Chief Executive Officer and President for a short period of time before Dr. Dinu substituted for him as GigCapital5’s Chief Executive Officer and President. Dr. Katz is the sole manager of GigAcquisitions5, which was our founding stockholder, and through it holds an interest in our securities held by GigAcquisitions5. Dr. Katz also holds a 50% membership interest in GigManagement, LLC, and has served as a managing member of GigManagement, LLC since its inception. Dr. Katz has spent approximately 35 years in international executive positions within the TMT industry working for privately held start-ups, and publicly traded middle-cap companies and large enterprises. After the sale of GigPeak (also known as GigOptix, NYSE GIG), which he founded and bootstrapped in April 2007 to IDT International (NYSE IDT) in April 2017, in October 2017, Dr. Katz founded GigCapital Global as a serial issuer of private-to-public equity (PPE) entities, also known as special-purpose-acquisition-company (SPAC). Dr. Katz co-founded GIG7 with Dr. Dinu, and Dr. Katz has served as the Chief Executive Officer since the inception of GIG7 in May 2024 until the closing of its business combination with Hadron Energy in May 2026, and as its Executive Chairman of the Board since its inception, continuing in that role now that GIG7 is Hadron Energy, Inc. GIG7 completed its initial public offering in August 2024, raising $200 million. Hadron Energy is listed on Nasdaq and trades under the ticker symbol “HDRN.” Dr. Katz co-founded GIG8 with Dr. Dinu, and has served as the Chief Executive Officer and Chairman of the board since the inception of GIG8 in June 2025. GIG8 completed its initial public offering in October 2025, raising $253 million. It is listed on Nasdaq and trades under the ticker symbol “GIW.” Dr. Katz also co-founded GIG9 with Dr. Dinu and has served as the Chief Executive Officer and Chairman of the board since the inception of GIG9 in October 2025. GIG9 completed its initial public offering in January 2026, raising $253 million. It is listed on Nasdaq and trades under the ticker symbol ”GIX.” In September 2017 he founded GigCapital, Inc. (“</w:t>
      </w:r>
      <w:r>
        <w:rPr>
          <w:rFonts w:ascii="Times New Roman;serif" w:hAnsi="Times New Roman;serif"/>
          <w:b w:val="false"/>
          <w:i/>
          <w:color w:val="000000"/>
          <w:sz w:val="20"/>
        </w:rPr>
        <w:t>GIG1</w:t>
      </w:r>
      <w:r>
        <w:rPr>
          <w:color w:val="000000"/>
        </w:rPr>
        <w:t>”</w:t>
      </w:r>
      <w:r>
        <w:rPr>
          <w:rFonts w:ascii="Times New Roman;serif" w:hAnsi="Times New Roman;serif"/>
          <w:b w:val="false"/>
          <w:color w:val="000000"/>
          <w:sz w:val="20"/>
        </w:rPr>
        <w:t xml:space="preserve">),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was steering many restructurings and refinancings of the company, including the sales of two divisions of the company, to IGI for $56 million in a cash deal in June 2023 and the sale of Cloudbreak for $180 million in a cash deal to GTCR in March 2024.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does business as Lightning eMotors, and the Company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aerospace and defense,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(NYSE American: formerly GIG), originally known as GigOptix, Inc. He served as Chairman of the Board, Chief Executive Officer and President of GigOptix / GigPeak from its inception in 2007 until its sale in April 2017 to IDT International (Nasdaq: IDTI) for $250 million in cash. While Dr. Katz was at GigPeak’s helm, the company completed 10 M&amp;A deals. From 2003 to 2005, Dr. Katz was the chief executive officer, president, and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our Chief Executive Officer and one of our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Dr. Katz is qualified to serve as Chairman of the Board based on his business experience as a founder, inventor, chief executive officer and director of a publicly-listed company and his investing experience. </w:t>
      </w:r>
    </w:p>
    <w:p>
      <w:pPr>
        <w:pStyle w:val="TextBody"/>
        <w:bidi w:val="0"/>
        <w:spacing w:lineRule="auto" w:line="288" w:before="0" w:after="180"/>
        <w:jc w:val="left"/>
        <w:rPr/>
      </w:pPr>
      <w:r>
        <w:rPr>
          <w:rFonts w:ascii="Times New Roman;serif" w:hAnsi="Times New Roman;serif"/>
          <w:b/>
          <w:i/>
          <w:color w:val="000000"/>
          <w:sz w:val="20"/>
        </w:rPr>
        <w:t>Dr. John C. Klock</w:t>
      </w:r>
      <w:r>
        <w:rPr>
          <w:color w:val="000000"/>
        </w:rPr>
        <w:t xml:space="preserve"> </w:t>
      </w:r>
      <w:r>
        <w:rPr>
          <w:rFonts w:ascii="Times New Roman;serif" w:hAnsi="Times New Roman;serif"/>
          <w:b w:val="false"/>
          <w:color w:val="000000"/>
          <w:sz w:val="20"/>
        </w:rPr>
        <w:t xml:space="preserve">served as the Chief Executive Officer of QT Imaging, Inc. from 2014 to 2024, and as a Director and Founder of QT Imaging, Inc. and its predecessors since 2011. Following the Closing of the Business Combination in March 2024, he has served as a member of our Board, and briefly served as our Chief Executive Officer until Dr. Dinu took over that role shortly after the closing of the Business Combination. Prior to serving in these positions with QT Imaging, Dr. Klock was involved in the start-up of five medical companies, including as Co-Founder and President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BioMarin Pharmaceutical, Inc., which successfully commercialized five FDA drugs; and Scientific Founder and Vice President of Research of Glycomed, Inc., which was acquired by Ligand Pharmaceuticals, Inc. He also personally brought to market a novel cancer treatment, the first rapid AIDS test, comprehensive tests for detecting metabolic diseases in children, and several drugs for treating pediatric genetic conditions. Dr. Klock has authored over 100 peer</w:t>
        <w:noBreakHyphen/>
        <w:t xml:space="preserve">reviewed medical and scientific publications and has been granted eight patents.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Dr. Klock is qualified to serve on our Board due to his intimate knowledge of the business and operations of QT Imaging, including the scientific basis, regulatory requirements, sales and marketing channels of QT Imaging’s products, as well as Dr. Klock’s extensive medical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0" w:after="180"/>
        <w:jc w:val="both"/>
        <w:rPr/>
      </w:pPr>
      <w:r>
        <w:rPr>
          <w:rFonts w:ascii="Times New Roman;serif" w:hAnsi="Times New Roman;serif"/>
          <w:b w:val="false"/>
          <w:color w:val="000000"/>
          <w:sz w:val="20"/>
        </w:rPr>
        <w:t>The Board has determined that, other than Dr. Raluca Dinu, Dr. Avi S. Katz and Dr. John C. Klock, each of the current members and nominees of the Board is an “independent director” for purposes of the listing standards of the Nasdaq Stock Exchange (“</w:t>
      </w:r>
      <w:r>
        <w:rPr>
          <w:rFonts w:ascii="Times New Roman;serif" w:hAnsi="Times New Roman;serif"/>
          <w:b w:val="false"/>
          <w:i/>
          <w:color w:val="000000"/>
          <w:sz w:val="20"/>
        </w:rPr>
        <w:t>Nasdaq</w:t>
      </w:r>
      <w:r>
        <w:rPr>
          <w:color w:val="000000"/>
        </w:rPr>
        <w:t>”</w:t>
      </w:r>
      <w:r>
        <w:rPr>
          <w:rFonts w:ascii="Times New Roman;serif" w:hAnsi="Times New Roman;serif"/>
          <w:b w:val="false"/>
          <w:color w:val="000000"/>
          <w:sz w:val="20"/>
        </w:rPr>
        <w:t>) and Rule 10A-3(b)(1) under the Securities Exchange Act of 1934, as amended, as the term relates to membership on the Board and the various committees of the Board, and which is defined generally as a person other than an executive officer or employee of QT Imaging or its subsidiaries or any other individual having a relationship, which, in the opinion of our Board, would interfere with the director’s exercise of independent judgment in carrying out the responsibilities of a director.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Board Responsibilities and Structure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Board oversees, counsels, and directs management in the long-term interests of QT Imaging and our stockholders. The Board’s responsibilities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selecting, evaluating the performance of, and determining the compensation of the Chief Executive Officer and other executive officers;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planning for succession with respect to the position of Chief Executive Officer and monitoring management’s succession planning for other executive officers;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reviewing and approving our major financial objectives and strategic and operating plans, and other significant 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overseeing the conduct of our business and the assessment of our business and other enterprise risks to evaluate whether the business is being properly managed;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overseeing the processes for maintaining our integrity with regard to our financial statements and other public disclosures, and compliance with law and ethics.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Board and its committees met throughout the year on a set schedule, held special meetings, and acted by written consent from time to time as appropriate.</w:t>
      </w:r>
    </w:p>
    <w:p>
      <w:pPr>
        <w:pStyle w:val="TextBody"/>
        <w:bidi w:val="0"/>
        <w:spacing w:lineRule="auto" w:line="288" w:before="0" w:after="180"/>
        <w:jc w:val="both"/>
        <w:rPr/>
      </w:pPr>
      <w:r>
        <w:rPr>
          <w:rFonts w:ascii="Times New Roman;serif" w:hAnsi="Times New Roman;serif"/>
          <w:b w:val="false"/>
          <w:i/>
          <w:color w:val="000000"/>
          <w:sz w:val="20"/>
        </w:rPr>
        <w:t>Board Leadership Structure.</w:t>
      </w:r>
      <w:r>
        <w:rPr>
          <w:color w:val="000000"/>
        </w:rPr>
        <w:t xml:space="preserve"> </w:t>
      </w:r>
      <w:r>
        <w:rPr>
          <w:rFonts w:ascii="Times New Roman;serif" w:hAnsi="Times New Roman;serif"/>
          <w:b w:val="false"/>
          <w:color w:val="000000"/>
          <w:sz w:val="20"/>
        </w:rPr>
        <w:t>The Board has leadership in the form of a Chairman of the Board. The Bylaws establish a fixed policy regarding the separation of the offices of Chairman of the Board and Chief Executive Officer. In accordance with this policy, the Board maintains a separate Chairman of the Board who is not the Chief Executive Officer of QT Imaging. The duties of the Chairman of the Board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presiding over all meetings of the Board;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preparing the agenda for Board meetings in consultation with the Chief Executive Officer and other members of the Board;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working with the Chairman of the Nominating and Corporate Governance Committee and the Compensation Committee to manage the Board’s process for annual director self-assessment and evaluation of the Board and of the Chief Executive Officer;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supervision and control of the acquisition and financing activities of the Company;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presiding over all meetings of stockholders.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Board’s Role in Risk Oversight at QT Imaging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an active role, as a whole and also at the committee level, in overseeing the management of the Company’s risks. The Board is responsible for general oversight of risks and regular review of information regarding the Company’s risks, including credit risks, liquidity risks, and operational risks. The Compensation Committee is responsible for overseeing the management of risks relating to the Company’s executive compensation plans and arrangements. The Audit Committee is responsible for overseeing the management of risks relating to accounting matters and financial reporting and potential conflicts of interest. The Nominating and Corporate Governance Committee is responsible for overseeing the management of risks associated with the independence of the Board. Although each committee is responsible for evaluating certain risks and overseeing the management of such risks, the entire Board is regularly informed through discussions from committee members about such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Sessions</w:t>
      </w:r>
    </w:p>
    <w:p>
      <w:pPr>
        <w:pStyle w:val="TextBody"/>
        <w:bidi w:val="0"/>
        <w:spacing w:lineRule="auto" w:line="288" w:before="0" w:after="180"/>
        <w:jc w:val="both"/>
        <w:rPr/>
      </w:pPr>
      <w:r>
        <w:rPr>
          <w:rFonts w:ascii="Times New Roman;serif" w:hAnsi="Times New Roman;serif"/>
          <w:b w:val="false"/>
          <w:color w:val="000000"/>
          <w:sz w:val="20"/>
        </w:rPr>
        <w:t xml:space="preserve">QT Imaging regularly has executive sessions of the Board where members of management and members of the Board who are employees of the Company are not in attendance. The Chairman of the Board, Dr. Avi S. Katz, has presided at these executive sessions. Any party wishing to make their concerns known to non-management or independent directors of the Board may contact Dr. Avi S. Katz at the following email address: </w:t>
      </w:r>
      <w:r>
        <w:rPr>
          <w:rFonts w:ascii="Times New Roman;serif" w:hAnsi="Times New Roman;serif"/>
          <w:b w:val="false"/>
          <w:color w:val="0000FF"/>
          <w:sz w:val="20"/>
        </w:rPr>
        <w:t>avi.katz@qtimaging.com</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Board Composition and Classification </w:t>
      </w:r>
    </w:p>
    <w:p>
      <w:pPr>
        <w:pStyle w:val="TextBody"/>
        <w:bidi w:val="0"/>
        <w:spacing w:lineRule="auto" w:line="288" w:before="0" w:after="180"/>
        <w:jc w:val="left"/>
        <w:rPr/>
      </w:pPr>
      <w:r>
        <w:rPr>
          <w:rFonts w:ascii="Times New Roman;serif" w:hAnsi="Times New Roman;serif"/>
          <w:b w:val="false"/>
          <w:color w:val="000000"/>
          <w:sz w:val="20"/>
        </w:rPr>
        <w:t>The Board consists of seven members. In accordance with the Second Amended and Restated Certificate of Incorporation (the “</w:t>
      </w:r>
      <w:r>
        <w:rPr>
          <w:rFonts w:ascii="Times New Roman;serif" w:hAnsi="Times New Roman;serif"/>
          <w:b w:val="false"/>
          <w:i/>
          <w:color w:val="000000"/>
          <w:sz w:val="20"/>
        </w:rPr>
        <w:t>Charter</w:t>
      </w:r>
      <w:r>
        <w:rPr>
          <w:color w:val="000000"/>
        </w:rPr>
        <w:t>”</w:t>
      </w:r>
      <w:r>
        <w:rPr>
          <w:rFonts w:ascii="Times New Roman;serif" w:hAnsi="Times New Roman;serif"/>
          <w:b w:val="false"/>
          <w:color w:val="000000"/>
          <w:sz w:val="20"/>
        </w:rPr>
        <w:t xml:space="preserve">), the Board is classified. The Board believes it is in the best interests of the Company for the Board to be classified into three classes, each comprising as nearly as possible one-third of the directors to serve three-year terms, and only one class of directors will be elected at each annual meeting of stockholders, with the other classes continuing for the remainder of their respective three-year terms. The Board consists of the following members: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Class I directors are Daniel Dickson and James Greene and their terms will expire at the annual meeting of stockholders to be held in 2028;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Class II directors are Ross Taylor and Professor Zeev Weiner and their terms will expire at the annual meeting of stockholders to be held in 2026;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Class III directors are Dr. Avi S. Katz, Dr. Raluca Dinu and Dr. John Klock and their terms will expire at the annual meeting of stockholders to be held in 2027.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each annual meeting of stockholders, upon the expiration of the term of a class of directors, the successor to each such director in the class will be elected to serve from the time of election and qualification until the third annual meeting following their election and until their successor is duly elected and qualified, in accordance with the Charter. Any additional directorships resulting from an increase in the number of directors will be distributed among the three classes so that, as nearly as possible, each class will consist of one-third of the Company’s directors.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classification of the Company’s directors may have the effect of delaying or preventing changes in control of the Company.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Meetings of the Board and Committees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Business Combination, when the Board in its current form was constituted, the Board held eight meetings during the fiscal year ended December 31, 2025. The Board currently has three standing committees: an Audit Committee, a Compensation Committee and a Nominating and Corporate Governance Committee. During our last fiscal year, each of our incumbent directors attended at least 87.5% of the total number of meetings of the Board and all of the committees of the Board on which such director served during that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standing committees of the Board and the members of each committee as of the date that this Proxy Statement was first made available to our stockholders:</w:t>
      </w:r>
    </w:p>
    <w:tbl>
      <w:tblPr>
        <w:tblW w:w="8543" w:type="dxa"/>
        <w:jc w:val="left"/>
        <w:tblInd w:w="0" w:type="dxa"/>
        <w:tblLayout w:type="fixed"/>
        <w:tblCellMar>
          <w:top w:w="28" w:type="dxa"/>
          <w:left w:w="28" w:type="dxa"/>
          <w:bottom w:w="28" w:type="dxa"/>
          <w:right w:w="28" w:type="dxa"/>
        </w:tblCellMar>
      </w:tblPr>
      <w:tblGrid>
        <w:gridCol w:w="1350"/>
        <w:gridCol w:w="1188"/>
        <w:gridCol w:w="1197"/>
        <w:gridCol w:w="109"/>
        <w:gridCol w:w="109"/>
        <w:gridCol w:w="109"/>
        <w:gridCol w:w="184"/>
        <w:gridCol w:w="184"/>
        <w:gridCol w:w="188"/>
        <w:gridCol w:w="109"/>
        <w:gridCol w:w="109"/>
        <w:gridCol w:w="109"/>
        <w:gridCol w:w="380"/>
        <w:gridCol w:w="380"/>
        <w:gridCol w:w="381"/>
        <w:gridCol w:w="109"/>
        <w:gridCol w:w="109"/>
        <w:gridCol w:w="109"/>
        <w:gridCol w:w="623"/>
        <w:gridCol w:w="623"/>
        <w:gridCol w:w="884"/>
      </w:tblGrid>
      <w:tr>
        <w:trPr/>
        <w:tc>
          <w:tcPr>
            <w:tcW w:w="135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of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Nominating and Corporate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Governance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Avi S.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Raluca Dinu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John C. Klock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Ross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Dickson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Greene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Professor Zeev Weiner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meetings during 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Board Committees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standing committees of the Board consist of the Audit Committee, the Compensation Committee and a Nominating and Corporate Governance Committee, each of which has the composition and the responsibilities described below. Additionally, from time to time, special committees may be established under the direction of the Board when the Board deems it necessary or advisable to address specific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Chief Executive Officer and other executive officers regularly report to the non-executive directors and each standing committee to ensure effective and efficient oversight of its activities and to assist in proper risk management and the ongoing evaluation of management controls.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Audit Committee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members of the Company’s Audit Committee are Ross Taylor, Professor Zeev Weiner and James Greene. Mr. Taylor is the Chair of the Audit Committee and the “audit committee financial expert,” as that term is defined under the SEC rules implementing Section 407 of SOX, and possesses financial sophistication, as defined under the rules of Nasdaq. The Company’s Audit Committee oversees the Company’s corporate accounting and financial reporting process and assists the Board in monitoring the Company’s financial systems. The Company’s Audit Committee also: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assists the Board in the oversight of (1) the accounting and financial reporting processes of the Company and the audits of the consolidated financial statements of the Company, (2) the preparation and integrity of the consolidated financial statements of the Company, (3) the compliance by the Company with financial statement and regulatory requirements, (4) the performance of the Company’s internal finance and accounting personnel and its independent registered public accounting firm, and (5) the qualifications and independence of the Company’s independent registered public accounting firm;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reviews with each of the internal auditors and independent registered public accounting firm the overall scope and plans for audits, including authority and organizational reporting lines and adequacy of staffing and compensation.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reviews and discusses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reviews and discusses with management, internal auditors and the independent registered public accounting firm the Company’s financial and critical accounting practices, and policies relating to risk assessment and management;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receives and reviews reports of the independent registered public accounting firm discussing (1) all critical accounting policies and practices to be used in the independent registered public accounting firm’s audit of the Company’s consolidated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reviews and discusses with management and the independent registered public accounting firm the annual and quarterly consolidated financial statements and section entitled “Management’s Discussion and Analysis of Financial Conditions and Results of Operations” of the Company prior to the filing of the Company’s annual report on Form 10-K and quarterly reports on Form 10-Q;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reviews, or establishes, standards for the type of information and the type of presentation of such information to be included in, earnings press releases and earnings guidance provided to analysts and rating agencies;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discusses with management and the independent registered public accounting firm any changes in the Company’s critical accounting principles and the effects of alternative GAAP methods, off-balance sheet structures and regulatory and accounting initiatives;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reviews material pending legal proceedings involving the Company and other contingent liabilities;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meets periodically with the Chief Executive Officer, Chief Financial Officer, the senior internal auditing executive and the independent registered public accounting firm in separate executive sessions to discuss results of examinations;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reviews and approves all transactions between the Company and related parties or affiliates of the officers of the Company requiring disclosure under Item 404 of Regulation S-K prior to the Company entering into such transactions;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establishes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reviews periodically with the Company’s management, independent registered public accounting firm and outside legal counsel (i) legal and regulatory matters which may have a material effect on the consolidated financial statements, and (ii) corporate compliance policies or codes of conduct, including any correspondence with regulators or government agencies and any employee complaints or published reports that raise material issues regarding the Company’s consolidated financial statements or accounting policies and any significant changes in accounting standards or rules promulgated by the Financial Accounting Standards Board, the SEC or other regulatory authorities;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establishes policies for the hiring of employees and former employees of the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Audit Committee operates under a written charter, which satisfies the applicable rules of the SEC and the listing standards of Nasdaq.</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Compensation Committee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has established a Compensation Committee of the Board. The members of our Compensation Committee are Daniel Dickson, Professor Zeev Weiner, Ross Taylor and James Greene. Mr. Greene serves as Chair of the Compensation Committee. The Company has adopted a Compensation Committee charter, which details the purpose and responsibility of the compensation committee,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the performance of the Chief Executive Officer and executive management;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assisting the Board in developing and evaluating potential candidates for executive positions (including the Chief Executive Officer);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and approving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approving the salaries, bonus and other compensation for all executive officers;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and approving compensation packages for new corporate officers and termination packages for corporate officers as requested by management;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and discussing with the Board and senior officers plans for officer development and corporate succession plans for the Chief Executive Officer and other senior officers;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and making recommendations concerning executive compensation policies and plans;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and recommending to the Board the adoption of or changes to the compensation of the Company’s directors;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and approving the awards made under any executive officer bonus plan, and provide an appropriate report to the Board;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and making recommendations concerning long-term incentive compensation plans, including the use of stock options and other equity-based plans, and, except as otherwise delegated by the Board, acting on as the “Plan Administrator” for equity-based and employee benefit plans;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approving all special perquisites, special cash payments and other special compensation and benefit arrangements for the Company’s executive officers and employees;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reviewing periodic reports from management on matters relating to the Company’s personnel appointments and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assisting management in complying with the Company’s proxy statement and annual report disclosure requirements;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issuing an annual report of the compensation committee on executive compensation for the Company’s annual proxy statement in compliance with applicable SEC rules and regulations;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annually evaluating the committee’s performance and the committee’s charter and recommending to the Board any proposed changes to the charter or the committee;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undertaking all further actions and discharge all further responsibilities imposed upon the committee from time to time by the Board, the federal securities laws or the rules and regulations of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Nominating and Corporate Governance Committee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members of the Company’s Nominating and Corporate Governance Committee are Ross Taylor, James Greene, Daniel Dickson and Professor Zeev Weiner. Professor Zeev Weiner is the Chair of the Company’s Nominating and Corporate Governance Committee. The Company’s Nominating and Corporate Governance Committee oversees and assists the Board in reviewing and recommending nominees for election as directors. Specifically, the Nominating and Corporate Governance Committee will: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develop and recommend to the Board the criteria for appointment as a director;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identify, consider, recruit and recommend candidates to fill new positions on the Board;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review candidates recommended by stockholders;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conduct the appropriate and necessary inquiries into the backgrounds and qualifications of possible candidates;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recommend director nominees for approval by the Board and election by the stockholders at the next annual meeting.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Nominating and Corporate Governance Committee operates under a written charter which satisfies the applicable rules of the SEC and the listing standards of Nasdaq.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0" w:after="180"/>
        <w:jc w:val="left"/>
        <w:rPr/>
      </w:pPr>
      <w:r>
        <w:rPr>
          <w:rFonts w:ascii="Times New Roman;serif" w:hAnsi="Times New Roman;serif"/>
          <w:b w:val="false"/>
          <w:color w:val="000000"/>
          <w:sz w:val="20"/>
        </w:rPr>
        <w:t xml:space="preserve">The Company has adopted a Code of Business Conduct and Ethics applicable to the Company’s directors, officers, and employees, including our principal executive officer, principal financial officer, principal accounting officer or controller or, persons performing similar functions, in accordance with applicable federal securities laws. We have filed a copy of our form of Code of Business Conduct and Ethics and our board committee charters as exhibits to the Company’s 2025 Annual Report. You are able to review these documents by accessing our public filings at the SEC’s web site at </w:t>
      </w:r>
      <w:r>
        <w:rPr>
          <w:rFonts w:ascii="Times New Roman;serif" w:hAnsi="Times New Roman;serif"/>
          <w:b w:val="false"/>
          <w:color w:val="0000FF"/>
          <w:sz w:val="20"/>
          <w:u w:val="single"/>
        </w:rPr>
        <w:t>www.sec.gov</w:t>
      </w:r>
      <w:r>
        <w:rPr>
          <w:rFonts w:ascii="Times New Roman;serif" w:hAnsi="Times New Roman;serif"/>
          <w:b w:val="false"/>
          <w:color w:val="000000"/>
          <w:sz w:val="20"/>
        </w:rPr>
        <w:t xml:space="preserve">. The Company’s Code of Business Conduct and Ethics is also available on the investor relations section of our website at </w:t>
      </w:r>
      <w:r>
        <w:rPr>
          <w:rFonts w:ascii="Times New Roman;serif" w:hAnsi="Times New Roman;serif"/>
          <w:b w:val="false"/>
          <w:color w:val="0000FF"/>
          <w:sz w:val="20"/>
          <w:u w:val="single"/>
        </w:rPr>
        <w:t>www.qtimaging.com</w:t>
      </w:r>
      <w:r>
        <w:rPr>
          <w:rFonts w:ascii="Times New Roman;serif" w:hAnsi="Times New Roman;serif"/>
          <w:b w:val="false"/>
          <w:color w:val="000000"/>
          <w:sz w:val="20"/>
        </w:rPr>
        <w:t>. We intend to disclose any amendments to or waivers of our Code of Business Conduct and Ethics in a Current Report on Form 8-K on our website identified above. Information contained on our website is not incorporated by reference into this registration statement and should not be considered to be part of this registration statement.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 of the members of our Compensation Committee is or has been an officer or employee of the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the Board or Compensation Committee.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 Nominations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QT Imaging (i) in the case of an annual meeting, not later than the close of business on the 90th day nor earlier than the opening of business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QT Imaging; and (ii) in the case of a special meeting of stockholders called for the purpose of electing directors, not later than the close of business on the 10th day following the day on which public announcement of the date of the special meeting is first made by QT Imaging. In no event shall the public announcement of an adjournment or postponement of an annual meeting or special meeting commence a new time period (or extend any time period) for the giving of a stockholder’s notice as described herein. For additional information regarding the nomination process and applicable requirements, see “</w:t>
      </w:r>
      <w:r>
        <w:rPr>
          <w:rFonts w:ascii="Times New Roman;serif" w:hAnsi="Times New Roman;serif"/>
          <w:b w:val="false"/>
          <w:i/>
          <w:color w:val="000000"/>
          <w:sz w:val="20"/>
        </w:rPr>
        <w:t>Stockholder Proposals and Nominations to be Presented at 2027 Annual Meeting</w:t>
      </w:r>
      <w:r>
        <w:rPr>
          <w:color w:val="000000"/>
        </w:rPr>
        <w:t xml:space="preserve">” </w:t>
      </w:r>
      <w:r>
        <w:rPr>
          <w:rFonts w:ascii="Times New Roman;serif" w:hAnsi="Times New Roman;serif"/>
          <w:b w:val="false"/>
          <w:color w:val="000000"/>
          <w:sz w:val="20"/>
        </w:rPr>
        <w:t>on page 40 of this Proxy Statement.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Communications with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Stockholders may communicate with QT Imaging’s Board through QT Imaging’s Secretary by writing to the following address: Board of Directors, c/o Secretary, QT Imaging Holdings, Inc., Three Hamilton Landing, Suite 160, Novato, California 94949. QT Imaging’s Secretary will forward all correspondence to the Board, except for spam, junk mail, mass mailings, product complaints or inquiries, job inquiries, surveys, business solicitations or advertisements, or patently offensive or otherwise inappropriate material. QT Imaging’s Secretary may forward certain correspondence, such as product-related inquiries, elsewhere within QT Imaging for review and possible response.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 Attendance at Annual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attempt to schedule our annual meeting of stockholders at a time and date to accommodate attendance by directors taking into account the directors’ schedules. All directors are encouraged to attend our annual meeting of stockholders. This Annual Meeting is the first annual meeting of stockholders to be held by QT Imaging since the consummation of the Business Combinations that formed QT Imaging and the election of the current Board.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Committee Charters and Other Corporate Governance Materials</w:t>
      </w:r>
    </w:p>
    <w:p>
      <w:pPr>
        <w:pStyle w:val="TextBody"/>
        <w:bidi w:val="0"/>
        <w:spacing w:lineRule="auto" w:line="288" w:before="0" w:after="180"/>
        <w:jc w:val="both"/>
        <w:rPr/>
      </w:pPr>
      <w:r>
        <w:rPr>
          <w:rFonts w:ascii="Times New Roman;serif" w:hAnsi="Times New Roman;serif"/>
          <w:b w:val="false"/>
          <w:color w:val="000000"/>
          <w:sz w:val="20"/>
        </w:rPr>
        <w:t xml:space="preserve">We have adopted a Code of Business Conduct and Ethics applicable to our management team and employees in accordance with applicable federal securities laws. We have previously filed copies of our Code of Business Conduct and Ethics and the charter for each of our committees. You can review those documents, as well as our other publicly filed documents, by accessing our public filings at our website at </w:t>
      </w:r>
      <w:r>
        <w:rPr>
          <w:rFonts w:ascii="Times New Roman;serif" w:hAnsi="Times New Roman;serif"/>
          <w:b w:val="false"/>
          <w:color w:val="0000FF"/>
          <w:sz w:val="20"/>
          <w:u w:val="single"/>
        </w:rPr>
        <w:t>https://qtimaging.com</w:t>
      </w:r>
      <w:r>
        <w:rPr>
          <w:color w:val="000000"/>
        </w:rPr>
        <w:t xml:space="preserve"> </w:t>
      </w:r>
      <w:r>
        <w:rPr>
          <w:rFonts w:ascii="Times New Roman;serif" w:hAnsi="Times New Roman;serif"/>
          <w:b w:val="false"/>
          <w:color w:val="000000"/>
          <w:sz w:val="20"/>
        </w:rPr>
        <w:t xml:space="preserve">or at the SEC’s website at </w:t>
      </w:r>
      <w:r>
        <w:rPr>
          <w:rFonts w:ascii="Times New Roman;serif" w:hAnsi="Times New Roman;serif"/>
          <w:b w:val="false"/>
          <w:color w:val="0000FF"/>
          <w:sz w:val="20"/>
          <w:u w:val="single"/>
        </w:rPr>
        <w:t>www.sec.gov</w:t>
      </w:r>
      <w:r>
        <w:rPr>
          <w:rFonts w:ascii="Times New Roman;serif" w:hAnsi="Times New Roman;serif"/>
          <w:b w:val="false"/>
          <w:color w:val="000000"/>
          <w:sz w:val="20"/>
        </w:rPr>
        <w:t>. In addition, a copy of the Code of Business Conduct and Ethics will be provided without charge upon request from us. We intend to disclose any amendments to or waivers of certain provisions of our Code of Business Conduct and Ethics in a Current Report on Form 8-K.</w:t>
      </w:r>
    </w:p>
    <w:p>
      <w:pPr>
        <w:pStyle w:val="TextBody"/>
        <w:bidi w:val="0"/>
        <w:spacing w:lineRule="auto" w:line="288" w:before="0" w:after="180"/>
        <w:jc w:val="both"/>
        <w:rPr/>
      </w:pPr>
      <w:r>
        <w:rPr>
          <w:rFonts w:ascii="Times New Roman;serif" w:hAnsi="Times New Roman;serif"/>
          <w:b w:val="false"/>
          <w:color w:val="000000"/>
          <w:sz w:val="20"/>
        </w:rPr>
        <w:t xml:space="preserve">Our Board has adopted written charters for the Audit Committee, the Compensation Committee and the Nominating and Corporate Governance Committee that are available on our website at </w:t>
      </w:r>
      <w:r>
        <w:rPr>
          <w:rFonts w:ascii="Times New Roman;serif" w:hAnsi="Times New Roman;serif"/>
          <w:b w:val="false"/>
          <w:color w:val="0000FF"/>
          <w:sz w:val="20"/>
          <w:u w:val="single"/>
        </w:rPr>
        <w:t>https://www.qtimaging.com/governance-documents/</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Governance Guidelines</w:t>
      </w:r>
    </w:p>
    <w:p>
      <w:pPr>
        <w:pStyle w:val="TextBody"/>
        <w:bidi w:val="0"/>
        <w:spacing w:lineRule="auto" w:line="288" w:before="0" w:after="180"/>
        <w:jc w:val="both"/>
        <w:rPr/>
      </w:pPr>
      <w:r>
        <w:rPr>
          <w:rFonts w:ascii="Times New Roman;serif" w:hAnsi="Times New Roman;serif"/>
          <w:b w:val="false"/>
          <w:color w:val="000000"/>
          <w:sz w:val="20"/>
        </w:rPr>
        <w:t xml:space="preserve">We have adopted Corporate Governance Guidelines that address the composition of the Board, criteria for Board membership and other Board governance matters. These guidelines are available on our website at </w:t>
      </w:r>
      <w:r>
        <w:rPr>
          <w:rFonts w:ascii="Times New Roman;serif" w:hAnsi="Times New Roman;serif"/>
          <w:b w:val="false"/>
          <w:color w:val="0000FF"/>
          <w:sz w:val="20"/>
          <w:u w:val="single"/>
        </w:rPr>
        <w:t>https://www.qtimaging.com/governance-documents/</w:t>
      </w:r>
      <w:r>
        <w:rPr>
          <w:rFonts w:ascii="Times New Roman;serif" w:hAnsi="Times New Roman;serif"/>
          <w:b w:val="false"/>
          <w:color w:val="000000"/>
          <w:sz w:val="20"/>
        </w:rPr>
        <w:t>. A printed copy of the guidelines may also be obtained by any stockholder upon request.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and/or other dispositions of our securities by our directors, officers and employees that we believe is reasonably designed to promote compliance with insider trading laws, rules and regulations and the Nasdaq listing standards.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summary of our insider trading policy is qualified in its entirety by reference to the full text of the policy, which has been filed as Exhibit 19.1 to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NO. 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RATIFICATION OF APPOINTMENT OF INDEPENDENT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REGISTERED PUBLIC ACCOUNTING FIRM</w:t>
      </w:r>
    </w:p>
    <w:p>
      <w:pPr>
        <w:pStyle w:val="TextBody"/>
        <w:bidi w:val="0"/>
        <w:spacing w:lineRule="auto" w:line="288" w:before="0" w:after="180"/>
        <w:jc w:val="both"/>
        <w:rPr/>
      </w:pPr>
      <w:r>
        <w:rPr>
          <w:rFonts w:ascii="Times New Roman;serif" w:hAnsi="Times New Roman;serif"/>
          <w:b w:val="false"/>
          <w:color w:val="000000"/>
          <w:sz w:val="20"/>
        </w:rPr>
        <w:t>The Audit Committee of our Board has selected BPM LLP (“</w:t>
      </w:r>
      <w:r>
        <w:rPr>
          <w:rFonts w:ascii="Times New Roman;serif" w:hAnsi="Times New Roman;serif"/>
          <w:b w:val="false"/>
          <w:i/>
          <w:color w:val="000000"/>
          <w:sz w:val="20"/>
        </w:rPr>
        <w:t>BPM</w:t>
      </w:r>
      <w:r>
        <w:rPr>
          <w:color w:val="000000"/>
        </w:rPr>
        <w:t>”</w:t>
      </w:r>
      <w:r>
        <w:rPr>
          <w:rFonts w:ascii="Times New Roman;serif" w:hAnsi="Times New Roman;serif"/>
          <w:b w:val="false"/>
          <w:color w:val="000000"/>
          <w:sz w:val="20"/>
        </w:rPr>
        <w:t>), San Jose, CA, PCAOB ID: 207, to serve as our independent registered public accounting firm to audit the consolidated financial statements of QT Imaging for the fiscal year ending December 31, 2026. If not ratified, the Audit Committee will reconsider the selection, although the Audit Committee will not be required to select a different independent registered public accounting firm for QT Imaging. Even if the appointment is ratified, our Board may direct the appointment of a different independent registered public accounting firm at any time during the year if they determine that such a change would be in the best interests of QT Imaging and its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this Annual Meeting, a representative of BPM is expected to be present, with the opportunity to make a statement if the representative desires to do so, and is expected to be available to respond to appropriate questions.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Accountant Fees and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fees billed for professional services rendered by BPM for the fiscal years ended December 31, 2025 and 2024.</w:t>
      </w:r>
    </w:p>
    <w:tbl>
      <w:tblPr>
        <w:tblW w:w="5598" w:type="dxa"/>
        <w:jc w:val="center"/>
        <w:tblInd w:w="0" w:type="dxa"/>
        <w:tblLayout w:type="fixed"/>
        <w:tblCellMar>
          <w:top w:w="28" w:type="dxa"/>
          <w:left w:w="28" w:type="dxa"/>
          <w:bottom w:w="28" w:type="dxa"/>
          <w:right w:w="28" w:type="dxa"/>
        </w:tblCellMar>
      </w:tblPr>
      <w:tblGrid>
        <w:gridCol w:w="688"/>
        <w:gridCol w:w="604"/>
        <w:gridCol w:w="612"/>
        <w:gridCol w:w="109"/>
        <w:gridCol w:w="109"/>
        <w:gridCol w:w="109"/>
        <w:gridCol w:w="245"/>
        <w:gridCol w:w="962"/>
        <w:gridCol w:w="127"/>
        <w:gridCol w:w="109"/>
        <w:gridCol w:w="109"/>
        <w:gridCol w:w="109"/>
        <w:gridCol w:w="245"/>
        <w:gridCol w:w="962"/>
        <w:gridCol w:w="127"/>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Fiscal Year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Audit Fees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Audit-Related Fees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Fees</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Other Fees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395,291 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398,691 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Audit fees consist of fees billed and to be billed for professional services rendered for the audit of our year-end financial statements, reviews of our condensed financial statements and services that are normally provided by our independent registered public accounting firm in connection with statutory and regulatory filings.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Audit-related fees consist of fees billed for assurance and related services that are reasonably related to performance of the audit or review of our year-end financial statements and are not reported under “Audit Fees.” These services include attest services that are not required by statute or regulation and consultation concerning financial accounting and reporting standards, including permitted due diligence services related to a potential business combination.</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Tax fees consist of fees billed for professional services relating to tax compliance, tax planning and tax advice.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All other fees consist of fees billed for all other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Policy on Board Pre-Approval of Audit and Permissible Non-Audit Services of the Independent Auditors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Audit Committee is responsible for appointing, setting compensation and overseeing the work of the independent registered public accounting firm. In recognition of this responsibility, the Audit Committee shall review and, in its sole discretion, pre-approve all audit and permitted non-audit services to be provided by the independent registered public accounting firm as provided under the Audit Committee charter.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Audit Committee has determined that all services performed by BPM are compatible with maintaining the independence of BPM. The Audit Committee’s policy is to pre-approve all audit and permissible non-audit services provided by our independent registered public accounting firm. These services may include audit services, audit-related services, tax services and other services. The Audit Committee has delegated to the Chairman of the Audit Committee the authority to approve permitted services provided that the Chairman reports any decisions to the Audit Committee at its next scheduled meeting. The independent registered public accounting firm and management are required to periodically report to the Audit Committee regarding the extent of services provided by the independent registered public accounting firm in accordance with this pre-approval process.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Vote Required and Board Recommendation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outstanding shares present and entitled to vote is required to approve this proposal. Abstentions will have the effect of a vote against this proposal. Broker non-votes will be counted as present for purposes of determining the presence of a quorum, but will not have any effect on the outcome of the proposal. If the stockholders do not approve the ratification of BPM as our independent registered public.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accounting firm, the Audit Committee will reconsider its selection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Board unanimously recommends that you vote “FOR” the ratification of the appointment of BPM as our independent registered public accounting firm for the fiscal year ending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REPORT OF THE AUDIT COMMITTEE</w:t>
      </w:r>
    </w:p>
    <w:p>
      <w:pPr>
        <w:pStyle w:val="TextBody"/>
        <w:bidi w:val="0"/>
        <w:spacing w:lineRule="auto" w:line="288" w:before="0" w:after="180"/>
        <w:jc w:val="both"/>
        <w:rPr/>
      </w:pPr>
      <w:r>
        <w:rPr>
          <w:rFonts w:ascii="Times New Roman;serif" w:hAnsi="Times New Roman;serif"/>
          <w:b w:val="false"/>
          <w:color w:val="000000"/>
          <w:sz w:val="20"/>
        </w:rPr>
        <w:t xml:space="preserve">The Audit Committee currently consists of three directors, each of whom, in the judgment of the Board, is an “independent director” as defined in the listing standards of the Nasdaq. The Audit Committee acts pursuant to a written charter that has been adopted by the Board. A copy of the charter is available on QT Imaging’s website at </w:t>
      </w:r>
      <w:r>
        <w:rPr>
          <w:rFonts w:ascii="Times New Roman;serif" w:hAnsi="Times New Roman;serif"/>
          <w:b w:val="false"/>
          <w:color w:val="0000FF"/>
          <w:sz w:val="20"/>
          <w:u w:val="single"/>
        </w:rPr>
        <w:t>https://www.qtimaging.com/governance-documents/</w:t>
      </w:r>
      <w:r>
        <w:rPr>
          <w:rFonts w:ascii="Times New Roman;serif" w:hAnsi="Times New Roman;serif"/>
          <w:b w:val="false"/>
          <w:color w:val="000000"/>
          <w:sz w:val="2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Audit Committee oversees QT Imaging’s financial reporting process on behalf of the Board. The Audit Committee is responsible for retaining QT Imaging’s independent registered public accounting firm, evaluating its independence, qualifications and performance, and approving in advance the engagement of the independent registered public accounting firm for all audit and non-audit services. Management has the primary responsibility for the consolidated financial statements and the financial reporting process, including internal controls, and procedures designed to insure compliance with applicable laws and regulations. QT Imaging’s independent registered public accounting firm for the fiscal year ended December 31, 2025, BPM, is responsible for expressing an opinion as to the conformity of our audited consolidated financial statements for the fiscal year ended December 31, 2025 with accounting principles generally accepted in the United States of America.</w:t>
      </w:r>
    </w:p>
    <w:p>
      <w:pPr>
        <w:pStyle w:val="TextBody"/>
        <w:bidi w:val="0"/>
        <w:spacing w:lineRule="auto" w:line="288" w:before="0" w:after="180"/>
        <w:jc w:val="both"/>
        <w:rPr/>
      </w:pPr>
      <w:r>
        <w:rPr>
          <w:rFonts w:ascii="Times New Roman;serif" w:hAnsi="Times New Roman;serif"/>
          <w:b w:val="false"/>
          <w:color w:val="000000"/>
          <w:sz w:val="20"/>
        </w:rPr>
        <w:t>The Audit Committee has reviewed and discussed with management QT Imaging’s audited consolidated financial statements. The Audit Committee has discussed with the independent registered public accounting firm the matters required to be discussed under the rules adopted by the Public Company Accounting Oversight Board (United States) (“</w:t>
      </w:r>
      <w:r>
        <w:rPr>
          <w:rFonts w:ascii="Times New Roman;serif" w:hAnsi="Times New Roman;serif"/>
          <w:b w:val="false"/>
          <w:i/>
          <w:color w:val="000000"/>
          <w:sz w:val="20"/>
        </w:rPr>
        <w:t>PCAOB</w:t>
      </w:r>
      <w:r>
        <w:rPr>
          <w:color w:val="000000"/>
        </w:rPr>
        <w:t>”</w:t>
      </w:r>
      <w:r>
        <w:rPr>
          <w:rFonts w:ascii="Times New Roman;serif" w:hAnsi="Times New Roman;serif"/>
          <w:b w:val="false"/>
          <w:color w:val="000000"/>
          <w:sz w:val="20"/>
        </w:rPr>
        <w:t>). In addition, the Audit Committee has met with the independent registered public accounting firm, with and without management present, to discuss the overall scope of the independent registered public accounting firm’s audit, the results of its examinations, its evaluations of QT Imaging’s internal controls and the overall quality of QT Imaging’s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the review and discussions referred to above, the Audit Committee recommended to QT Imaging’s Board that QT Imaging’s audited consolidated financial statements be included in QT Imaging’s Annual Report on Form 10-K for the fiscal year ended December 31, 2025.</w:t>
      </w:r>
    </w:p>
    <w:p>
      <w:pPr>
        <w:pStyle w:val="TextBody"/>
        <w:bidi w:val="0"/>
        <w:spacing w:lineRule="auto" w:line="288" w:before="410" w:after="120"/>
        <w:jc w:val="both"/>
        <w:rPr>
          <w:rFonts w:ascii="Times New Roman;serif" w:hAnsi="Times New Roman;serif"/>
          <w:b w:val="false"/>
          <w:color w:val="000000"/>
          <w:sz w:val="20"/>
        </w:rPr>
      </w:pPr>
      <w:r>
        <w:rPr>
          <w:rFonts w:ascii="Times New Roman;serif" w:hAnsi="Times New Roman;serif"/>
          <w:b w:val="false"/>
          <w:color w:val="000000"/>
          <w:sz w:val="20"/>
        </w:rPr>
        <w:t>AUDIT COMMITTEE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Ross Taylor, Chairman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James Greene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Professor Zeev Weiner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foregoing Report of the Audit Committee shall not be deemed to be incorporated by reference into any filing of QT Imaging under the Securities Act of 1933 or the Securities Exchange Act of 1934, except to the extent that QT Imaging specifically incorporates such information by reference in such filing and shall not otherwise be deemed “filed” under either the Securities Act or the Exchange Act or considered to be “soliciting material.”</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PROPOSAL NO. 3</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APPROVAL OF AN AMENDMENT TO OUR PLAN TO INCREASE THE NUMBER OF SHARES AUTHORIZED AND RESERVED FOR ISSUANCE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has approved, and is seeking stockholder approval of the Plan Amendment, to increase the number of shares authorized and reserved for issuance under the Plan by 550,900 shares, which is 4% of our currently issued and outstanding shares of Common Stock, to a new total of 2,378,178 shares.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21, 2026, our Board unanimously determined that the Plan Amendment is advisable and in the best interests of the Company and our stockholders and recommended that our stockholders approve the Plan Amendment. In accordance with the General Corporation Law of the State of Delaware, we are hereby seeking approval of the Plan Amendment by our stockholders.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other changes to the Plan are being proposed.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Reasons for the Plan Amendment Proposal</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the Record Date, 1,827,278 shares of Common Stock were reserved for issuance under the Plan, of which 136,737 shares of Common Stock remain available for issuance. We are seeking stockholder approval to amend the Plan to increase the number of shares of Common Stock reserved for issuance by 550,900 shares to 2,378,178 shares, which will result in a total of 687,637 shares of Common Stock being available for issuance. If our stockholders do not approve the Plan Amendment, we anticipate that there will not be sufficient shares available under the Plan for continued equity awards to our employees, non-employee directors, and independent contractors over the next year. This would result in the loss of an important compensation tool aligned with stockholder interests to attract, motivate, and retain highly qualified talent.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recognize the dilutive impact of our equity compensation program on our stockholders and continuously strive to balance this concern with the competition for talent in the competitive business environment, as well as the current market conditions, in which we operate. In determining the appropriate number of shares to request and add to the pool of shares available for issuance pursuant to the Plan Amendment, our Board and Compensation Committee worked with management to evaluate a number of factors, and carefully considered (i) the potential dilutive impact on stockholders, (ii) our historical run rate and overhang, (iii) the current number of shares remaining available for issuance, (iv) the realities of equity awards being a key component of designing competitive compensation packages necessary for attracting and retaining key talent in a competitive marketplace, (v) our strategic growth plans, and (vi) the interests of our stockholders.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and Compensation Committee considered the following in reaching its determination with respect to the Plan Amendment: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increase in the number of shares of Common Stock reserved for issuance under the Plan will support retention and critical talent acquisition in a highly technical workforce: Equity awards are a core component of compensation given the Company’s need to attract and retain specialized engineering, development, and operational talent in a competitive market environment.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Broad-based, employee-wide participation aligns interests with stockholders: The Company’s equity program is designed to provide meaningful participation across a wide employee population, reinforcing a culture of ownership and alignment with long-term stockholder value creation.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Plan Amendment will sustain market-competitive compensation amid post-going public growth, and evolving business needs and exceptional global expansion and revenue increase in 2026 and beyond : The Company’s equity usage reflects its stage of growth, hiring demands, and the need to remain competitive with similarly situated companies for key talent.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Plan Amendment makes a disciplined share request sized to support multi-year program stability: The requested share reserve of 687,637 shares of Common Stock, including those shares that are currently available for issuance, is intended to fund remaining 2026 grants until the January 1, 2027 ‘evergreen” refresh provided for by the Plan, at which point we do not anticipate another shareholder request for several years.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Plan Amendment constitutes a balanced approach to dilution and program effectiveness: The Compensation Committee considered both the dilutive impact of equity awards and the importance of maintaining an effective long-term incentive program in determining the size of the requested share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anticipate the 550,900 additional shares requested under the Amendment, plus the 136,737 remaining shares that are available for issuance under the Plan, to be sufficient to fund remaining 2026 grants. The Plan is designed to attract and retain non</w:t>
        <w:noBreakHyphen/>
        <w:t>employee directors and employees and reward them for making contributions to the success of the Company and its subsidiaries. These objectives are to be accomplished by making awards under the Plan and thereby providing participants with a proprietary interest in the growth and performance of the Company and aligning a portion of their compensation with the interests of our stockholders. Stockholder approval of this proposal will enable us to continue to grant equity awards to our employees and non-employee directors at such levels determined by our compensation committee and Board to be necessary to attract, retain and motivate the individuals who will be critical to our success in achieving our business objectives and thereby creating greater value for our stockholders.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Dilution, Stock Available and Historical Stock Usage</w:t>
      </w:r>
    </w:p>
    <w:p>
      <w:pPr>
        <w:pStyle w:val="TextBody"/>
        <w:bidi w:val="0"/>
        <w:spacing w:lineRule="auto" w:line="288" w:before="0" w:after="180"/>
        <w:jc w:val="both"/>
        <w:rPr/>
      </w:pPr>
      <w:r>
        <w:rPr>
          <w:rFonts w:ascii="Times New Roman;serif" w:hAnsi="Times New Roman;serif"/>
          <w:b w:val="false"/>
          <w:i/>
          <w:color w:val="000000"/>
          <w:sz w:val="20"/>
        </w:rPr>
        <w:t>Dilution</w:t>
      </w:r>
      <w:r>
        <w:rPr>
          <w:rFonts w:ascii="Times New Roman;serif" w:hAnsi="Times New Roman;serif"/>
          <w:b w:val="false"/>
          <w:color w:val="000000"/>
          <w:sz w:val="20"/>
        </w:rPr>
        <w:t xml:space="preserve">. </w:t>
      </w:r>
    </w:p>
    <w:p>
      <w:pPr>
        <w:pStyle w:val="TextBody"/>
        <w:bidi w:val="0"/>
        <w:spacing w:lineRule="auto" w:line="288" w:before="0" w:after="180"/>
        <w:jc w:val="left"/>
        <w:rPr/>
      </w:pPr>
      <w:r>
        <w:rPr>
          <w:rFonts w:ascii="Times New Roman;serif" w:hAnsi="Times New Roman;serif"/>
          <w:b w:val="false"/>
          <w:color w:val="000000"/>
          <w:sz w:val="20"/>
          <w:shd w:fill="FFFFFF" w:val="clear"/>
        </w:rPr>
        <w:t>Subject to stockholder approval of the Plan Amendment, the number of shares of Common Stock that will be reserved for issuance pursuant to awards granted under the Plan shall be of 687,637 shares of Common Stock shares, which represents approximately 4.3% of the Company’s 15,880,565 issued and outstanding shares of the Common Stock and pre-funded warrants for the purchase of shares of Common Stock on a fully diluted basis as of the Record Date. The Board believes that this number of shares of Common Stock constitutes reasonable potential equity dilution and provides a significant incentive for employees and service providers to increase the value of the Company for all stockholders. The closing trading price of each share of Common Stock as of the Record Date was $[</w:t>
      </w:r>
      <w:r>
        <w:rPr>
          <w:rFonts w:ascii="Times New Roman;serif" w:hAnsi="Times New Roman;serif"/>
          <w:b w:val="false"/>
          <w:color w:val="000000"/>
          <w:sz w:val="24"/>
        </w:rPr>
        <w:t>___</w:t>
      </w:r>
      <w:r>
        <w:rPr>
          <w:rFonts w:ascii="Times New Roman;serif" w:hAnsi="Times New Roman;serif"/>
          <w:b w:val="false"/>
          <w:color w:val="000000"/>
          <w:sz w:val="20"/>
          <w:shd w:fill="FFFFFF" w:val="clear"/>
        </w:rPr>
        <w:t>].</w:t>
      </w:r>
    </w:p>
    <w:p>
      <w:pPr>
        <w:pStyle w:val="TextBody"/>
        <w:bidi w:val="0"/>
        <w:spacing w:lineRule="auto" w:line="288" w:before="0" w:after="180"/>
        <w:jc w:val="both"/>
        <w:rPr/>
      </w:pPr>
      <w:r>
        <w:rPr>
          <w:rFonts w:ascii="Times New Roman;serif" w:hAnsi="Times New Roman;serif"/>
          <w:b w:val="false"/>
          <w:i/>
          <w:color w:val="000000"/>
          <w:sz w:val="20"/>
        </w:rPr>
        <w:t>Shares Available; Certain Limitations</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maximum number of shares of Common Stock reserved and available for issuance under the Plan will be 2,378,178 shares; provided that shares of Common Stock issued under the Plan with respect to an Exempt Award (as defined herein) will not count against the share limit. We use the term “Exempt Award” to mean (i) an award granted in the assumption of, or in substitution for, outstanding awards previously granted by another business entity acquired by us or any of our subsidiaries or with which we or any of our subsidiaries merges, (ii) an award that a participant purchases at fair market value, or (iii) an award granted as an inducement award pursuant to Nasdaq Listing Rule 5635(c).</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stockholder approval of the Plan Amendment, no more than 2,378,178 shares of Common Stock shall be issued pursuant to the exercise of incentive stock options.</w:t>
      </w:r>
    </w:p>
    <w:p>
      <w:pPr>
        <w:pStyle w:val="TextBody"/>
        <w:bidi w:val="0"/>
        <w:spacing w:lineRule="auto" w:line="288" w:before="0" w:after="180"/>
        <w:jc w:val="left"/>
        <w:rPr/>
      </w:pPr>
      <w:r>
        <w:rPr>
          <w:rFonts w:ascii="Times New Roman;serif" w:hAnsi="Times New Roman;serif"/>
          <w:b w:val="false"/>
          <w:color w:val="000000"/>
          <w:sz w:val="20"/>
          <w:shd w:fill="FFFFFF" w:val="clear"/>
        </w:rPr>
        <w:t>Shares issuable under the Plan may be authorized, but unissued, or reacquired shares of Common Stock. If an award expires or becomes unexercisable without having been exercised in full, is surrendered pursuant to an exchange program (as described below), or, with respect to restricted stock, restricted stock units (“</w:t>
      </w:r>
      <w:r>
        <w:rPr>
          <w:rFonts w:ascii="Times New Roman;serif" w:hAnsi="Times New Roman;serif"/>
          <w:b w:val="false"/>
          <w:i/>
          <w:color w:val="000000"/>
          <w:sz w:val="24"/>
        </w:rPr>
        <w:t>RSUs</w:t>
      </w:r>
      <w:r>
        <w:rPr>
          <w:color w:val="000000"/>
          <w:shd w:fill="FFFFFF" w:val="clear"/>
        </w:rPr>
        <w:t>”</w:t>
      </w:r>
      <w:r>
        <w:rPr>
          <w:rFonts w:ascii="Times New Roman;serif" w:hAnsi="Times New Roman;serif"/>
          <w:b w:val="false"/>
          <w:color w:val="000000"/>
          <w:sz w:val="20"/>
          <w:shd w:fill="FFFFFF" w:val="clear"/>
        </w:rPr>
        <w:t>), or performance awards, is forfeited to or repurchased due to failure to vest, the unpurchased shares (or for awards other than stock options or stock appreciation rights, the forfeited or repurchased shares) will become available for future grant or sale under the Plan. With respect to stock appreciation rights, only the net shares actually issued will cease to be available under the Plan and all remaining shares under stock appreciation rights will remain available for future grant or sale under the Plan. Shares that actually have been issued under the Plan under any award will not be returned to the Plan; except if shares issued pursuant to awards of restricted stock, RSUs, or performance awards are repurchased or forfeited due to failure to vest, such shares will become available for future grant under the Plan. Shares used to pay the exercise price of an award or satisfy the tax liabilities or withholding obligations related to an award (which withholdings may be in amounts greater than the minimum statutory amount required to be withheld as determined by the administrator of the Plan) will become available for future grant or sale under the Plan. To the extent an award is paid out in cash rather than shares, such cash payment will not result in a reduction in the number of shares available for issuance under the Plan.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(other than any ordinary dividends or other ordinary distributions), the administrator of the Plan, to prevent diminution or enlargement of the benefits or potential benefits intended to be made available under the Plan, will adjust the number and class of shares that may be delivered under the Plan; the number, class, and price of shares covered by each outstanding award; and the numerical share limits contained in the Plan.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exhibited by our responsible use of equity over the past several years and good corporate governance practices associated with equity and executive compensation practices in general, we believe the stock reserved under the Plan, as amended pursuant to the Plan Amendment, will provide us with the platform needed for our continued growth, while managing program costs and share utilization levels within acceptable industry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Description of the Plan Amendment</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full text of the Plan Amendment is set forth in </w:t>
      </w:r>
      <w:r>
        <w:rPr>
          <w:rFonts w:ascii="Times New Roman;serif" w:hAnsi="Times New Roman;serif"/>
          <w:b w:val="false"/>
          <w:color w:val="000000"/>
          <w:sz w:val="20"/>
          <w:u w:val="single"/>
        </w:rPr>
        <w:t>Appendix A</w:t>
      </w:r>
      <w:r>
        <w:rPr>
          <w:color w:val="000000"/>
          <w:shd w:fill="FFFFFF" w:val="clear"/>
        </w:rPr>
        <w:t xml:space="preserve"> </w:t>
      </w:r>
      <w:r>
        <w:rPr>
          <w:rFonts w:ascii="Times New Roman;serif" w:hAnsi="Times New Roman;serif"/>
          <w:b w:val="false"/>
          <w:color w:val="000000"/>
          <w:sz w:val="20"/>
          <w:shd w:fill="FFFFFF" w:val="clear"/>
        </w:rPr>
        <w:t>to this proxy statement.</w:t>
      </w:r>
    </w:p>
    <w:p>
      <w:pPr>
        <w:pStyle w:val="TextBody"/>
        <w:bidi w:val="0"/>
        <w:spacing w:lineRule="auto" w:line="288" w:before="0" w:after="180"/>
        <w:jc w:val="left"/>
        <w:rPr/>
      </w:pPr>
      <w:r>
        <w:rPr>
          <w:rFonts w:ascii="Times New Roman;serif" w:hAnsi="Times New Roman;serif"/>
          <w:b w:val="false"/>
          <w:color w:val="000000"/>
          <w:sz w:val="20"/>
          <w:shd w:fill="FFFFFF" w:val="clear"/>
        </w:rPr>
        <w:t>The following is a summary of the material features of the Plan. This summary does not purport to be complete and is qualified in its entirety by the full text of the Plan. For purposes of this summary, the “</w:t>
      </w:r>
      <w:r>
        <w:rPr>
          <w:rFonts w:ascii="Times New Roman;serif" w:hAnsi="Times New Roman;serif"/>
          <w:b w:val="false"/>
          <w:i/>
          <w:color w:val="000000"/>
          <w:sz w:val="20"/>
        </w:rPr>
        <w:t>Committee</w:t>
      </w:r>
      <w:r>
        <w:rPr>
          <w:color w:val="000000"/>
          <w:shd w:fill="FFFFFF" w:val="clear"/>
        </w:rPr>
        <w:t xml:space="preserve">” </w:t>
      </w:r>
      <w:r>
        <w:rPr>
          <w:rFonts w:ascii="Times New Roman;serif" w:hAnsi="Times New Roman;serif"/>
          <w:b w:val="false"/>
          <w:color w:val="000000"/>
          <w:sz w:val="20"/>
          <w:shd w:fill="FFFFFF" w:val="clear"/>
        </w:rPr>
        <w:t>means the Compensation Committee.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Type of Awards Under the Plan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Plan authorizes awards in the form of stock options, stock appreciation rights, restricted stock awards, RSUs, performance shares, performance units, cash-based awards and other stock-based awards. Awards may be granted only to employees, consultants and directors, and participation is at the Committee’s discretion. The Company currently has six non-employee directors and approximately 37 employees (including employee directors) and consultants who are eligible to participate in the Plan.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Administration of the Plan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Plan is administered by the Committee. The Committee has broad authority to determine award recipients, award types, share or cash amounts, exercise or purchase prices, vesting and exercisability terms, performance goals, settlement methods and the effect of a participant’s termination of service. The Committee’s interpretations and determinations under the Plan are final, binding and conclusive unless fraudulent or made in bad faith.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Restricted Stock and Restricted Stock Units</w:t>
      </w:r>
    </w:p>
    <w:p>
      <w:pPr>
        <w:pStyle w:val="TextBody"/>
        <w:bidi w:val="0"/>
        <w:spacing w:lineRule="auto" w:line="288" w:before="0" w:after="180"/>
        <w:jc w:val="left"/>
        <w:rPr/>
      </w:pPr>
      <w:r>
        <w:rPr>
          <w:rFonts w:ascii="Times New Roman;serif" w:hAnsi="Times New Roman;serif"/>
          <w:b w:val="false"/>
          <w:color w:val="000000"/>
          <w:sz w:val="20"/>
          <w:shd w:fill="FFFFFF" w:val="clear"/>
        </w:rPr>
        <w:t>Restricted Stock Awards may be granted as either Restricted Stock Bonuses or Restricted Stock Purchase Rights and may be subject to service-based, performance-based or other vesting conditions established by the Committee. Holders of restricted stock generally have stockholder rights, including voting and dividend rights, while the shares remain subject to vesting conditions, although dividends and distributions may also be subject to the same vesting conditions. RSUs may be granted subject to Committee-determined conditions and vesting terms, do not carry voting rights before share issuance, and may include dividend equivalent rights if provided in the award agreement.</w:t>
      </w:r>
      <w:r>
        <w:rPr>
          <w:color w:val="000000"/>
        </w:rPr>
        <w:t xml:space="preserve"> </w:t>
      </w:r>
      <w:r>
        <w:rPr>
          <w:rFonts w:ascii="Times New Roman;serif" w:hAnsi="Times New Roman;serif"/>
          <w:b w:val="false"/>
          <w:color w:val="000000"/>
          <w:sz w:val="20"/>
          <w:shd w:fill="FFFFFF" w:val="clear"/>
        </w:rPr>
        <w:t>Unless otherwise provided in the applicable award agreement, unvested restricted stock or RSUs generally are repurchased or forfeited upon termination of service.</w:t>
      </w:r>
      <w:r>
        <w:rPr>
          <w:color w:val="000000"/>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Options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Plan permits both incentive stock options and nonstatutory stock options. The per share exercise price of options granted under the Plan generally must be equal to at least 100% of the fair market value of a share of the Common Stock on the date of grant. The term of an option may not exceed ten years. With respect to any participant who owns more than 10% of the voting power of all classes of the Company’s (or any of its parent’s or subsidiary’s) outstanding stock, the term of an incentive stock option granted to such participant must not exceed five years and the per share exercise price must equal at least 110% of the fair market value of a share of the Common Stock on the grant date. The Committee will determine the methods of payment of the exercise price of an option, which may include cash, certain shares of the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Plan, the Committee determines the terms of options. Until shares are issued under an option, the participant will not have any right to vote or receive dividends or have any other rights as a stockholder with respect to such shares, and no adjustment will be made for a dividend or other right for which the record date is before the date such shares are issued, except as provided in the Plan, as summarized further above.</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Restricted Stock Units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RSUs may be granted under the Plan. Each RSU is a bookkeeping entry representing an amount equal to the fair market value of one share of the Common Stock. Subject to the provisions of the Plan, the Committee determines the terms and conditions of RSUs, including any vesting criteria and the form and timing of payment. The Committee may set vesting criteria based upon the achievement of company-wide, divisional, business unit, or individual goals (including continued employment or service), applicable federal or state securities laws or any other basis determined by the administrator in its discretion. The Committee, in its sole discretion, may pay earned RSUs in the form of cash, shares, or a combination of both. Notwithstanding the foregoing, the Committee, in its sole discretion, may accelerate the time at which any restrictions will lapse or be removed.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Interests of Officers and Directors in this Proposal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officers and directors do not have any substantial interest, direct or indirect, in this proposal.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Vote Required and Board Recommendation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outstanding shares present and entitled to vote is required to approve this proposal. Abstentions will have the effect of a vote against this proposal. Broker non-votes will be counted as present for purposes of determining the presence of a quorum, but will not have any effect on the outcome of the proposal.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Board unanimously recommends that you vote “FOR” this Proposal No. 3 to approve the Plan Amendment to increase the number of shares of Common Stock authorized and reserved for issuance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Compensation Discussion and Analysis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discussion and analysis of our executive compensation philosophy, objectives and design, our compensation-setting process, the components of our executive compensation program, and the decisions made for compensation in respect of 2025 for our executive officers should be read together with the compensation tables and related disclosures set forth below. The discussion in this section contains forward-looking statements that are based on our current considerations and expectations relating to our executive compensation programs and philosophy. As our business and our needs evolve, the actual amount and form of compensation and the compensation programs that we adopt may differ materially from current or planned programs as summarized in this section.</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Overview</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section provides an overview of our executive compensation program, including a narrative description of the material factors necessary to understand the information disclosed in the summary compensation table below.</w:t>
      </w:r>
    </w:p>
    <w:p>
      <w:pPr>
        <w:pStyle w:val="TextBody"/>
        <w:bidi w:val="0"/>
        <w:spacing w:lineRule="auto" w:line="288" w:before="0" w:after="180"/>
        <w:jc w:val="left"/>
        <w:rPr/>
      </w:pPr>
      <w:r>
        <w:rPr>
          <w:rFonts w:ascii="Times New Roman;serif" w:hAnsi="Times New Roman;serif"/>
          <w:b w:val="false"/>
          <w:color w:val="000000"/>
          <w:sz w:val="20"/>
          <w:shd w:fill="FFFFFF" w:val="clear"/>
        </w:rPr>
        <w:t>In evaluating our overall executive compensation program and decisions for the 2025 fiscal year, including awards under our compensation programs, the Compensation Committee considered a number of factors, including that 2024 was our first year operating as a public company, incentivizing the achievement of both strategic enterprise and financial objectives and our position as a transformational company. Going forward, the Compensation Committee will be making any determinations as it relates to the payout of the previous year’s compensation programs as well as the adoption of any performance measures for the current fiscal year. This allows the Compensation Committee to have a good understanding of the prior fiscal year financial performance in order to evaluate the performance of our named executive officers (each, a “</w:t>
      </w:r>
      <w:r>
        <w:rPr>
          <w:rFonts w:ascii="Times New Roman;serif" w:hAnsi="Times New Roman;serif"/>
          <w:b w:val="false"/>
          <w:i/>
          <w:color w:val="000000"/>
          <w:sz w:val="20"/>
        </w:rPr>
        <w:t>NEO</w:t>
      </w:r>
      <w:r>
        <w:rPr>
          <w:color w:val="000000"/>
          <w:shd w:fill="FFFFFF" w:val="clear"/>
        </w:rPr>
        <w:t>”</w:t>
      </w:r>
      <w:r>
        <w:rPr>
          <w:rFonts w:ascii="Times New Roman;serif" w:hAnsi="Times New Roman;serif"/>
          <w:b w:val="false"/>
          <w:color w:val="000000"/>
          <w:sz w:val="20"/>
          <w:shd w:fill="FFFFFF" w:val="clear"/>
        </w:rPr>
        <w:t>) against previously adopted performance measures as well as develop plans and performance metrics based on the annual operating plan for the current fiscal year.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 ended December 31, 2025, our NEOs were:</w:t>
      </w:r>
    </w:p>
    <w:tbl>
      <w:tblPr>
        <w:tblW w:w="6699" w:type="dxa"/>
        <w:jc w:val="left"/>
        <w:tblInd w:w="0" w:type="dxa"/>
        <w:tblLayout w:type="fixed"/>
        <w:tblCellMar>
          <w:top w:w="28" w:type="dxa"/>
          <w:left w:w="28" w:type="dxa"/>
          <w:bottom w:w="28" w:type="dxa"/>
          <w:right w:w="28" w:type="dxa"/>
        </w:tblCellMar>
      </w:tblPr>
      <w:tblGrid>
        <w:gridCol w:w="618"/>
        <w:gridCol w:w="542"/>
        <w:gridCol w:w="549"/>
        <w:gridCol w:w="109"/>
        <w:gridCol w:w="109"/>
        <w:gridCol w:w="109"/>
        <w:gridCol w:w="130"/>
        <w:gridCol w:w="130"/>
        <w:gridCol w:w="131"/>
        <w:gridCol w:w="109"/>
        <w:gridCol w:w="109"/>
        <w:gridCol w:w="109"/>
        <w:gridCol w:w="1152"/>
        <w:gridCol w:w="1152"/>
        <w:gridCol w:w="1641"/>
      </w:tblGrid>
      <w:tr>
        <w:trPr/>
        <w:tc>
          <w:tcPr>
            <w:tcW w:w="61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Dr. Raluca Dinu</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 (Class III)</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Jay Jennings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Anastas Budagov</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Chief Financial Officer</w:t>
            </w:r>
          </w:p>
        </w:tc>
      </w:tr>
    </w:tbl>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Dr. Raluca Dinu has served as our Chief Executive Officer and Class III Director since March 12, 2024, when she was appointed by the Board to replace Dr. John C. Klock, effective immediately.</w:t>
      </w:r>
    </w:p>
    <w:p>
      <w:pPr>
        <w:pStyle w:val="TextBody"/>
        <w:bidi w:val="0"/>
        <w:spacing w:lineRule="auto" w:line="288" w:before="0" w:after="6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On August 22, 2025, the Board appointed Mr. Jay Jennings to serve as our Chief Financial Officer, effective September 2, 2025.</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(3)Mr. Budagov served as our Chief Financial Officer since December 2023 and until August 29, 2025, when he was replaced by the Board with Mr. Jennings.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Compensation Philosophy and Objectives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developed an executive compensation program that is consistent with the compensation policies and philosophies of the Compensation Committee and the Board, which are designed to align compensation with the Company’s business objectives and the creation of stockholder value, while enabling the Company to attract, motivate and retain individuals who contribute to its long-term success. Decisions on the executive compensation program are made by the Compensation Committee.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objectives of the Company’s executive compensation program are to encourage retention and recruitment of high-performing executives, to motivate employees and align executive interests across the organization and with the Company’s stockholders, to reward sustainable financial performance, accountability and innovation, to create consistency with the Company’s strategy and culture (mission, vision and values) and to balance innovation and performance with risk. In setting executive compensation in 2025, the Compensation Committee took into account the Company’s strategy, culture and stage in defining plan feature tradeoffs. The Compensation Committee also looked to manage exceptions to its approach based upon the individual profiles of various members of the Company’s management.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Decisions regarding executive compensation reflect a belief that the executive compensation program must be competitive in order to attract and retain highly competent executive officers as well as include a significant element of “pay for performance.” Total compensation will be comprised of base salary, short-term incentive and long-term incentive. A significant portion of compensation for the members of management of the Company is tied to annual performance objectives. All elements of the compensation are defined in absolute dollar values. Further,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Compensation Committee seeks to tie our executive compensation levels to the compensation practices of our peer companies.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Base Salary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 salaries for our NEOs are established based on the individual’s scope of responsibilities, experience and market factors. The base salary is an annual total cash salary paid over 12 months in equal amounts. The Compensation Committee typically reviews base salaries on an annual basis, referencing peer group and survey data to understand the marketplace for individuals in similar positions. No formulaic base salary increases are provided to our NEOs; however, annual merit increases are provided when the Compensation Committee determines that such increases are warranted in light of national salary increase levels, salary levels within companies in our peer group, individual performance and/or overall Company performance. We pay base salaries to attract, recruit and retain qualified employees. The base salaries for 2025 for our NEOs take into account the initial base amount set forth in the executive’s respective employment agreement or employment offer letter, as applicable, and the scope of the executive’s responsibilities, individual contributions, prior experience and sustained performance.</w:t>
      </w:r>
    </w:p>
    <w:tbl>
      <w:tblPr>
        <w:tblW w:w="3326" w:type="dxa"/>
        <w:jc w:val="left"/>
        <w:tblInd w:w="0" w:type="dxa"/>
        <w:tblLayout w:type="fixed"/>
        <w:tblCellMar>
          <w:top w:w="28" w:type="dxa"/>
          <w:left w:w="28" w:type="dxa"/>
          <w:bottom w:w="28" w:type="dxa"/>
          <w:right w:w="28" w:type="dxa"/>
        </w:tblCellMar>
      </w:tblPr>
      <w:tblGrid>
        <w:gridCol w:w="575"/>
        <w:gridCol w:w="504"/>
        <w:gridCol w:w="511"/>
        <w:gridCol w:w="109"/>
        <w:gridCol w:w="109"/>
        <w:gridCol w:w="109"/>
        <w:gridCol w:w="249"/>
        <w:gridCol w:w="978"/>
        <w:gridCol w:w="182"/>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 Base Salary</w:t>
            </w:r>
          </w:p>
        </w:tc>
      </w:tr>
      <w:tr>
        <w:trPr/>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Dr. Raluca Dinu</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Jay Jennings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0"/>
          <w:shd w:fill="FFFFFF" w:val="clear"/>
        </w:rPr>
        <w:t>Dr. Raluca Dinu’s base salary is based on her employment agreement dated March 12, 2024.</w:t>
      </w:r>
    </w:p>
    <w:p>
      <w:pPr>
        <w:pStyle w:val="TextBody"/>
        <w:bidi w:val="0"/>
        <w:spacing w:lineRule="auto" w:line="28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0"/>
          <w:shd w:fill="FFFFFF" w:val="clear"/>
        </w:rPr>
        <w:t>Mr. Jennings’ base salary is based on his employment agreement dated August 22, 2025.</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Annual Bonuses</w:t>
      </w:r>
    </w:p>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uses annual cash incentive bonuses for the NEOs to tie a portion of their compensation to financial and operational objectives achievable within the applicable fiscal year. The annual cash incentive bonus is expressed as a percentage of an individual’s base salary. The Compensation Committee set the performance targets using two financial metrics for the 2025 fiscal year: total revenue; and cash balance. Determination of the achievement of the targets is based upon the full year financial results following the completion of the audit of the Company’s consolidated financial statements. Following the end of the year, the Compensation Committee will determine the extent to which the performance targets were achieved and the amount of the award that will payable to the NEOs.</w:t>
      </w:r>
    </w:p>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Equity-Based Awards</w:t>
      </w:r>
    </w:p>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uses equity-based awards to reward long-term performance of the NEOs. The Company believes that providing a meaningful portion of the total compensation package in the form of equity-based awards aligns the incentives of its NEOs with the interests of its stockholders and serves to motivate and retain the individual NEOs. Any awards would be made in accordance with the executive compensation program discussed above. Although the Company has not used a specific predetermined schedule to grant equity-based awards as 2024 was the first year that the Company made such awards as a public company, it is the policy of the Company regarding our grants of equity-based awards that the Company does not (a) backdate equity award grants, (b) time the public release of material information or (c) purposely accelerate or delay equity award grants with the intent of allowing an award recipient to benefit from a more favorable stock price. The Company is currently using time-based stock option awards to encourage long term performance.</w:t>
      </w:r>
    </w:p>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Compensation</w:t>
      </w:r>
    </w:p>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various employee benefit plans, including medical, dental, life insurance and 401(k) plans, in which the NEOs may participate. It also provides certain perquisites to its NEOs, subject to the Compensation Committee’s ongoing review.</w:t>
      </w:r>
    </w:p>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Deductibility of Executive Compensation</w:t>
      </w:r>
    </w:p>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162(m) of the Code denies a federal income tax deduction for certain compensation in excess of $1.0 million per year paid to the chief executive officer, the chief financial officer, the three other most highly paid executive officers of a publicly traded corporation, and anyone previously subject to Section 162(m) as a covered employee for any taxable year beginning after December 31, 2016. It is the policy of the Company to consider the tax impact of its compensation arrangements as one factor, among others, in evaluating and determining the structure, implementation, and amount of awards paid to its executive officers. However, to retain highly skilled executives and remain competitive with other employers, the Compensation Committee may authorize compensation that would not be deductible under Section 162(m) or otherwise if it determines that such compensation is in the best interests of the Company and its stockholders, and maintaining tax deductibility will not be the sole consideration taken into account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determining what compensation arrangements are in our and our stockholders’ best interests. The right to grant compensation that is not deductible is expressly reserved, and the Company may do so.</w:t>
      </w:r>
    </w:p>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Summary of Compensation Table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sets forth the annual compensation levels of our NEOs for 2025 and 2024, who as a smaller reporting company consist of the principal executive officer who serves as Chief Executive Officer of QT Imaging, and the next two most highly compensated executive officers. The compensation totals and individual amounts reflect the compensation of such officers by the Company or QT Imaging as of December 31, 2025 and 2024. In the fiscal year 2025, such totals and amounts may change based on, among other things, changes to the terms of the employment of such persons.</w:t>
      </w:r>
    </w:p>
    <w:tbl>
      <w:tblPr>
        <w:tblW w:w="10205" w:type="dxa"/>
        <w:jc w:val="left"/>
        <w:tblInd w:w="0" w:type="dxa"/>
        <w:tblLayout w:type="fixed"/>
        <w:tblCellMar>
          <w:top w:w="28" w:type="dxa"/>
          <w:left w:w="28" w:type="dxa"/>
          <w:bottom w:w="28" w:type="dxa"/>
          <w:right w:w="28" w:type="dxa"/>
        </w:tblCellMar>
      </w:tblPr>
      <w:tblGrid>
        <w:gridCol w:w="1017"/>
        <w:gridCol w:w="739"/>
        <w:gridCol w:w="743"/>
        <w:gridCol w:w="109"/>
        <w:gridCol w:w="109"/>
        <w:gridCol w:w="109"/>
        <w:gridCol w:w="174"/>
        <w:gridCol w:w="174"/>
        <w:gridCol w:w="178"/>
        <w:gridCol w:w="109"/>
        <w:gridCol w:w="109"/>
        <w:gridCol w:w="109"/>
        <w:gridCol w:w="413"/>
        <w:gridCol w:w="413"/>
        <w:gridCol w:w="171"/>
        <w:gridCol w:w="109"/>
        <w:gridCol w:w="109"/>
        <w:gridCol w:w="109"/>
        <w:gridCol w:w="413"/>
        <w:gridCol w:w="413"/>
        <w:gridCol w:w="233"/>
        <w:gridCol w:w="109"/>
        <w:gridCol w:w="109"/>
        <w:gridCol w:w="109"/>
        <w:gridCol w:w="413"/>
        <w:gridCol w:w="413"/>
        <w:gridCol w:w="161"/>
        <w:gridCol w:w="109"/>
        <w:gridCol w:w="109"/>
        <w:gridCol w:w="109"/>
        <w:gridCol w:w="413"/>
        <w:gridCol w:w="413"/>
        <w:gridCol w:w="321"/>
        <w:gridCol w:w="109"/>
        <w:gridCol w:w="109"/>
        <w:gridCol w:w="109"/>
        <w:gridCol w:w="413"/>
        <w:gridCol w:w="413"/>
        <w:gridCol w:w="202"/>
      </w:tblGrid>
      <w:tr>
        <w:trPr/>
        <w:tc>
          <w:tcPr>
            <w:tcW w:w="101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Option Awards</w:t>
            </w:r>
          </w:p>
          <w:p>
            <w:pPr>
              <w:pStyle w:val="TableContents"/>
              <w:bidi w:val="0"/>
              <w:spacing w:lineRule="auto" w:line="288" w:before="0" w:after="0"/>
              <w:jc w:val="center"/>
              <w:rPr/>
            </w:pPr>
            <w:r>
              <w:rPr>
                <w:rFonts w:ascii="Times New Roman;serif" w:hAnsi="Times New Roman;serif"/>
                <w:b/>
                <w:color w:val="000000"/>
                <w:sz w:val="14"/>
              </w:rPr>
              <w:t xml:space="preserve">($)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All Other </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w:t>
            </w:r>
          </w:p>
        </w:tc>
      </w:tr>
      <w:tr>
        <w:trPr/>
        <w:tc>
          <w:tcPr>
            <w:tcW w:w="2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Dr. Raluca Dinu</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279,070 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638,801 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&amp; Class III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161,781 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797,675 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John Klock, M.D.,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Former President and Chief Executive Officer &amp; Chief Medical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Jay Jennings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530,593 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644,439 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Anastas Budagov</w:t>
            </w:r>
            <w:r>
              <w:rPr>
                <w:rFonts w:ascii="Times New Roman;serif" w:hAnsi="Times New Roman;serif"/>
                <w:b w:val="false"/>
                <w:color w:val="000000"/>
                <w:sz w:val="13"/>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290,846 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153,725 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507,904 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Former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302,595 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21,559 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509,683 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Consists of shares of Common Stock issuable upon vesting and exercise of stock options. The amounts in this column represent the aggregate grant date fair value computed in accordance with FASB ASC Topic 718.</w:t>
      </w:r>
    </w:p>
    <w:p>
      <w:pPr>
        <w:pStyle w:val="TextBody"/>
        <w:bidi w:val="0"/>
        <w:spacing w:lineRule="auto" w:line="288" w:before="0" w:after="6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On March 12, 2024, the Board appointed Dr. Raluca Dinu to serve as the Chief Executive Officer of the Company, effective immediately. Dr. Raluca Dinu’s base salary per her employment agreement, which the Board approved on March 18, 2024, effective as of March 12, 2024 was $470,000. On July 3, 2024, the Board approved the grant of 550,000 stock options to Dr. Raluca Dinu. The stock options have an exercise price of $0.748 per option and a grant date fair value of $0.47 per option. One-third of the stock options granted will vest on February 15, 2025, and the remaining two-thirds of the stock options will vest quarterly over a two year period thereafter.</w:t>
      </w:r>
    </w:p>
    <w:p>
      <w:pPr>
        <w:pStyle w:val="TextBody"/>
        <w:bidi w:val="0"/>
        <w:spacing w:lineRule="auto" w:line="288" w:before="0" w:after="60"/>
        <w:ind w:left="0" w:right="0" w:hanging="360"/>
        <w:jc w:val="left"/>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On August 22, 2025, the Board appointed Mr. Jay Jennings to serve as the Chief Financial Officer of the Company, effective September 2, 2025. Mr. Jennings’s base salary per his employment agreement, dated August 22, 2025 is $400,000. The CFO Employment Agreement provides for the grant of equity awards, in a form to be determined, in the amount of 325,000 shares of Common Stock, pursuant to and subject to the terms of Company’s Inducement Equity Incentive Plan, adopted on August 22, 2025.</w:t>
      </w:r>
    </w:p>
    <w:p>
      <w:pPr>
        <w:pStyle w:val="TextBody"/>
        <w:bidi w:val="0"/>
        <w:spacing w:lineRule="auto" w:line="288" w:before="0" w:after="60"/>
        <w:ind w:left="0" w:right="0" w:hanging="360"/>
        <w:jc w:val="left"/>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On March 12, 2024, the Board ratified the prior appointment of Mr. Budagov as the Company’s Chief Financial Officer. Mr. Budagov’s base salary per his employment agreement, which the Board approved on March 18, 2024, effective as of March 12, 2024 was $380,000. On July 3, 2024, the Board approved the grant of 325,000 stock options to Mr. Budagov. The stock options have an exercise price of $0.748 per option and a grant date fair value of $0.47 per option. One-third of the stock options granted will vest on February 15, 2025, and the remaining two-thirds of the stock options will vest quarterly over a two year period thereafter. During 2024, Mr. Budagov received a sign-on bonus of $63,333 in accordance with his employment agreement.</w:t>
      </w:r>
    </w:p>
    <w:p>
      <w:pPr>
        <w:pStyle w:val="TextBody"/>
        <w:bidi w:val="0"/>
        <w:spacing w:lineRule="auto" w:line="288" w:before="0" w:after="180"/>
        <w:ind w:left="0" w:right="0" w:hanging="360"/>
        <w:jc w:val="left"/>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Effective August 29, 2025, Anastas Budagov resigned from his full-time position as Chief Financial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Outstanding Equity Awards at Fiscal Year-End </w:t>
      </w:r>
    </w:p>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information concerning outstanding equity awards held by each of the Company’s NEOs as of December 31, 2025.</w:t>
      </w:r>
    </w:p>
    <w:tbl>
      <w:tblPr>
        <w:tblW w:w="8428" w:type="dxa"/>
        <w:jc w:val="left"/>
        <w:tblInd w:w="0" w:type="dxa"/>
        <w:tblLayout w:type="fixed"/>
        <w:tblCellMar>
          <w:top w:w="28" w:type="dxa"/>
          <w:left w:w="28" w:type="dxa"/>
          <w:bottom w:w="28" w:type="dxa"/>
          <w:right w:w="28" w:type="dxa"/>
        </w:tblCellMar>
      </w:tblPr>
      <w:tblGrid>
        <w:gridCol w:w="559"/>
        <w:gridCol w:w="489"/>
        <w:gridCol w:w="497"/>
        <w:gridCol w:w="109"/>
        <w:gridCol w:w="109"/>
        <w:gridCol w:w="109"/>
        <w:gridCol w:w="354"/>
        <w:gridCol w:w="354"/>
        <w:gridCol w:w="356"/>
        <w:gridCol w:w="109"/>
        <w:gridCol w:w="109"/>
        <w:gridCol w:w="109"/>
        <w:gridCol w:w="360"/>
        <w:gridCol w:w="361"/>
        <w:gridCol w:w="326"/>
        <w:gridCol w:w="109"/>
        <w:gridCol w:w="109"/>
        <w:gridCol w:w="109"/>
        <w:gridCol w:w="413"/>
        <w:gridCol w:w="413"/>
        <w:gridCol w:w="371"/>
        <w:gridCol w:w="109"/>
        <w:gridCol w:w="109"/>
        <w:gridCol w:w="109"/>
        <w:gridCol w:w="211"/>
        <w:gridCol w:w="511"/>
        <w:gridCol w:w="109"/>
        <w:gridCol w:w="109"/>
        <w:gridCol w:w="109"/>
        <w:gridCol w:w="109"/>
        <w:gridCol w:w="324"/>
        <w:gridCol w:w="324"/>
        <w:gridCol w:w="461"/>
      </w:tblGrid>
      <w:tr>
        <w:trPr/>
        <w:tc>
          <w:tcPr>
            <w:tcW w:w="55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r>
      <w:tr>
        <w:trPr/>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w:t>
              <w:b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w:t>
              <w:b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w:t>
              <w:br/>
              <w:t>Exercise</w:t>
              <w:br/>
              <w:t>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w:t>
              <w:br/>
              <w:t>Expiration</w:t>
              <w:br/>
              <w:t>Date</w:t>
            </w:r>
          </w:p>
        </w:tc>
      </w:tr>
      <w:tr>
        <w:trPr/>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Raluca Dinu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07/03/2024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07/03/2034</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07/03/2024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62,405 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07/03/2034</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07/03/2024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07/03/2034</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04/21/2025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04/21/2035</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04/21/2025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04/21/2035</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04/21/2025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58,437 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19,479 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04/21/2035</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08/11/2025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08/11/2035</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Jennings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09/02/2025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108,333 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09/02/2035</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Anastas Budagov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07/03/2024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02/13/2026</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07/03/2024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18,655 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02/13/2026</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04/21/2025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02/13/2026</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04/21/2025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02/13/2026</w:t>
            </w:r>
          </w:p>
        </w:tc>
      </w:tr>
    </w:tbl>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Employment Arrangements with Named Executive Officers</w:t>
      </w:r>
    </w:p>
    <w:p>
      <w:pPr>
        <w:pStyle w:val="TextBody"/>
        <w:bidi w:val="0"/>
        <w:spacing w:lineRule="auto" w:line="288" w:before="0" w:after="1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Employment Agreement with Dr. Raluca Dinu</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28, 2025, the Board approved an increase in the base salary and the target annual bonus for Dr. Raluca Dinu, the Company’s Chief Executive Officer, effective as of September 1, 2025. Prior to this increase, Dr. Dinu’s base salary was $470,000 per year and her target annual bonus was 65% of her salary, and effective as of September 1, 2025, Dr. Dinu’s base salary is $550,000 per year and her target annual bonus is 75% of her salary. In addition, on March 20, 2026, our Board approved an increase in the base salary for Dr. Dinu effective that same day to $605,000 per year.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12, 2024, the Board appointed Dr. Raluca Dinu, who is also a member of the Board, to be employed as its Acting Chief Executive Officer effective as of March 12, 2024. Dr. Dinu will report to the Board. On March 18, 2024, the Board approved an employment agreement (the “CEO Employment Agreement”) between Dr. Dinu and the Company, effective as of March 12, 2024, governing the terms of Dr. Dinu’s employment by the Company, which the Company and Dr. Dinu then entered into.</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terms of the CEO Employment Agreement, Dr. Dinu will be hired on an “at will” basis and shall serve as the Company’s Chief Executive Officer on an interim but full-time basis, performing her duties and responsibilities in such capacity. The CEO Employment Agreement provides that Dr. Dinu will serve as the Company’s Chief Executive Officer until the earlier of the twelve (12) month anniversary of the Effective Date or the date on which her employment is terminated in accordance with the terms of CEO Employment Agreement, but that the term of the CEO Employment Agreement may be renewed by written agreement between Dr. Dinu and the Company. Dr. Dinu’s employment is “at will” and terminable by the Company at any time and for any reason or no reason, including as a result of her death or disability, as provided in the CEO Employment Agreement, and with or without “cause”. Dr. Dinu may terminate her employment with the Company at any time and for any reason or no reason, including with or without “good reason”. Committee (hereinafter referred to as the “CEO Base Salary”). Such CEO Base Salary will be paid in accordance with the Company’s standard payroll practice. The CEO Base Salary will be reviewed annually and Dr. Dinu will be eligible to receive a salary increase annually, during the compensation cycle, in an amount to be determined by the Board or the Compensation Committee in its sole and exclusive discretion. Once adjusted, the new salary will become the CEO Base Salary for purposes of the CEO Employment Agreement.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 Dinu will, in accordance with Company policy and the terms of the applicable plan documents, be eligible to participate in benefits under any executive benefit plan or arrangement which may be in effect from time to time and made available to the Company’s executives or key management employees. Dr. Dinu will be eligible to accrue up to sixty days of paid time off per year, in accordance with the Company’s policies as in effect from time to time. The Company will pay or reimburse all reasonable, customary and necessary business expenses, subject to any maximum annual limit or other restrictions as set by the Board or its designated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pPr>
      <w:r>
        <w:rPr>
          <w:rFonts w:ascii="Times New Roman;serif" w:hAnsi="Times New Roman;serif"/>
          <w:b w:val="false"/>
          <w:color w:val="000000"/>
          <w:sz w:val="20"/>
          <w:shd w:fill="FFFFFF" w:val="clear"/>
        </w:rPr>
        <w:t>For each fiscal year of the Company (“</w:t>
      </w:r>
      <w:r>
        <w:rPr>
          <w:rFonts w:ascii="Times New Roman;serif" w:hAnsi="Times New Roman;serif"/>
          <w:b w:val="false"/>
          <w:i/>
          <w:color w:val="000000"/>
          <w:sz w:val="20"/>
        </w:rPr>
        <w:t>FY</w:t>
      </w:r>
      <w:r>
        <w:rPr>
          <w:color w:val="000000"/>
          <w:shd w:fill="FFFFFF" w:val="clear"/>
        </w:rPr>
        <w:t>”</w:t>
      </w:r>
      <w:r>
        <w:rPr>
          <w:rFonts w:ascii="Times New Roman;serif" w:hAnsi="Times New Roman;serif"/>
          <w:b w:val="false"/>
          <w:color w:val="000000"/>
          <w:sz w:val="20"/>
          <w:shd w:fill="FFFFFF" w:val="clear"/>
        </w:rPr>
        <w:t>) completed during the term of Dr. Dinu’s employment as Chief Executive Officer, Dr. Dinu shall have the opportunity to earn an annual bonus (“</w:t>
      </w:r>
      <w:r>
        <w:rPr>
          <w:rFonts w:ascii="Times New Roman;serif" w:hAnsi="Times New Roman;serif"/>
          <w:b w:val="false"/>
          <w:i/>
          <w:color w:val="000000"/>
          <w:sz w:val="20"/>
        </w:rPr>
        <w:t>CEO Annual Bonus</w:t>
      </w:r>
      <w:r>
        <w:rPr>
          <w:color w:val="000000"/>
          <w:shd w:fill="FFFFFF" w:val="clear"/>
        </w:rPr>
        <w:t>”</w:t>
      </w:r>
      <w:r>
        <w:rPr>
          <w:rFonts w:ascii="Times New Roman;serif" w:hAnsi="Times New Roman;serif"/>
          <w:b w:val="false"/>
          <w:color w:val="000000"/>
          <w:sz w:val="20"/>
          <w:shd w:fill="FFFFFF" w:val="clear"/>
        </w:rPr>
        <w:t>) under the executive incentive plan then applicable to executives of the Company generally, as in effect from time to time, with the actual amount of each CEO Annual Bonus being determined by the Board or its designated committee based on the achievement of target objectives established by the Board or its designated committee after consultation with Dr. Dinu, and for which the target of the CEO Annual Bonus is an amount equal to 65% of the annual Base Salary during the specific FY. Any CEO Annual Bonus due to Dr. Dinu will be payable not later than two and one-half months following the close of the FY for which the bonus was earned. Except as otherwise provided in the CEO Employment Agreement, Dr. Dinu must be employed on the date annual bonuses are paid under the Company’s executive incentive plan in order to be eligible to earn an CEO Annual Bonus for the preceding FY.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 Dinu shall also have the opportunity to earn a bonus (the “Special Achievement Bonus”) upon completion of acquisitions or sales (in each case, whether by merger, asset purchase or stock purchase, or any other method as approved by the Board), or other special activities that generate value to the Company as recognized by the Board or a designated committee of the Board, including, but not limited to, the Compensation Committee, as being eligible for such special achievement bonus. To the extent any of the mentioned above activities are recognized, in good faith, by the Board (or its designated committee) as being eligible for a Special Achievements Bonus, then Dr. Dinu shall have the right to present a proposed bonus structure to the Board, who shall consider the benefit of the activity to the Company’s stockholders, the nature of the activity, the benefits of the activity to the Company’s technology, business development, or cash position and such other factors as the Board and Dr. Dinu agree in good faith are relevant and appropriate. Whether any Special Achievement Bonus is paid and the amount of any such bonus, shall be in the sole discretion of the Board (or its designated committee).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CEO Employment Agreement provides for the grant of equity awards, in a form to be determined, in the amount of 550,000 shares of Common Stock to Dr. Dinu, pursuant to and subject to the terms of the Company’s 2024 Equity Incentive Plan (the “2024 EIP”), and subject to approval by the Board and the filing of an effective registration statement on Form S-8 by the Company. Any further equity awards shall be at the discretion of the Board or its designation committee. All of the outstanding and unvested awards held by Dr. Dinu shall vest in the event of a change in control, and if the awards require exercise, be exercisable for the duration of the maximum permitted exercise period as set forth in such grant or grants from the Board, and all of the remaining undelivered shares shall be delivered for such awards that are of stock units immediately prior to and contingent upon the change of control, to the extent delivery will not result in adverse Section 409A tax consequences.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event of a change in control, the Company will pay Dr. Dinu the following payments, subject to her continued service through the closing of such change of control transaction and her return of a release of claims: (i) to the extent not already paid, the target amount of the CEO Annual Bonus (the “Target Bonus”) for the entire FY in which the change in control occurs, and (ii) a lump sum equal to (A) two (2) years of (a) the CEO Base Salary in effect and (B) the average of the entire CEO Annual Bonuses and Special Achievement Bonuses paid to Dr. Dinu for the two FYs completed prior to the change of control, as applicable, or, if only one such FY has been completed, then based on the amount of the CEO Annual Bonus and the Special Achievement Bonus for such FY (the “CEO Bonus”) (not including however in calculating the Bonus, any Special Achievement Bonus payable for the change of control transaction shall not be included in determining the entire Annual Bonuses and Special Achievement Bonuses). The occurrence of a change of control will trigger the vesting of all outstanding, unvested awards held by Dr. Dinu and a potential tax equalization payment or gross-up payment which would place Dr. Dinu in the same after-tax position as if any excise tax penalty did not apply with respect to compensation received by Dr. Dinu in connection with such change in control. For the purposes of the CEO Employment Agreement, a “change of control” means the occurrence of one or more of the following: (i) any “Person” or “group,”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will pay Dr. Dinu a base salary at the initial annualized rate of $470,000 per year, subject to standard deductions and withholdings, or such other rate as may be determined from time to time by the Board or the Compensation within the meaning of Section 13(d)(3) or 14(d)(2) of the Exchange Act, other than the Company or any of its affiliates, becomes a beneficial owner, directly or indirectly, in one or a series of transactions, of securities representing fifty percent or more of the total number of votes that may be cast for the election of directors of the Company; (ii) the consummation of a merger or consolidation of the Company with any other person (other than a member of the Company and/or its affiliates),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of the total voting power represented by the voting securities of the Company or such surviving entity outstanding immediately after such merger or consolidation; (iii) within twelve months after a tender offer or exchange offer for voting securities of the Company (other than by the Company) the individuals who were directors of the Company immediately prior thereto shall cease to constitute a majority of the Board; or (iv) there occurs a closing of a sale or other disposition by the Company of all or substantially all of the assets of the Company other than to one or more of the Company’s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 Dinu would be entitled to receive certain compensation if her employment with the Company is terminated without “cause” or she resigns for “good reason” (as those terms are defined in the CEO Employment Agreement) in the absence of a change of control transaction, including (i) six months’ of her annual base salary then being paid, payable in equal monthly installments, (ii) a final pro-rated bonus for the period of the year that she has worked prior to termination, (iii) additional compensation equal to eighteen months of Dr. Dinu’s base salary then in effect plus two times the amount of the CEO Bonus (with “CEO Bonus” being defined as the average of the entire CEO Annual Bonuses and Special Achievement Bonuses (each, as defined in the CEO Employment Agreement) paid to Dr. Dinu for the two fiscal years completed prior to her termination), payable in a lump sum subject to certain conditions more fully described in the CEO Employment Agreement.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that Dr. Dinu’s employment is terminated as a result of her death, the Company shall pay to her estate within sixty days of the date of termination (the “Date of Termination”) (i) the CEO Base Salary earned but not paid as of the Date of Termination and any un-reimbursed business expenses (together, the “CEO Final Compensation”), (ii) twelve months’ CEO Base Salary in effect as of Date of Termination, (iii) the Target Bonus for the FY in which the Date of Termination occurs, and (iv) the full premium health and dental plan coverage for each of Dr. Dinu’s qualified beneficiaries for the later of the expiration of the term of the CEO Employment Agreement or one year following the Date of Termination, or until COBRA is no longer available to such beneficiaries (the “Beneficiary Benefits”).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Dr. Dinu’s employment is terminated as a result of a disability (as defined in the CEO Employment Agreement), then, in addition to the Final Compensation, payable as a lump sum as of March 15th of the year following the Date of Termination, the Company will pay Dr. Dinu a pro-rated CEO Annual Bonus for the year during which the Date of Termination takes place, as determined by the Board, and the Beneficiary Benefits.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that Dr. Dinu is terminated with “cause” (as is defined in the CEO Employment Agreement), then the Company shall make no payments to Dr. Dinu other than provision of the CEO Final Compensation, payable no later than ten days after the Date of Termination. Any equity in the Company held by Dr. Dinu in such case shall be governed by the terms of the Company’s equity incentive plans.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Company terminates Dr. Dinu or Dr. Dinu terminates her employment for any reason, and a change in control has occurred within twelve months prior to the Date of Termination, then subject to Dr. Dinu’s providing a release of claims and compliance with surviving obligations, including confidentiality, the Company shall provide health and dental plan coverage for Dr. Dinu and her beneficiaries for at most two years.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Dr. Dinu terminates her employment upon sixty days’ notice, other than for “good reason” and a change in control has not occurred, if the Board so elects, the Company will pay her the CEO Base Salary for the initial sixty days of the notice period in accordance with usual payroll practices.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Concurrent with the CEO Employment Agreement and as a condition thereof, Dr. Dinu entered into a Proprietary Information and Inventions Agreement, which relates to the protection of confidential information of the Company and the ownership by the Company of proprietary information and patents and other intellectual property.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CEO Employment Agreement, the Company has agreed to indemnify Dr. Dinu in accordance with the bylaws and articles of organization of the Company in effect at the time indemnification is applicable, with Dr. Dinu agreeing to provide the Company with prompt notice of any actual or threated claim arising out of her employment. The Company shall also provide Dr. Dinu with the same coverage under any directors and officers liability insurance that the Company elects to maintain as it provides to its other executives, and the same as is provided other former executives, after the termination of her employment.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Employment Agreement with Jay Jennings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22, 2025, the Board appointed Jay Jennings to be employed as its Chief Financial Officer, effective as of September 2, 2025. Mr. Jennings will report to the Board. On August 22, 2025, the Board approved an employment agreement (the “CFO Employment Agreement”) between Mr. Jennings and the Company, which the Company and Mr. Jennings executed that same day, to be effective as of September 2, 2025, governing the terms of Mr. Jennings’s employment by the Company, which the Company and Mr. Jennings then entered into.</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terms of the CFO Employment Agreement, Mr. Jennings shall serve as the Company’s Chief Financial Officer, performing his duties and responsibilities in such capacity. Mr. Jennings’s employment is “at will” and terminable by the Company or Mr. Jennings at any time and for any reason or no reason, subject to severance provisions described below.</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will pay Mr. Jennings a base salary at the initial annualized rate of $400,000 per year, subject to standard deductions and withholdings, or such other rate as may be determined from time to time by the Board or the Compensation Committee (hereinafter referred to as the “CFO Base Salary”). Such CFO Base Salary will be paid in accordance with the Company’s standard payroll practice. The CFO Base Salary will be reviewed annually and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Jennings will be eligible to receive a salary increase annually, during the compensation cycle, in an amount to be determined by the Board or the Compensation Committee in its sole and exclusive discretion. Once adjusted, the new salary will become the CFO Base Salary for purposes of the CFO Employment Agreement.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Jennings will, in accordance with Company policy and the terms of the applicable plan documents, be eligible to participate in benefits under any executive benefit plan or arrangement which may be in effect from time to time and made available to the Company’s executives or key management employees.</w:t>
      </w:r>
    </w:p>
    <w:p>
      <w:pPr>
        <w:pStyle w:val="TextBody"/>
        <w:bidi w:val="0"/>
        <w:spacing w:lineRule="auto" w:line="288" w:before="0" w:after="180"/>
        <w:jc w:val="left"/>
        <w:rPr/>
      </w:pPr>
      <w:r>
        <w:rPr>
          <w:rFonts w:ascii="Times New Roman;serif" w:hAnsi="Times New Roman;serif"/>
          <w:b w:val="false"/>
          <w:color w:val="000000"/>
          <w:sz w:val="20"/>
          <w:shd w:fill="FFFFFF" w:val="clear"/>
        </w:rPr>
        <w:t>For each calendar year Mr. Jennings is employed by the Company, Mr. Jennings shall have the opportunity to earn an annual bonus (“</w:t>
      </w:r>
      <w:r>
        <w:rPr>
          <w:rFonts w:ascii="Times New Roman;serif" w:hAnsi="Times New Roman;serif"/>
          <w:b w:val="false"/>
          <w:i/>
          <w:color w:val="000000"/>
          <w:sz w:val="20"/>
        </w:rPr>
        <w:t>CFO Annual Bonus</w:t>
      </w:r>
      <w:r>
        <w:rPr>
          <w:color w:val="000000"/>
          <w:shd w:fill="FFFFFF" w:val="clear"/>
        </w:rPr>
        <w:t>”</w:t>
      </w:r>
      <w:r>
        <w:rPr>
          <w:rFonts w:ascii="Times New Roman;serif" w:hAnsi="Times New Roman;serif"/>
          <w:b w:val="false"/>
          <w:color w:val="000000"/>
          <w:sz w:val="20"/>
          <w:shd w:fill="FFFFFF" w:val="clear"/>
        </w:rPr>
        <w:t>) under the executive incentive plan then applicable to executives of the Company generally, with the actual amount of each CFO Annual Bonus being determined by the Board or its designated committee based on the achievement of target objectives established by the Board or its designated committee, and for which the target of the CFO Annual Bonus is an amount equal to 45% of the annual CFO Base Salary during the specific calendar year. Any CFO Annual Bonus payable to Mr. Jennings will be payable not later than two and one-half months following the close of the calendar year to which it pertains. Except as otherwise provided in the CFO Employment Agreement, Mr. Jennings must be employed on the date annual bonuses are paid in order to be eligible and earn a CFO Annual Bonus for the calendar year to which the bonus pertains.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CFO Employment Agreement provides for the grant of equity awards, in a form to be determined, in the amount of 325,000 shares of Common Stock to Mr. Jennings, pursuant to and subject to the terms of the Company’s Inducement Equity Incentive Plan, adopted on August 22, 2025, subject to approval by the Board and the filing of an effective registration statement on Form S-8 by the Company.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a Change in Control (as defined in the CFO Employment Agreement), the Company will grant to Mr. Jennings the following, subject to his continued service through the closing of such change of control transaction and effectiveness of a release of claims in favor of the Company: (i) an amount equal to nine months of his then-current CFO Base Salary, (ii) to the extent not already paid, a pro-rated CFO Annual Bonus for the calendar year in which the termination occurs, (iii) if participating in the Company’s health benefits, coverage for his insurance premium, including any amounts that the Company paid for benefits to his qualified family members, until the earlier of (A) nine months following his termination date or (B) the date on which Mr. Jennings begins full</w:t>
        <w:noBreakHyphen/>
        <w:t>time employment with another company or business entity offering comparable health insurance coverage, and (iv) notwithstanding anything in the applicable option agreement or stock-based award agreement, immediate acceleration of all stock options and other stock-based awards. For purposes of the CFO Employment Agreement, a “Change in Control” means the occurrence of one or more of the following: (i) 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(ii) an Ownership Change Event or series of related Ownership Change Events (collectively, a “Transaction”)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 of the CFO Employment Agreement, the entity to which the assets of the Company were transferred, as the case may be and (iii) a date specified by the Committee following approval by the stockholders of a plan of complete liquidation or dissolution of the Company; provided, however, that a Change in Control shall be deemed not to include a transaction described in subsections (i) or (ii) of Section 2.1(h) of the CFO Employment Agreement in which a majority of the members of the board of directors of the continuing, surviving or successor entity, or parent thereof, immediately after such transaction is comprised of Incumbent Directors.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Mr. Jennings would be eligible to receive certain severance compensation if his employment with the Company is terminated without “Cause” of if he resigns for “Good Reason” (as those terms are defined in the CFO Employment Agreement) in the absence of a Change of Control transaction, conditioned upon effectiveness of a release of claims in favor of the Company. The severance comprises (i) nine months of his then-current annual base salary, payable in equal monthly installments over nine months following the date on which the release of claims becomes effective, (ii) if participating in the Company’s health benefits, coverage for his insurance premium, including any amounts that the Company paid for benefits to his qualified family members, until the earlier of (A) the date that is nine months from his termination date or (B) the date on which Mr. Jennings begins full-time employment with another company or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entity offering comparable health insurance coverage, and (iii), immediate vesting of equity awards through the next scheduled vesting date for such equity awards following the date on which the release of claims becomes effective.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Concurrent with the CFO Employment Agreement and as a condition thereof, Mr. Jennings entered into a Proprietary Information and Inventions Agreement, which relates to the protection of confidential information of the Company and the ownership by the Company of proprietary information and patents and other intellectual property.</w:t>
      </w:r>
    </w:p>
    <w:p>
      <w:pPr>
        <w:pStyle w:val="TextBody"/>
        <w:bidi w:val="0"/>
        <w:spacing w:lineRule="auto" w:line="288" w:before="0" w:after="1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Director Compensation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compensation earned for services performed for us as a director by each member of our Board as of December 31, 2025, other than any directors who are also our NEOs, during the year ended December 31, 2025.</w:t>
      </w:r>
    </w:p>
    <w:tbl>
      <w:tblPr>
        <w:tblW w:w="8971" w:type="dxa"/>
        <w:jc w:val="left"/>
        <w:tblInd w:w="0" w:type="dxa"/>
        <w:tblLayout w:type="fixed"/>
        <w:tblCellMar>
          <w:top w:w="28" w:type="dxa"/>
          <w:left w:w="28" w:type="dxa"/>
          <w:bottom w:w="28" w:type="dxa"/>
          <w:right w:w="28" w:type="dxa"/>
        </w:tblCellMar>
      </w:tblPr>
      <w:tblGrid>
        <w:gridCol w:w="760"/>
        <w:gridCol w:w="667"/>
        <w:gridCol w:w="672"/>
        <w:gridCol w:w="109"/>
        <w:gridCol w:w="109"/>
        <w:gridCol w:w="109"/>
        <w:gridCol w:w="774"/>
        <w:gridCol w:w="774"/>
        <w:gridCol w:w="777"/>
        <w:gridCol w:w="109"/>
        <w:gridCol w:w="109"/>
        <w:gridCol w:w="109"/>
        <w:gridCol w:w="413"/>
        <w:gridCol w:w="413"/>
        <w:gridCol w:w="221"/>
        <w:gridCol w:w="109"/>
        <w:gridCol w:w="109"/>
        <w:gridCol w:w="109"/>
        <w:gridCol w:w="380"/>
        <w:gridCol w:w="380"/>
        <w:gridCol w:w="381"/>
        <w:gridCol w:w="109"/>
        <w:gridCol w:w="109"/>
        <w:gridCol w:w="109"/>
        <w:gridCol w:w="413"/>
        <w:gridCol w:w="413"/>
        <w:gridCol w:w="225"/>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Fees earned or paid in cash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88" w:before="0" w:after="0"/>
              <w:jc w:val="center"/>
              <w:rPr/>
            </w:pPr>
            <w:r>
              <w:rPr>
                <w:rFonts w:ascii="Times New Roman;serif" w:hAnsi="Times New Roman;serif"/>
                <w:b/>
                <w:color w:val="000000"/>
                <w:sz w:val="16"/>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Dr. Avi S. Katz</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194,442 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Dr. John C. Klock</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 (Class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87,321 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Ross Taylor</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 (Class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62,250 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129,188 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Daniel Dickson</w:t>
            </w:r>
            <w:r>
              <w:rPr>
                <w:rFonts w:ascii="Times New Roman;serif" w:hAnsi="Times New Roman;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 (Class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42,250 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91,329 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James Greene</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 (Class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59,500 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Professor Zeev Weiner</w:t>
            </w:r>
            <w:r>
              <w:rPr>
                <w:rFonts w:ascii="Times New Roman;serif" w:hAnsi="Times New Roman;serif"/>
                <w:b w:val="false"/>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 (Class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57,250 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106,329 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w:t>
      </w:r>
    </w:p>
    <w:p>
      <w:pPr>
        <w:pStyle w:val="TextBody"/>
        <w:bidi w:val="0"/>
        <w:spacing w:lineRule="auto" w:line="288" w:before="0" w:after="6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Consists of shares of Common Stock of the Company issuable upon vesting and exercise of stock options. The amounts in this column represent the aggregate grant date fair value computed in accordance with FASB ASC Topic 718.</w:t>
      </w:r>
    </w:p>
    <w:p>
      <w:pPr>
        <w:pStyle w:val="TextBody"/>
        <w:bidi w:val="0"/>
        <w:spacing w:lineRule="auto" w:line="288" w:before="0" w:after="60"/>
        <w:ind w:left="0" w:right="0" w:hanging="360"/>
        <w:jc w:val="left"/>
        <w:rPr/>
      </w:pPr>
      <w:r>
        <w:rPr>
          <w:rFonts w:ascii="Times New Roman;serif" w:hAnsi="Times New Roman;serif"/>
          <w:b w:val="false"/>
          <w:color w:val="000000"/>
          <w:sz w:val="20"/>
        </w:rPr>
        <w:t>(2)</w:t>
      </w:r>
      <w:r>
        <w:rPr>
          <w:color w:val="000000"/>
          <w:shd w:fill="FFFFFF" w:val="clear"/>
        </w:rPr>
        <w:t>“</w:t>
      </w:r>
      <w:r>
        <w:rPr>
          <w:rFonts w:ascii="Times New Roman;serif" w:hAnsi="Times New Roman;serif"/>
          <w:b w:val="false"/>
          <w:color w:val="000000"/>
          <w:sz w:val="20"/>
          <w:shd w:fill="FFFFFF" w:val="clear"/>
        </w:rPr>
        <w:t>Fees earned or paid in cash” consists of cash paid in the 2025 fiscal year including $30,000 for services as a director and $35,000 as consideration for serving as the Chairman of the Board. “Option Awards” consist of (i) 77,916 stock options granted on April 21, 2025 with four equal quarterly vesting starting May 15, 2025 and (ii) 8,333 stock options granted on August 11, 2025 with one-third vesting on August 15, 2026 and remaining two</w:t>
        <w:noBreakHyphen/>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pStyle w:val="TextBody"/>
        <w:bidi w:val="0"/>
        <w:spacing w:lineRule="auto" w:line="288" w:before="0" w:after="60"/>
        <w:ind w:left="0" w:right="0" w:hanging="360"/>
        <w:jc w:val="left"/>
        <w:rPr/>
      </w:pPr>
      <w:r>
        <w:rPr>
          <w:rFonts w:ascii="Times New Roman;serif" w:hAnsi="Times New Roman;serif"/>
          <w:b w:val="false"/>
          <w:color w:val="000000"/>
          <w:sz w:val="20"/>
        </w:rPr>
        <w:t>(3)</w:t>
      </w:r>
      <w:r>
        <w:rPr>
          <w:color w:val="000000"/>
          <w:shd w:fill="FFFFFF" w:val="clear"/>
        </w:rPr>
        <w:t>“</w:t>
      </w:r>
      <w:r>
        <w:rPr>
          <w:rFonts w:ascii="Times New Roman;serif" w:hAnsi="Times New Roman;serif"/>
          <w:b w:val="false"/>
          <w:color w:val="000000"/>
          <w:sz w:val="20"/>
          <w:shd w:fill="FFFFFF" w:val="clear"/>
        </w:rPr>
        <w:t>Fees earned or paid in cash” consists of cash paid in the 2025 fiscal year including $30,000 for services as a director and $29,500 as consideration for services on special board committee. “Option Awards” consist of 8,333 stock options granted on August 11, 2025 with one-third vesting on August 15, 2026 and remaining two</w:t>
        <w:noBreakHyphen/>
        <w:t>thirds vesting quarterly over two years thereafter. The stock options granted on August 11, 2025 have an exercise price of $5.70 per option and a grant date fair value of $6.00 per option. “All Other Compensation” consists of $26,100 cash paid in the 2025 fiscal year for consulting service completed in the 2024 fiscal year.</w:t>
      </w:r>
    </w:p>
    <w:p>
      <w:pPr>
        <w:pStyle w:val="TextBody"/>
        <w:bidi w:val="0"/>
        <w:spacing w:lineRule="auto" w:line="288" w:before="0" w:after="60"/>
        <w:ind w:left="0" w:right="0" w:hanging="360"/>
        <w:jc w:val="left"/>
        <w:rPr/>
      </w:pPr>
      <w:r>
        <w:rPr>
          <w:rFonts w:ascii="Times New Roman;serif" w:hAnsi="Times New Roman;serif"/>
          <w:b w:val="false"/>
          <w:color w:val="000000"/>
          <w:sz w:val="20"/>
        </w:rPr>
        <w:t>(4)</w:t>
      </w:r>
      <w:r>
        <w:rPr>
          <w:color w:val="000000"/>
          <w:shd w:fill="FFFFFF" w:val="clear"/>
        </w:rPr>
        <w:t>“</w:t>
      </w:r>
      <w:r>
        <w:rPr>
          <w:rFonts w:ascii="Times New Roman;serif" w:hAnsi="Times New Roman;serif"/>
          <w:b w:val="false"/>
          <w:color w:val="000000"/>
          <w:sz w:val="20"/>
          <w:shd w:fill="FFFFFF" w:val="clear"/>
        </w:rPr>
        <w:t>Fees earned or paid in cash” consists of cash paid in the 2025 fiscal year including $30,000 for services as a director and $32,250 as consideration for services on special board committee. “Option Awards” consist of (i) 28,333 stock options granted on April 21, 2025 with four equal quarterly vesting starting May 15, 2025 and (ii) 8,333 stock options granted on August 11, 2025 with one-third vesting on August 15, 2026 and remaining two</w:t>
        <w:noBreakHyphen/>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pStyle w:val="TextBody"/>
        <w:bidi w:val="0"/>
        <w:spacing w:lineRule="auto" w:line="288" w:before="0" w:after="60"/>
        <w:ind w:left="0" w:right="0" w:hanging="360"/>
        <w:jc w:val="left"/>
        <w:rPr/>
      </w:pPr>
      <w:r>
        <w:rPr>
          <w:rFonts w:ascii="Times New Roman;serif" w:hAnsi="Times New Roman;serif"/>
          <w:b w:val="false"/>
          <w:color w:val="000000"/>
          <w:sz w:val="20"/>
        </w:rPr>
        <w:t>(5)</w:t>
      </w:r>
      <w:r>
        <w:rPr>
          <w:color w:val="000000"/>
          <w:shd w:fill="FFFFFF" w:val="clear"/>
        </w:rPr>
        <w:t>“</w:t>
      </w:r>
      <w:r>
        <w:rPr>
          <w:rFonts w:ascii="Times New Roman;serif" w:hAnsi="Times New Roman;serif"/>
          <w:b w:val="false"/>
          <w:color w:val="000000"/>
          <w:sz w:val="20"/>
          <w:shd w:fill="FFFFFF" w:val="clear"/>
        </w:rPr>
        <w:t>Fees earned or paid in cash” consists of cash paid in the 2025 fiscal year including $30,000 for services as a director and $12,250 as consideration for services on special board committee. “Option Awards” consist of (i) 14,166 stock options granted on April 21, 2025 with four equal quarterly vesting starting May 15, 2025 and (ii) 8,333 stock options granted on August 11, 2025 with one-third vesting on August 15, 2026 and remaining two</w:t>
        <w:noBreakHyphen/>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left"/>
        <w:rPr/>
      </w:pPr>
      <w:r>
        <w:rPr>
          <w:rFonts w:ascii="Times New Roman;serif" w:hAnsi="Times New Roman;serif"/>
          <w:b w:val="false"/>
          <w:color w:val="000000"/>
          <w:sz w:val="20"/>
        </w:rPr>
        <w:t>(6)</w:t>
      </w:r>
      <w:r>
        <w:rPr>
          <w:color w:val="000000"/>
          <w:shd w:fill="FFFFFF" w:val="clear"/>
        </w:rPr>
        <w:t>“</w:t>
      </w:r>
      <w:r>
        <w:rPr>
          <w:rFonts w:ascii="Times New Roman;serif" w:hAnsi="Times New Roman;serif"/>
          <w:b w:val="false"/>
          <w:color w:val="000000"/>
          <w:sz w:val="20"/>
          <w:shd w:fill="FFFFFF" w:val="clear"/>
        </w:rPr>
        <w:t>Fees earned or paid in cash” consists of cash paid in the 2025 fiscal year including $30,000 for services as a director and $29,500 as consideration for services on special board committee. “Option Awards” consist of (i) 70,833 stock options granted on April 21, 2025 with four equal quarterly vesting starting May 15, 2025 and (ii) 8,333 stock options granted on August 11, 2025 with one-third vesting on August 15, 2026 and remaining two</w:t>
        <w:noBreakHyphen/>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pStyle w:val="TextBody"/>
        <w:bidi w:val="0"/>
        <w:spacing w:lineRule="auto" w:line="288" w:before="0" w:after="180"/>
        <w:ind w:left="0" w:right="0" w:hanging="360"/>
        <w:jc w:val="left"/>
        <w:rPr/>
      </w:pPr>
      <w:r>
        <w:rPr>
          <w:rFonts w:ascii="Times New Roman;serif" w:hAnsi="Times New Roman;serif"/>
          <w:b w:val="false"/>
          <w:color w:val="000000"/>
          <w:sz w:val="20"/>
        </w:rPr>
        <w:t>(7)</w:t>
      </w:r>
      <w:r>
        <w:rPr>
          <w:color w:val="000000"/>
          <w:shd w:fill="FFFFFF" w:val="clear"/>
        </w:rPr>
        <w:t>“</w:t>
      </w:r>
      <w:r>
        <w:rPr>
          <w:rFonts w:ascii="Times New Roman;serif" w:hAnsi="Times New Roman;serif"/>
          <w:b w:val="false"/>
          <w:color w:val="000000"/>
          <w:sz w:val="20"/>
          <w:shd w:fill="FFFFFF" w:val="clear"/>
        </w:rPr>
        <w:t>Fees earned or paid in cash” consists of cash paid in the 2025 fiscal year including $30,000 for services as a director and $27,250 as consideration for services on special board committee. “Option Awards” consist of (i) 14,166 stock options granted on April 21, 2025 with four equal quarterly vesting starting May 15, 2025 and (ii) 8,333 stock options granted on August 11, 2025 with one-third vesting on August 15, 2026 and remaining two</w:t>
        <w:noBreakHyphen/>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pStyle w:val="TextBody"/>
        <w:bidi w:val="0"/>
        <w:spacing w:lineRule="auto" w:line="288" w:before="0" w:after="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Rule 10b5-1 Sales Plans</w:t>
      </w:r>
    </w:p>
    <w:p>
      <w:pPr>
        <w:pStyle w:val="TextBody"/>
        <w:bidi w:val="0"/>
        <w:spacing w:lineRule="auto" w:line="288"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pStyle w:val="TextBody"/>
        <w:bidi w:val="0"/>
        <w:spacing w:lineRule="auto" w:line="288" w:before="0" w:after="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Emerging Growth Company Status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RELATIONSHIPS AND RELATED TRANSACTIONS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GigCapital5 Related Agreements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GigCapital5 Registration Rights Agreement </w:t>
      </w:r>
    </w:p>
    <w:p>
      <w:pPr>
        <w:pStyle w:val="TextBody"/>
        <w:bidi w:val="0"/>
        <w:spacing w:lineRule="auto" w:line="288" w:before="0" w:after="180"/>
        <w:jc w:val="both"/>
        <w:rPr/>
      </w:pPr>
      <w:r>
        <w:rPr>
          <w:rFonts w:ascii="Times New Roman;serif" w:hAnsi="Times New Roman;serif"/>
          <w:b w:val="false"/>
          <w:color w:val="000000"/>
          <w:sz w:val="20"/>
        </w:rPr>
        <w:t xml:space="preserve">In connection with the Business Combination, at the closing, the Company, GigAcquisitions5 and certain securityholders of GigCapital5 and QT Imaging entered into the GigCapital5 Registration Rights Agreement. In addition, pursuant to the terms of the GigCapital5 Registration Rights Agreement and subject to certain requirements and customary conditions, such securityholders may demand at any time or from time to time, that the Company file a registration statement on Form S-3 (or any similar short-form registration which may be available) to register the resale of the registrable securities of the Company held by such securityholders. The GigCapital5 Registration Rights Agreement provides these securityholders (and their permitted transferees) with the right to require the Company, at the Company’s expense, to register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that they hold on customary terms, including customary demand and piggyback registration rights. The GigCapital5 Registration Rights Agreement also provides that the Company pay certain expenses of the electing holders relating to such registrations and indemnify them against certain liabilities that may arise under the Securities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GigCapital5 Registration Rights Agreement, the Company will indemnify such securityholders and certain persons or entities related to such securityholders such as their officers, employees, directors, and agents against any losses or damages resulting from any untrue or alleged untrue statement, or omission or alleged omission, of a material fact in any registration statement or prospectus pursuant to which the securityholders sell their registrable securities, unless such liability arose from such securityholder’s misstatement or alleged misstatement, or omission or alleged omission, and the securityholders including registrable securities in any registration statement or prospectus will indemnify the Company and certain persons or entities related to the Company such as its officers and directors and underwriters against all losses caused by their misstatements or omissions (or alleged misstatements or omissions) in those documents.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registered securities for resale in accordance with the terms of the GigCapital5 Registration Rights Agreement in a registration statement on Form S-1 that was declared effective by the SEC on May 22, 2024.</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Working Capital Notes </w:t>
      </w:r>
    </w:p>
    <w:p>
      <w:pPr>
        <w:pStyle w:val="TextBody"/>
        <w:bidi w:val="0"/>
        <w:spacing w:lineRule="auto" w:line="288" w:before="0" w:after="180"/>
        <w:jc w:val="both"/>
        <w:rPr/>
      </w:pPr>
      <w:r>
        <w:rPr>
          <w:rFonts w:ascii="Times New Roman;serif" w:hAnsi="Times New Roman;serif"/>
          <w:b w:val="false"/>
          <w:color w:val="000000"/>
          <w:sz w:val="20"/>
        </w:rPr>
        <w:t>On December 13, 2023, GigCapital5 issued that certain Eleventh Amended and Restated Working Capital Note (the “</w:t>
      </w:r>
      <w:r>
        <w:rPr>
          <w:rFonts w:ascii="Times New Roman;serif" w:hAnsi="Times New Roman;serif"/>
          <w:b w:val="false"/>
          <w:i/>
          <w:color w:val="000000"/>
          <w:sz w:val="20"/>
        </w:rPr>
        <w:t>Working Capital Note</w:t>
      </w:r>
      <w:r>
        <w:rPr>
          <w:color w:val="000000"/>
        </w:rPr>
        <w:t>”</w:t>
      </w:r>
      <w:r>
        <w:rPr>
          <w:rFonts w:ascii="Times New Roman;serif" w:hAnsi="Times New Roman;serif"/>
          <w:b w:val="false"/>
          <w:color w:val="000000"/>
          <w:sz w:val="20"/>
        </w:rPr>
        <w:t>) to GigAcquisitions5 for an aggregate principal amount of $1,500,000, the terms of which provide that GigAcquisitions5 may elect to convert the Working Capital Note, at a price of $10.00 per unit, into units identical to the private placement units issued in connection with GigCapital5’s initial public offering. In connection with the closing, (i) GigAcquisitions5 elected to partially convert (the “</w:t>
      </w:r>
      <w:r>
        <w:rPr>
          <w:rFonts w:ascii="Times New Roman;serif" w:hAnsi="Times New Roman;serif"/>
          <w:b w:val="false"/>
          <w:i/>
          <w:color w:val="000000"/>
          <w:sz w:val="20"/>
        </w:rPr>
        <w:t>Conversion</w:t>
      </w:r>
      <w:r>
        <w:rPr>
          <w:color w:val="000000"/>
        </w:rPr>
        <w:t>”</w:t>
      </w:r>
      <w:r>
        <w:rPr>
          <w:rFonts w:ascii="Times New Roman;serif" w:hAnsi="Times New Roman;serif"/>
          <w:b w:val="false"/>
          <w:color w:val="000000"/>
          <w:sz w:val="20"/>
        </w:rPr>
        <w:t xml:space="preserve">) $943,640 in principal balance outstanding under the Working Capital Note into 94,364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and 94,364 GigAcquisitions5’s private warrants of the Company, and (ii) the Company repaid the remaining principal balance of $556,360 to GigAcquisitions5 concurrently with the Conversion, such that the Company’s obligations under the Working Capital Note have been satisfied in full. In addition, on December 13, 2023, GigAcquisitions5 made an additional, unsecured, loan in the principal amount of $66,360 to GigAcquisitions5 (the “</w:t>
      </w:r>
      <w:r>
        <w:rPr>
          <w:rFonts w:ascii="Times New Roman;serif" w:hAnsi="Times New Roman;serif"/>
          <w:b w:val="false"/>
          <w:i/>
          <w:color w:val="000000"/>
          <w:sz w:val="20"/>
        </w:rPr>
        <w:t>Non-Convertible Working Capital Note</w:t>
      </w:r>
      <w:r>
        <w:rPr>
          <w:color w:val="000000"/>
        </w:rPr>
        <w:t>”</w:t>
      </w:r>
      <w:r>
        <w:rPr>
          <w:rFonts w:ascii="Times New Roman;serif" w:hAnsi="Times New Roman;serif"/>
          <w:b w:val="false"/>
          <w:color w:val="000000"/>
          <w:sz w:val="20"/>
        </w:rPr>
        <w:t>). The Non-Convertible Working Capital Note was issued to provide the Company with additional working capital and was not deposited into the Trust Account. On February 7, 2024, the Company amended and restated the Non-Convertible Working Capital Note (the “Second Non-Convertible Working Capital Note”) to reflect an additional principal amount of $195,887 extended by GigAcquisitions5 to the Company for a collective principal amount under the Second Non-Convertible Working Capital Note of $262,247. The Second Non-Convertible Working Capital Note was issued to provide the Company with additional working capital and was not deposited into the Trust Account. The Company issued the Second Non</w:t>
        <w:noBreakHyphen/>
        <w:t xml:space="preserve">Convertible Working Capital Note in consideration for an additional loan from GigAcquisitions5 to fund the Company’s working capital requirements.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Extension Note </w:t>
      </w:r>
    </w:p>
    <w:p>
      <w:pPr>
        <w:pStyle w:val="TextBody"/>
        <w:bidi w:val="0"/>
        <w:spacing w:lineRule="auto" w:line="288" w:before="0" w:after="180"/>
        <w:jc w:val="both"/>
        <w:rPr/>
      </w:pPr>
      <w:r>
        <w:rPr>
          <w:rFonts w:ascii="Times New Roman;serif" w:hAnsi="Times New Roman;serif"/>
          <w:b w:val="false"/>
          <w:color w:val="000000"/>
          <w:sz w:val="20"/>
        </w:rPr>
        <w:t>On August 28, 2023, GigCapital5 issued that certain non-convertible Eleventh Amended and Restated Promissory Note (as amended, the “</w:t>
      </w:r>
      <w:r>
        <w:rPr>
          <w:rFonts w:ascii="Times New Roman;serif" w:hAnsi="Times New Roman;serif"/>
          <w:b w:val="false"/>
          <w:i/>
          <w:color w:val="000000"/>
          <w:sz w:val="20"/>
        </w:rPr>
        <w:t>Extension Note</w:t>
      </w:r>
      <w:r>
        <w:rPr>
          <w:color w:val="000000"/>
        </w:rPr>
        <w:t>”</w:t>
      </w:r>
      <w:r>
        <w:rPr>
          <w:rFonts w:ascii="Times New Roman;serif" w:hAnsi="Times New Roman;serif"/>
          <w:b w:val="false"/>
          <w:color w:val="000000"/>
          <w:sz w:val="20"/>
        </w:rPr>
        <w:t>) to GigAcquisitions5 for an aggregate principal amount of $1,560,000. On March 4, 2024, the Company and GigAcquisitions5 agreed to amend and restate the Extension Note to extend the date of maturity until March 4, 2025. On November 22, 2024, GigAcquisitions5 exchanged the Extension Note for the purchase of PIPE Shares and PIPE Warrants in the Private Placement.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QT Imaging Related Agreements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QTI Working Capital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In July 2020, QT Imaging, Inc. issued a convertible promissory note to Dr. John Klock that was amended on September 1, 2022 and November 14, 2022 (the “</w:t>
      </w:r>
      <w:r>
        <w:rPr>
          <w:rFonts w:ascii="Times New Roman;serif" w:hAnsi="Times New Roman;serif"/>
          <w:b w:val="false"/>
          <w:i/>
          <w:color w:val="000000"/>
          <w:sz w:val="20"/>
        </w:rPr>
        <w:t>2022 Klock Note</w:t>
      </w:r>
      <w:r>
        <w:rPr>
          <w:color w:val="000000"/>
        </w:rPr>
        <w:t>”</w:t>
      </w:r>
      <w:r>
        <w:rPr>
          <w:rFonts w:ascii="Times New Roman;serif" w:hAnsi="Times New Roman;serif"/>
          <w:b w:val="false"/>
          <w:color w:val="000000"/>
          <w:sz w:val="20"/>
        </w:rPr>
        <w:t>), for a principal amount of $2,643,725. In addition, on May 3, 2023, QT Imaging, Inc. issued a promissory note (the “</w:t>
      </w:r>
      <w:r>
        <w:rPr>
          <w:rFonts w:ascii="Times New Roman;serif" w:hAnsi="Times New Roman;serif"/>
          <w:b w:val="false"/>
          <w:i/>
          <w:color w:val="000000"/>
          <w:sz w:val="20"/>
        </w:rPr>
        <w:t>QTI Working Capital Note</w:t>
      </w:r>
      <w:r>
        <w:rPr>
          <w:color w:val="000000"/>
        </w:rPr>
        <w:t>”</w:t>
      </w:r>
      <w:r>
        <w:rPr>
          <w:rFonts w:ascii="Times New Roman;serif" w:hAnsi="Times New Roman;serif"/>
          <w:b w:val="false"/>
          <w:color w:val="000000"/>
          <w:sz w:val="20"/>
        </w:rPr>
        <w:t>) to Dr. Klock for a principal amount of $250,000. The QTI Working Capital Note was subsequently amended and restated five times on June 12, 2023 to add an additional principal amount of $100,000, August 15, 2023 to add an additional principal amount of $75,000, August 29, 2023 to add an additional principal amount of $100,000, September 12, 2023 to add an additional principal amount of $75,000, and September 15, 2023 to add an additional principal amount of $50,000, for an aggregate principal amount outstanding as of September 30, 2023 under the QTI Working Capital Note of $650,000. The QTI Working Capital Note was issued to provide the Company with additional working capital during the period prior to consummation of the business combination agreement with GigCapital5, Inc. The QTI Working Capital Note is interest-free and matures on the earlier of (i) the date on which the Company consummates the business combination with GigCapital5, Inc.; (ii) the date the Company winds up; or (iii) December 1, 2023. The QTI Working Capital Note may be prepaid without penalty. On October 26, 2023, the QTI Working Capital Note was amended to increase the outstanding principal amount to $705,000 and extend the potential maturity date from December 1, 2023 to December 31, 2023. In connection with the closing of the Business Combination, the 2022 Klock Note and the QTI Working Capital Note maturity date was extended to July 1, 2025, the Company assumed the obligations under both of these notes, and all security interests and liens in favor of Dr. Klock were removed. In connection with the issuance of the note to Lynrock Lake, on February 26, 2025, the maturity dates on both of these notes held by Dr. Klock were extended to October 21, 2027.</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QT Imaging Holdings Agreements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Dr. Klock has previously operated a medical practice as a sole proprietorship under the name QT Imaging Center (the “Practice”), where, among other things, patients can receive scans using a QT Breast Scanner. Dr. Klock retired effective December 31, 2024, and notified the Company that he is no longer operating the Practice, which since that time, has been run by a different party that is not affiliated with the Company.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Data Use and License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3, 2024, the Company entered into a Data Use and License Agreement with the Practice, that conducts a medical practice and provides medical services, pursuant to which the Company was granted a license to use and disclose certain de-identified health information, as has been de-identified by the Practice in accordance with applicable law, for use in research and analytical processes in connection with the Company’s development and commercialization of the QT Ultrasound Breast Scanner-1 and other technologies.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Space Sublease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23, 2025, the Company entered into a Sublease Agreement (the “Sublease”) with the Practice, pursuant to which the Practice will sublease certain space, currently leased from Hamilton Landing Novato LLC by the Company pursuant to the “Prime Lease” (as defined in the Sublease), to the Practice for use in its operations, on a full-time and exclusive basis. The Practice shall pay to the Company a rental fee (the “Rent”) for the Subleased Space (as defined in the Sublease) in an amount equal to $5,666.00 until May 31, 2025, with such amount increasing to $5,836.24 during the period from June 1, 2025 until May 31, 2026, and subsequently $6,011.33 during the period from June 1, 2026 until May 31, 2027. The Rent shall be payable on a monthly basis, payable on the first day of each month and no later than five days thereafter, with the Rent to be pro-rated for any partial month. The parties have determined that the Rent equals the fair market value of the Subleased Space (as defined in the Sublease), without taking into account the proximity of the parties or the Subleased Space to any source, volume or value of referrals between the parties or any patient thereof. Further, the Practice shall pay when due all sales, use, personal property, leasing, excise or other fees, taxes, charges or withholdings of any kind imposed against the Company, the Practice or the Subleased Space with respect to the Subleased Space, or any related fees, receipts or earnings, including local taxes and personal property taxes. The term of the Sublease is one year unless terminated and shall auto-renew on a month-to-month basis thereafter, unless otherwise terminated. The Sublease shall expire automatically upon the termination of the Prime Lease, which is set to terminate in April 2027.</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Related Person Transactions Policy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expects to adopt a related person transaction policy that will set forth the Company’s procedures for the identification, review, consideration and approval or ratification of related person transactions. The policy became effective upon approval by the Board following the consummation of the Business Combination. The Company’s audit committee will have the primary responsibility for reviewing and approving or disapproving “related party transactions.” The charter of the Company’s audit committee will provide that the audit committee will review and approve in advance any related party transaction.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related person transaction is a transaction, arrangement or relationship, or any series of similar transactions, arrangements or relationships, between the Company and related persons in which the aggregate amount involved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exceeds or may be expected to exceed $120,000 and in which a related person has or will have a direct or indirect material interest. Transactions involving compensation for services provided to the Company as an employee or director are not expected to be covered by this policy. A related person is any executive officer, director or beneficial owner of more than 5% of any class of the Company’s voting securities and any of their respective immediate family members and any entity owned or controlled by such persons.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It is expected that 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the Company’s management must present information regarding the related person transaction to the Company’s audit committee, or, if audit committee approval would be inappropriate, to another independent committee of the Board, for review, consideration ,and approval or ratification. The presentation must include a description of, among other things, the material facts, the interests (direct and indirect) of the related persons, the benefits to the Company of the transaction and whether the transaction is on terms that are comparable to the terms available to or from (as the case may be) an unrelated third party or to or from employees generally. Under the policy, the Company will collect information that it deems reasonably necessary from each director, executive officer and, to the extent feasible, significant stockholder to enable the Company to identify any existing or potential related person transactions and to effectuate the terms of the policy. In addition, under the Code of Business Conduct and Ethics that the Company expects the Board to adopt following the closing of the Business Combination, the Company’s employees and directors will have an affirmative responsibility to disclose any transaction or relationship that reasonably could be expected to give rise to a conflict of interest. In considering related person transactions, it is expected that the Company’s audit committee, or other independent committee of the Board, will take into account the relevant available facts and circumstances including, but not limited to: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risks, costs and benefits to the Company;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impact on a director’s independence in the event that the related person is a director, immediate family member of a director or an entity with which a director is affiliated;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availability of other sources for comparable services or products;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terms available to or from, as the case may be, unrelated third parties or to or from employees generally.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is also expected that the policy will require that, in determining whether to approve, ratify or reject a related person transaction, the Company’s audit committee, or other independent committee of the Board, will consider, in light of known circumstances, whether or not the transaction is consistent with the Company’s best interests and those of the Company’s stockholders, as the Company’s audit committee, or other independent committee of the Board, determines in the good faith exercise of its discretion.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Director Independence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Board has undertaken a review of the independence of each director. Based upon information requested from and provided by each director concerning their background, employment, and affiliations, including family relationships, the following members of the Board do not have a relationship that would interfere with the exercise of independent judgment in carrying out the responsibilities of a director and the Board has determined that each of these directors is “independent” as that term is defined under Nasdaq rules: Ross Taylor, Daniel Dickson, James Greene and Professor Zeev Weiner. The Board has also determined that director nominee, Bryan Timm, will be “independent” as that term is defined under Nasdaq rules.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making these determinations, the Board has considered the current and prior relationships that each non-employee director has with the Company and all other facts and circumstances that the Board deems relevant in determining their independence, including the beneficial ownership of the Company’s capital stock by each non-employee director, and the transactions involving them described in the section titled “Certain Relationships and Related Transactions, and Director Independence.” Other than that Drs. Katz and Dinu are married to each other, there are no family relationships among any of the directors or executive officers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Security Ownership of Certain Beneficial Owners and Management</w:t>
      </w:r>
    </w:p>
    <w:p>
      <w:pPr>
        <w:pStyle w:val="TextBody"/>
        <w:bidi w:val="0"/>
        <w:spacing w:lineRule="auto" w:line="288" w:before="0" w:after="180"/>
        <w:jc w:val="both"/>
        <w:rPr/>
      </w:pPr>
      <w:r>
        <w:rPr>
          <w:rFonts w:ascii="Times New Roman;serif" w:hAnsi="Times New Roman;serif"/>
          <w:b w:val="false"/>
          <w:color w:val="000000"/>
          <w:sz w:val="20"/>
        </w:rPr>
        <w:t xml:space="preserve">The following table sets forth information as of June 16, 2026 regarding the beneficial ownership of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of the Company by:</w:t>
      </w:r>
    </w:p>
    <w:p>
      <w:pPr>
        <w:pStyle w:val="TextBody"/>
        <w:bidi w:val="0"/>
        <w:spacing w:lineRule="auto" w:line="288" w:before="0" w:after="180"/>
        <w:ind w:left="0" w:right="0" w:hanging="180"/>
        <w:jc w:val="both"/>
        <w:rPr/>
      </w:pPr>
      <w:r>
        <w:rPr>
          <w:color w:val="000000"/>
        </w:rPr>
        <w:t>•</w:t>
      </w:r>
      <w:r>
        <w:rPr>
          <w:rFonts w:ascii="Times New Roman;serif" w:hAnsi="Times New Roman;serif"/>
          <w:b w:val="false"/>
          <w:color w:val="000000"/>
          <w:sz w:val="20"/>
        </w:rPr>
        <w:t xml:space="preserve">each person, including any “group” as defined in Section 13(d)(3) of the Exchange Act, known to be the beneficial owner of more than 5% of the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of the Company;</w:t>
      </w:r>
    </w:p>
    <w:p>
      <w:pPr>
        <w:pStyle w:val="TextBody"/>
        <w:bidi w:val="0"/>
        <w:spacing w:lineRule="auto" w:line="288" w:before="0" w:after="180"/>
        <w:ind w:left="0" w:right="0" w:hanging="180"/>
        <w:jc w:val="both"/>
        <w:rPr/>
      </w:pPr>
      <w:r>
        <w:rPr>
          <w:color w:val="000000"/>
        </w:rPr>
        <w:t>•</w:t>
      </w:r>
      <w:r>
        <w:rPr>
          <w:rFonts w:ascii="Times New Roman;serif" w:hAnsi="Times New Roman;serif"/>
          <w:b w:val="false"/>
          <w:color w:val="000000"/>
          <w:sz w:val="20"/>
        </w:rPr>
        <w:t>each of the Company’s NEOs as of December 31, 2025;</w:t>
      </w:r>
    </w:p>
    <w:p>
      <w:pPr>
        <w:pStyle w:val="TextBody"/>
        <w:bidi w:val="0"/>
        <w:spacing w:lineRule="auto" w:line="288" w:before="0" w:after="180"/>
        <w:ind w:left="0" w:right="0" w:hanging="180"/>
        <w:jc w:val="both"/>
        <w:rPr/>
      </w:pPr>
      <w:r>
        <w:rPr>
          <w:color w:val="000000"/>
        </w:rPr>
        <w:t>•</w:t>
      </w:r>
      <w:r>
        <w:rPr>
          <w:rFonts w:ascii="Times New Roman;serif" w:hAnsi="Times New Roman;serif"/>
          <w:b w:val="false"/>
          <w:color w:val="000000"/>
          <w:sz w:val="20"/>
        </w:rPr>
        <w:t>each of the Company’s directors and director nominees as of June 16, 2026; and</w:t>
      </w:r>
    </w:p>
    <w:p>
      <w:pPr>
        <w:pStyle w:val="TextBody"/>
        <w:bidi w:val="0"/>
        <w:spacing w:lineRule="auto" w:line="288" w:before="0" w:after="180"/>
        <w:ind w:left="0" w:right="0" w:hanging="180"/>
        <w:jc w:val="both"/>
        <w:rPr/>
      </w:pPr>
      <w:r>
        <w:rPr>
          <w:color w:val="000000"/>
        </w:rPr>
        <w:t>•</w:t>
      </w:r>
      <w:r>
        <w:rPr>
          <w:rFonts w:ascii="Times New Roman;serif" w:hAnsi="Times New Roman;serif"/>
          <w:b w:val="false"/>
          <w:color w:val="000000"/>
          <w:sz w:val="20"/>
        </w:rPr>
        <w:t>all of the Company’s NEOs as of December 31, 2025 and directors as of March 24, 2026, as a group.</w:t>
      </w:r>
    </w:p>
    <w:p>
      <w:pPr>
        <w:pStyle w:val="TextBody"/>
        <w:bidi w:val="0"/>
        <w:spacing w:lineRule="auto" w:line="288" w:before="0" w:after="180"/>
        <w:jc w:val="both"/>
        <w:rPr/>
      </w:pPr>
      <w:r>
        <w:rPr>
          <w:rFonts w:ascii="Times New Roman;serif" w:hAnsi="Times New Roman;serif"/>
          <w:b w:val="false"/>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As of June 16, 2026, there were 13,768,903 shares of our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outstanding.</w:t>
      </w:r>
    </w:p>
    <w:p>
      <w:pPr>
        <w:pStyle w:val="TextBody"/>
        <w:bidi w:val="0"/>
        <w:spacing w:lineRule="auto" w:line="288" w:before="0" w:after="180"/>
        <w:jc w:val="both"/>
        <w:rPr/>
      </w:pPr>
      <w:r>
        <w:rPr>
          <w:rFonts w:ascii="Times New Roman;serif" w:hAnsi="Times New Roman;serif"/>
          <w:b w:val="false"/>
          <w:color w:val="000000"/>
          <w:sz w:val="20"/>
        </w:rPr>
        <w:t xml:space="preserve">Unless otherwise indicated, the Company believes that all persons named in the table have sole voting and investment power with respect to all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of the Company beneficially owned by them.</w:t>
      </w:r>
    </w:p>
    <w:tbl>
      <w:tblPr>
        <w:tblW w:w="10205" w:type="dxa"/>
        <w:jc w:val="left"/>
        <w:tblInd w:w="0" w:type="dxa"/>
        <w:tblLayout w:type="fixed"/>
        <w:tblCellMar>
          <w:top w:w="28" w:type="dxa"/>
          <w:left w:w="28" w:type="dxa"/>
          <w:bottom w:w="28" w:type="dxa"/>
          <w:right w:w="28" w:type="dxa"/>
        </w:tblCellMar>
      </w:tblPr>
      <w:tblGrid>
        <w:gridCol w:w="2445"/>
        <w:gridCol w:w="2130"/>
        <w:gridCol w:w="2138"/>
        <w:gridCol w:w="109"/>
        <w:gridCol w:w="109"/>
        <w:gridCol w:w="109"/>
        <w:gridCol w:w="539"/>
        <w:gridCol w:w="516"/>
        <w:gridCol w:w="503"/>
        <w:gridCol w:w="109"/>
        <w:gridCol w:w="109"/>
        <w:gridCol w:w="109"/>
        <w:gridCol w:w="260"/>
        <w:gridCol w:w="260"/>
        <w:gridCol w:w="760"/>
      </w:tblGrid>
      <w:tr>
        <w:trPr/>
        <w:tc>
          <w:tcPr>
            <w:tcW w:w="244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67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Name and Address of Beneficial Owner</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br/>
              <w:t>of Common Stock</w:t>
              <w:br/>
              <w:t>Beneficially</w:t>
              <w:b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Percentage of</w:t>
              <w:br/>
              <w:t>Outstanding</w:t>
              <w:br/>
              <w:t>Common</w:t>
              <w:br/>
              <w:t>Stock</w:t>
              <w:br/>
              <w:t>%</w:t>
            </w:r>
          </w:p>
        </w:tc>
      </w:tr>
      <w:tr>
        <w:trPr/>
        <w:tc>
          <w:tcPr>
            <w:tcW w:w="6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Dr. Avi Katz </w:t>
            </w:r>
            <w:r>
              <w:rPr>
                <w:rFonts w:ascii="Times New Roman;serif" w:hAnsi="Times New Roman;serif"/>
                <w:b w:val="false"/>
                <w:color w:val="000000"/>
                <w:sz w:val="13"/>
              </w:rPr>
              <w:t>(3)(4)(5)(6)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1,006,983 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Dr. John Klock </w:t>
            </w:r>
            <w:r>
              <w:rPr>
                <w:rFonts w:ascii="Times New Roman;serif" w:hAnsi="Times New Roman;serif"/>
                <w:b w:val="false"/>
                <w:color w:val="000000"/>
                <w:sz w:val="13"/>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976,017 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Dr. Raluca Dinu </w:t>
            </w:r>
            <w:r>
              <w:rPr>
                <w:rFonts w:ascii="Times New Roman;serif" w:hAnsi="Times New Roman;serif"/>
                <w:b w:val="false"/>
                <w:color w:val="000000"/>
                <w:sz w:val="13"/>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1,162,438 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Ross Taylor </w:t>
            </w:r>
            <w:r>
              <w:rPr>
                <w:rFonts w:ascii="Times New Roman;serif" w:hAnsi="Times New Roman;serif"/>
                <w:b w:val="false"/>
                <w:color w:val="000000"/>
                <w:sz w:val="13"/>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158,013 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Professor Zeev Weiner </w:t>
            </w:r>
            <w:r>
              <w:rPr>
                <w:rFonts w:ascii="Times New Roman;serif" w:hAnsi="Times New Roman;serif"/>
                <w:b w:val="false"/>
                <w:color w:val="000000"/>
                <w:sz w:val="13"/>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86,825 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Daniel Dickson </w:t>
            </w:r>
            <w:r>
              <w:rPr>
                <w:rFonts w:ascii="Times New Roman;serif" w:hAnsi="Times New Roman;serif"/>
                <w:b w:val="false"/>
                <w:color w:val="000000"/>
                <w:sz w:val="13"/>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86,825 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James Greene </w:t>
            </w:r>
            <w:r>
              <w:rPr>
                <w:rFonts w:ascii="Times New Roman;serif" w:hAnsi="Times New Roman;serif"/>
                <w:b w:val="false"/>
                <w:color w:val="000000"/>
                <w:sz w:val="13"/>
              </w:rPr>
              <w:t>(4)(13)(14)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438,243 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Jay Jennings</w:t>
            </w:r>
            <w:r>
              <w:rPr>
                <w:color w:val="000000"/>
              </w:rPr>
              <w:t xml:space="preserve"> </w:t>
            </w:r>
            <w:r>
              <w:rPr>
                <w:rFonts w:ascii="Times New Roman;serif" w:hAnsi="Times New Roman;serif"/>
                <w:b w:val="false"/>
                <w:color w:val="000000"/>
                <w:sz w:val="13"/>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36,111 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Bryan Timm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 xml:space="preserve">All Directors, Director Nominees and Executive Officers of the Company as a Group (9 Individuals)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3,951,455 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Five Percent or Greater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Dr. Avi Katz</w:t>
            </w:r>
            <w:r>
              <w:rPr>
                <w:color w:val="000000"/>
              </w:rPr>
              <w:t xml:space="preserve"> </w:t>
            </w:r>
            <w:r>
              <w:rPr>
                <w:rFonts w:ascii="Times New Roman;serif" w:hAnsi="Times New Roman;serif"/>
                <w:b w:val="false"/>
                <w:color w:val="000000"/>
                <w:sz w:val="13"/>
              </w:rPr>
              <w:t>(3)(4)(5)(6)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1,006,983 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Dr. Raluca Dinu</w:t>
            </w:r>
            <w:r>
              <w:rPr>
                <w:color w:val="000000"/>
              </w:rPr>
              <w:t xml:space="preserve"> </w:t>
            </w:r>
            <w:r>
              <w:rPr>
                <w:rFonts w:ascii="Times New Roman;serif" w:hAnsi="Times New Roman;serif"/>
                <w:b w:val="false"/>
                <w:color w:val="000000"/>
                <w:sz w:val="13"/>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1,162,438 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7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John C. Klock, Jr. and Cynthia L. Klock Trust Dated 7/27/07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960,380 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Lynrock Lake Master Fund LP </w:t>
            </w:r>
            <w:r>
              <w:rPr>
                <w:rFonts w:ascii="Times New Roman;serif" w:hAnsi="Times New Roman;serif"/>
                <w:b w:val="false"/>
                <w:color w:val="000000"/>
                <w:sz w:val="13"/>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1,154,586 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7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Alyeska Master Fund, L.P. </w:t>
            </w:r>
            <w:r>
              <w:rPr>
                <w:rFonts w:ascii="Times New Roman;serif" w:hAnsi="Times New Roman;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1,262,131 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than 1%.</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(1)Unless otherwise indicated, the business address of each of the individuals is 3 Hamilton Landing, Suite 160, Novato, CA 94949. </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(2)     Based on 13,768,903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of the Company outstanding as of June 16, 2026.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     The business address for this person is 1731 Embarcadero Road, Suite 200, Palo Alto, California 94303.</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(4)     Includes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warrants that are exercisable within 60 days.</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(5)     Includes 91,803 shares of Common Stock underlying stock options that are exercisable and 875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restricted stock units that will vest within 60 days.</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(6)     Includes warrants to purchase 499,978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that are exercisable within 60 days.</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(7)     Shares held by John C. Klock, Jr. and Cynthia L. Klock Trust Dated 7/27/07.</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(8)     Includes 13,887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stock options exercisable within 60 days and 875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restricted stock units that will vest within 60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(9)    Includes 451,763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warrants and 257,080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stock options that are exercisable within 60 days and 32,125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restricted stock units that will vest within 60 days.</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(10) Includes 56,965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warrants and 42,220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stock options that are exercisable within 60 days and 875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restricted stock units that will vest within 60 days.</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(11)    Includes 28,483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warrants and 4,999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options that are exercisable within 60 days and 875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restricted stock units that will vest within 60 days.</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(12) Includes 28,483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warrants and 28,053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options that are exercisable within 60 days and 875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restricted stock units that will vest within 60 days.</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(13)    Includes 210,236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held by Sky D Ventures, LLC and 142,412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warrants held by Sky D Ventures, LLC that are exercisable within 60 days. The securities held by Sky D Ventures, LLC are beneficially owned by James Greene, a member of our Board. Mr. Greene is also the Managing Member of Sky D Ventures, LLC, who has sole voting and dispositive power over the securities held by Sky D Ventures, LLC.</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(14)    Includes 84,720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underlying stock options that are exercisable within 60 days and 875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underlying restricted stock units that will vest within 60 days.</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(15)     Includes 36,111 shares of common stock underlying stock options that are exercisable within 60 days.</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(16)    Consists of 1,154,586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pursuant to a Schedule 13G/A filed with the SEC on February 17, 2026. Shares held by Lynrock Lake Master Fund LP. Lynrock Lake LP is the investment manager of Lynrock Lake Master Fund LP, and pursuant to an investment management agreement, Lynrock Lake LP has been delegated full voting and investment power over the shares held by Lynrock Lake Master Fund LP. Cynthia Paul, the Chief Investment Officer of Lynrock Lake LP and Sole Member of Lynrock Lake Partners LLC, the general partner of Lynrock Lake LP, may be deemed to exercise voting and investment power over the shares held by Lynrock Lake Master Fund LP. Pursuant to the terms of the Subscription Warrant issued to Lynrock Lake Master Fund LP, Lynrock Lake Master Fund LP has elected to not have the right to exercise such Subscription Warrant, to the extent that after giving effect to such exercise, it would beneficially own in excess of 4.9% of the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issued and outstanding immediately after giving effect to such exercise. Pursuant to the terms of the Lynrock Lake Warrant held by Lynrock Lake Master Fund LP, Lynrock Lake Master Fund LP may not exercise such Lynrock Lake Warrant to the extent that after giving effect to such exercise, it would beneficially own in excess of 4.99% of the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issued and outstanding immediately after giving effect to such exercise (which percentage may be decreased upon notice by Lynrock Lake Master Fund LP or increased to 9.99% upon 61 days’ notice by Lynrock Lake Master Fund LP). The address of the foregoing entities is c/o Lynrock Lake LP, 2 International Drive, Suite 130, Rye Brook, New York 10573.</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(17) Based upon a Schedule 13G filed with the SEC on February 17, 2026, consists of (a) 670,684 shares of </w:t>
      </w:r>
      <w:r>
        <w:rPr>
          <w:rFonts w:ascii="Times New Roman;serif" w:hAnsi="Times New Roman;serif"/>
          <w:b w:val="false"/>
          <w:color w:val="000000"/>
          <w:sz w:val="20"/>
          <w:shd w:fill="FFFFFF" w:val="clear"/>
        </w:rPr>
        <w:t>Common Stock</w:t>
      </w:r>
      <w:r>
        <w:rPr>
          <w:rFonts w:ascii="Times New Roman;serif" w:hAnsi="Times New Roman;serif"/>
          <w:b w:val="false"/>
          <w:color w:val="000000"/>
          <w:sz w:val="20"/>
        </w:rPr>
        <w:t xml:space="preserve">, (b) Pre-Funded Warrants to purchase 440,434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upon the exercise of such Pre-Funded Warrants, and (c) Subscription Warrants to purchase 151,013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upon the exercise of such Subscription Warrants, which is the maximum that can be exercised as of March 24, 2026 as Alyeska Master Fund, L.P. has elected to not have the right to exercise such Subscription Warrant to the extent that after giving effect to such exercise, it would beneficially own in excess of 9.99% of the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issued and outstanding immediately after giving effect to such exercise.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Securities Authorized for Issuance Under Equity Compensation Plans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as of December 31, 2025 regarding equity compensation plans under which the Company’s equity securities are authorized for issuance:</w:t>
      </w:r>
    </w:p>
    <w:tbl>
      <w:tblPr>
        <w:tblW w:w="9500" w:type="dxa"/>
        <w:jc w:val="left"/>
        <w:tblInd w:w="0" w:type="dxa"/>
        <w:tblLayout w:type="fixed"/>
        <w:tblCellMar>
          <w:top w:w="28" w:type="dxa"/>
          <w:left w:w="28" w:type="dxa"/>
          <w:bottom w:w="28" w:type="dxa"/>
          <w:right w:w="28" w:type="dxa"/>
        </w:tblCellMar>
      </w:tblPr>
      <w:tblGrid>
        <w:gridCol w:w="674"/>
        <w:gridCol w:w="591"/>
        <w:gridCol w:w="595"/>
        <w:gridCol w:w="109"/>
        <w:gridCol w:w="109"/>
        <w:gridCol w:w="109"/>
        <w:gridCol w:w="774"/>
        <w:gridCol w:w="774"/>
        <w:gridCol w:w="776"/>
        <w:gridCol w:w="109"/>
        <w:gridCol w:w="109"/>
        <w:gridCol w:w="109"/>
        <w:gridCol w:w="468"/>
        <w:gridCol w:w="1134"/>
        <w:gridCol w:w="243"/>
        <w:gridCol w:w="109"/>
        <w:gridCol w:w="109"/>
        <w:gridCol w:w="109"/>
        <w:gridCol w:w="729"/>
        <w:gridCol w:w="729"/>
        <w:gridCol w:w="1032"/>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Securities to </w:t>
              <w:br/>
              <w:t>be Issued upon Exercise of</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 of</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Securities</w:t>
              <w:br/>
              <w:t>Remaining Available for</w:t>
              <w:br/>
              <w:t>Future Issuance under</w:t>
              <w:br/>
              <w:t>Equity Compensation Plans</w:t>
            </w:r>
          </w:p>
        </w:tc>
      </w:tr>
      <w:tr>
        <w:trPr/>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br/>
              <w:t>   plans approved by</w:t>
              <w:br/>
              <w:t>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1,116,000 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83,276 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br/>
              <w:t>   plans not approved</w:t>
              <w:br/>
              <w:t>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108,000 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1,224,000 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83,276 </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180"/>
        <w:jc w:val="both"/>
        <w:rPr/>
      </w:pPr>
      <w:r>
        <w:rPr>
          <w:rFonts w:ascii="Times New Roman;serif" w:hAnsi="Times New Roman;serif"/>
          <w:b w:val="false"/>
          <w:color w:val="000000"/>
          <w:sz w:val="20"/>
        </w:rPr>
        <w:t>On August 22, 2025, the Company adopted the Equity Incentive Plan (the “</w:t>
      </w:r>
      <w:r>
        <w:rPr>
          <w:rFonts w:ascii="Times New Roman;serif" w:hAnsi="Times New Roman;serif"/>
          <w:b w:val="false"/>
          <w:i/>
          <w:color w:val="000000"/>
          <w:sz w:val="20"/>
        </w:rPr>
        <w:t>Inducement EIP</w:t>
      </w:r>
      <w:r>
        <w:rPr>
          <w:color w:val="000000"/>
        </w:rPr>
        <w:t>”</w:t>
      </w:r>
      <w:r>
        <w:rPr>
          <w:rFonts w:ascii="Times New Roman;serif" w:hAnsi="Times New Roman;serif"/>
          <w:b w:val="false"/>
          <w:color w:val="000000"/>
          <w:sz w:val="20"/>
        </w:rPr>
        <w:t xml:space="preserve">), which authorized 108,333 shares of </w:t>
      </w:r>
      <w:r>
        <w:rPr>
          <w:rFonts w:ascii="Times New Roman;serif" w:hAnsi="Times New Roman;serif"/>
          <w:b w:val="false"/>
          <w:color w:val="000000"/>
          <w:sz w:val="20"/>
          <w:shd w:fill="FFFFFF" w:val="clear"/>
        </w:rPr>
        <w:t>Common Stock</w:t>
      </w:r>
      <w:r>
        <w:rPr>
          <w:rFonts w:ascii="Times New Roman;serif" w:hAnsi="Times New Roman;serif"/>
          <w:b w:val="false"/>
          <w:color w:val="000000"/>
          <w:sz w:val="20"/>
        </w:rPr>
        <w:t xml:space="preserve">. On November 14, 2025, the Company authorized an additional 220,000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under the Inducement EIP. RSUs to purchase 220,000 shares of </w:t>
      </w:r>
      <w:r>
        <w:rPr>
          <w:rFonts w:ascii="Times New Roman;serif" w:hAnsi="Times New Roman;serif"/>
          <w:b w:val="false"/>
          <w:color w:val="000000"/>
          <w:sz w:val="20"/>
          <w:shd w:fill="FFFFFF" w:val="clear"/>
        </w:rPr>
        <w:t>Common Stock</w:t>
      </w:r>
      <w:r>
        <w:rPr>
          <w:color w:val="000000"/>
        </w:rPr>
        <w:t xml:space="preserve"> </w:t>
      </w:r>
      <w:r>
        <w:rPr>
          <w:rFonts w:ascii="Times New Roman;serif" w:hAnsi="Times New Roman;serif"/>
          <w:b w:val="false"/>
          <w:color w:val="000000"/>
          <w:sz w:val="20"/>
        </w:rPr>
        <w:t xml:space="preserve">at a weighted-average fair value of $6.25 per share, were issued during the year ended December 31,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purpose of the Inducement EIP is to advance the interests of the Company’s stockholders by enhancing the Company’s ability to attract, retain and motivate Eligible Persons who are expected to make important contributions to the Company with an inducement material for such Eligible Persons to enter into employment with the Company and by providing such persons with equity ownership opportunities and incentives that are intended to better align the interests of such Eligible Persons with those of the Company’s stockholders. Similar to the Plan, the Inducement EIP seeks to achieve this purpose by providing for Awards to Eligible Persons in the form of Nonstatutory Stock Options, Stock Appreciation Rights, Restricted Stock Awards, Restricted Stock Units, Performance Shares, Performance Units, Cash-Based Awards and Other Stock-Based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is expressly intended that approval of the Company’s stockholders is not required as a condition to the effectiveness of the Inducement EIP as permitted by the Inducement Listing Rule, and the Inducement EIP’s provisions shall be interpreted in a manner consistent with such intent for all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16(a) BENEFICIAL OWNERSHIP REPORTING COMPLIANCE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Section 16(a) of the Exchange Act requires our management team and persons who beneficially own more than ten percent of our Common Stock to file reports of ownership and changes in ownership with the SEC. These reporting persons are also required to furnish us with copies of all Section 16(a) forms they file. Based solely upon a review of such forms, we believe that during the fiscal year ended December 31, 2025, none of our directors and executive officers were delinquent.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STOCKHOLDER PROPOSALS AND NOMINATIONS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TO BE PRESENTED AT 2027 ANNUAL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 rules permit stockholders to submit proposals for inclusion in our 2027 proxy statement by satisfying the requirements set forth in Rule 14a-8 of the Exchange Act. These stockholder proposals must be submitted, along with proof of ownership of our stock in accordance with Rule 14a-8(b)(2), to the Secretary at our principal executive offices, located at Three Hamilton Landing, Suite 160, Novato, California 94949, no later than the close of business on [______], 2027 (120 days prior to the anniversary of this year’s mailing date). If the 2027 annual meeting is held more than 30 days before or after the first anniversary of the date of the Annual Meeting, then the deadline is a reasonable time before the Company begins to print and send its proxy materials for the 2027 annual meeting, which we deem to be the later of 90 days prior to the 2027 annual meeting or 10 days following the Company’s first public announcement of the date of such meeting. Failure to deliver a proposal in accordance with these procedures may result in it being deemed not timely received.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Submitting a stockholder proposal does not guarantee that we will include it in our 2027 proxy statement. Stockholder proposals that do not meet the requirements set forth above may be excluded from our 2027 proxy statement as provided under Rule 14a-8. Our Nominating and Corporate Governance Committee reviews all stockholder proposals submitted for inclusion in our proxy statements and makes recommendations to the Board for actions on such proposals. For information on qualifications of director nominees considered by our Nominating and Corporate Governance committee, see the “Corporate Governance” section of this Proxy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Stockholders who intend to present a director nomination or other proposal at an annual meeting must comply with the advance notice provisions contained in our Bylaws, which include delivering notice of such nomination or other proposal to our Secretary at our principal executive offices no earlier than 120 and no later than 90 days prior to the first anniversary of the prior year’s annual meeting as first specified in the Company’s notice of meeting (without regard to any postponements or adjournments of such meeting after the notice was first given). Based on the Annual Meeting date of July 28, 2026, a stockholder’s notice will be considered timely for the 2027 annual meeting if it is received by our Secretary no earlier than March 30, 2027, and no later than April 29, 2027. However, if the 2027 annual meeting is held more than 30 days before or after the first anniversary of the Annual Meeting, such stockholder’s notice must be delivered to our Secretary by the later of 90 days prior to the 2026 annual meeting or 10 days following the Company’s first public announcement of the date of such meeting. The stockholder’s notice must satisfy the information requirements of Section 3.2 of our Bylaws with respect to each director nomination and Section 2.7 of our Bylaws with respect to each other proposal that such stockholder intends to present at the 2026 annual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satisfying the foregoing advance notice requirements under our Bylaws, to comply with the universal proxy rules, the notice given by any stockholder who intends to solicit proxies in support of director nominees other than the Company’s nominees must comply with any additional requirements of Rule 14a-19 under the Exchange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not entertain any nominations or other proposals at an annual meeting that do not satisfy the advance notice requirements set forth in our Bylaws or the requirements established by the SEC. For nominations or other proposals that are properly submitted and timely filed, if the stockholder does not also comply with the requirements of Rule 14a-4(c)(2) under the Exchange Act, we may exercise discretionary voting under proxies that we solicit to vote in accordance with our best judgment on any such stockholder proposal, provided that we include in our proxy statement advice on the nature of the proposal and how we intend to exercise our voting discretion. To make a submission or request a copy of our Bylaws, stockholders should contact our Secretary at our principal executive offices. Our Bylaws are also available online through the SEC’s EDGAR website as Exhibit 3.2 to our Annual Report on Form 10-K filed with the SEC on March 25, 2026. We strongly encourage stockholders to seek advice from knowledgeable counsel before submitting a nomination or other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06b7cd4726b64f7c93228e635172bb86_13">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TRANSACTION OF OTHER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the date of this Proxy Statement, the Board knows of no other business that will be conducted at this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10" w:after="120"/>
        <w:jc w:val="center"/>
        <w:rPr>
          <w:rFonts w:ascii="Times New Roman;serif" w:hAnsi="Times New Roman;serif"/>
          <w:b/>
          <w:color w:val="000000"/>
          <w:sz w:val="20"/>
        </w:rPr>
      </w:pPr>
      <w:r>
        <w:rPr>
          <w:rFonts w:ascii="Times New Roman;serif" w:hAnsi="Times New Roman;serif"/>
          <w:b/>
          <w:color w:val="000000"/>
          <w:sz w:val="20"/>
        </w:rPr>
        <w:t>STOCKHOLDERS SHARING THE SAME LAST NAME AND ADDRESS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reduce the expense of delivering duplicate proxy materials to stockholders who may have more than one account holding QT Imaging stock but sharing the same address, we have adopted a procedure approved by the SEC called “householding.” Under this procedure, certain stockholders of record who have the same address and last name will receive only one copy of our proxy materials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pStyle w:val="TextBody"/>
        <w:bidi w:val="0"/>
        <w:spacing w:lineRule="auto" w:line="288" w:before="0" w:after="180"/>
        <w:jc w:val="both"/>
        <w:rPr/>
      </w:pPr>
      <w:r>
        <w:rPr>
          <w:rFonts w:ascii="Times New Roman;serif" w:hAnsi="Times New Roman;serif"/>
          <w:b w:val="false"/>
          <w:color w:val="000000"/>
          <w:sz w:val="20"/>
        </w:rPr>
        <w:t xml:space="preserve">If you receive a single set of proxy materials as a result of householding, and you would like to have separate copies of our proxy materials mailed to you, please submit a request to our Secretary at our principal executive offices, or contact Sodali, our proxy solicitor, at (800) 662-5200 or by emailing </w:t>
      </w:r>
      <w:r>
        <w:rPr>
          <w:rFonts w:ascii="Times New Roman;serif" w:hAnsi="Times New Roman;serif"/>
          <w:b w:val="false"/>
          <w:color w:val="0000FF"/>
          <w:sz w:val="20"/>
          <w:u w:val="single"/>
        </w:rPr>
        <w:t>QTI@investor.sodali.com</w:t>
      </w:r>
      <w:r>
        <w:rPr>
          <w:rFonts w:ascii="Times New Roman;serif" w:hAnsi="Times New Roman;serif"/>
          <w:b w:val="false"/>
          <w:color w:val="000000"/>
          <w:sz w:val="20"/>
        </w:rPr>
        <w:t>, and we will promptly send you what you have requested. You can also contact Sodali at the phone number above if you received multiple copies of the proxy materials and would prefer to receive a single copy in the future, or if you would like to opt out of householding for future mailings.</w:t>
      </w:r>
    </w:p>
    <w:tbl>
      <w:tblPr>
        <w:tblW w:w="3281" w:type="dxa"/>
        <w:jc w:val="left"/>
        <w:tblInd w:w="0" w:type="dxa"/>
        <w:tblLayout w:type="fixed"/>
        <w:tblCellMar>
          <w:top w:w="28" w:type="dxa"/>
          <w:left w:w="28" w:type="dxa"/>
          <w:bottom w:w="28" w:type="dxa"/>
          <w:right w:w="28" w:type="dxa"/>
        </w:tblCellMar>
      </w:tblPr>
      <w:tblGrid>
        <w:gridCol w:w="1054"/>
        <w:gridCol w:w="924"/>
        <w:gridCol w:w="931"/>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Dr. Avi S. Katz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DR. AVI S. KATZ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of the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APPENDIX A</w:t>
      </w:r>
    </w:p>
    <w:p>
      <w:pPr>
        <w:pStyle w:val="TextBody"/>
        <w:bidi w:val="0"/>
        <w:spacing w:lineRule="auto" w:line="288" w:before="0" w:after="0"/>
        <w:jc w:val="center"/>
        <w:rPr/>
      </w:pPr>
      <w:r>
        <w:rPr>
          <w:rFonts w:ascii="Times New Roman;serif" w:hAnsi="Times New Roman;serif"/>
          <w:b/>
          <w:color w:val="000000"/>
          <w:sz w:val="20"/>
        </w:rPr>
        <w:t>QT IMAGING HOLDINGS, INC</w:t>
      </w:r>
      <w:r>
        <w:rPr>
          <w:rFonts w:ascii="Times New Roman;serif" w:hAnsi="Times New Roman;serif"/>
          <w:b w:val="false"/>
          <w:color w:val="000000"/>
          <w:sz w:val="20"/>
        </w:rPr>
        <w: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AMENDED AND RESTATED 2024 EQUITY INCENTIVE PLAN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00"/>
        <w:ind w:left="0" w:right="0" w:hanging="720"/>
        <w:jc w:val="left"/>
        <w:rPr/>
      </w:pPr>
      <w:r>
        <w:rPr>
          <w:rFonts w:ascii="Times New Roman;serif" w:hAnsi="Times New Roman;serif"/>
          <w:b w:val="false"/>
          <w:color w:val="000000"/>
          <w:sz w:val="20"/>
        </w:rPr>
        <w:t>1.</w:t>
      </w:r>
      <w:hyperlink w:anchor="i06b7cd4726b64f7c93228e635172bb86_1">
        <w:r>
          <w:rPr>
            <w:rStyle w:val="InternetLink"/>
          </w:rPr>
          <w:t>    </w:t>
        </w:r>
      </w:hyperlink>
      <w:hyperlink w:anchor="i06b7cd4726b64f7c93228e635172bb86_1">
        <w:r>
          <w:rPr>
            <w:rStyle w:val="InternetLink"/>
          </w:rPr>
          <w:t>ESTABLISHMENT, PURPOSE AND TERM OF PLAN</w:t>
        </w:r>
      </w:hyperlink>
      <w:hyperlink w:anchor="i06b7cd4726b64f7c93228e635172bb86_1">
        <w:r>
          <w:rPr>
            <w:rStyle w:val="InternetLink"/>
          </w:rPr>
          <w:t>    </w:t>
        </w:r>
      </w:hyperlink>
      <w:r>
        <w:rPr>
          <w:rFonts w:ascii="Times New Roman;serif" w:hAnsi="Times New Roman;serif"/>
          <w:b w:val="false"/>
          <w:color w:val="0094FF"/>
          <w:sz w:val="20"/>
        </w:rPr>
        <w:t>1</w:t>
      </w:r>
    </w:p>
    <w:p>
      <w:pPr>
        <w:pStyle w:val="TextBody"/>
        <w:bidi w:val="0"/>
        <w:spacing w:lineRule="auto" w:line="288" w:before="0" w:after="100"/>
        <w:ind w:left="0" w:right="0" w:hanging="720"/>
        <w:jc w:val="left"/>
        <w:rPr/>
      </w:pPr>
      <w:hyperlink w:anchor="i06b7cd4726b64f7c93228e635172bb86_7">
        <w:r>
          <w:rPr>
            <w:rStyle w:val="InternetLink"/>
          </w:rPr>
          <w:t>1.1</w:t>
        </w:r>
      </w:hyperlink>
      <w:hyperlink w:anchor="i06b7cd4726b64f7c93228e635172bb86_7">
        <w:r>
          <w:rPr>
            <w:rStyle w:val="InternetLink"/>
          </w:rPr>
          <w:t>    </w:t>
        </w:r>
      </w:hyperlink>
      <w:hyperlink w:anchor="i06b7cd4726b64f7c93228e635172bb86_7">
        <w:r>
          <w:rPr>
            <w:rStyle w:val="InternetLink"/>
          </w:rPr>
          <w:t>Establishment</w:t>
        </w:r>
      </w:hyperlink>
      <w:hyperlink w:anchor="i06b7cd4726b64f7c93228e635172bb86_7">
        <w:r>
          <w:rPr>
            <w:rStyle w:val="InternetLink"/>
          </w:rPr>
          <w:t>    </w:t>
        </w:r>
      </w:hyperlink>
      <w:hyperlink w:anchor="i06b7cd4726b64f7c93228e635172bb86_7">
        <w:r>
          <w:rPr>
            <w:rStyle w:val="InternetLink"/>
          </w:rPr>
          <w:t>1</w:t>
        </w:r>
      </w:hyperlink>
    </w:p>
    <w:p>
      <w:pPr>
        <w:pStyle w:val="TextBody"/>
        <w:bidi w:val="0"/>
        <w:spacing w:lineRule="auto" w:line="288" w:before="0" w:after="100"/>
        <w:ind w:left="0" w:right="0" w:hanging="720"/>
        <w:jc w:val="left"/>
        <w:rPr/>
      </w:pPr>
      <w:hyperlink w:anchor="i06b7cd4726b64f7c93228e635172bb86_7">
        <w:r>
          <w:rPr>
            <w:rStyle w:val="InternetLink"/>
          </w:rPr>
          <w:t>1.2</w:t>
        </w:r>
      </w:hyperlink>
      <w:hyperlink w:anchor="i06b7cd4726b64f7c93228e635172bb86_7">
        <w:r>
          <w:rPr>
            <w:rStyle w:val="InternetLink"/>
          </w:rPr>
          <w:t>    </w:t>
        </w:r>
      </w:hyperlink>
      <w:hyperlink w:anchor="i06b7cd4726b64f7c93228e635172bb86_7">
        <w:r>
          <w:rPr>
            <w:rStyle w:val="InternetLink"/>
          </w:rPr>
          <w:t>Purpose</w:t>
        </w:r>
      </w:hyperlink>
      <w:hyperlink w:anchor="i06b7cd4726b64f7c93228e635172bb86_7">
        <w:r>
          <w:rPr>
            <w:rStyle w:val="InternetLink"/>
          </w:rPr>
          <w:t>    </w:t>
        </w:r>
      </w:hyperlink>
      <w:hyperlink w:anchor="i06b7cd4726b64f7c93228e635172bb86_7">
        <w:r>
          <w:rPr>
            <w:rStyle w:val="InternetLink"/>
          </w:rPr>
          <w:t>1</w:t>
        </w:r>
      </w:hyperlink>
    </w:p>
    <w:p>
      <w:pPr>
        <w:pStyle w:val="TextBody"/>
        <w:bidi w:val="0"/>
        <w:spacing w:lineRule="auto" w:line="288" w:before="0" w:after="100"/>
        <w:ind w:left="0" w:right="0" w:hanging="720"/>
        <w:jc w:val="left"/>
        <w:rPr/>
      </w:pPr>
      <w:hyperlink w:anchor="i06b7cd4726b64f7c93228e635172bb86_7">
        <w:r>
          <w:rPr>
            <w:rStyle w:val="InternetLink"/>
          </w:rPr>
          <w:t>1.3</w:t>
        </w:r>
      </w:hyperlink>
      <w:hyperlink w:anchor="i06b7cd4726b64f7c93228e635172bb86_7">
        <w:r>
          <w:rPr>
            <w:rStyle w:val="InternetLink"/>
          </w:rPr>
          <w:t>    </w:t>
        </w:r>
      </w:hyperlink>
      <w:hyperlink w:anchor="i06b7cd4726b64f7c93228e635172bb86_7">
        <w:r>
          <w:rPr>
            <w:rStyle w:val="InternetLink"/>
          </w:rPr>
          <w:t>Term of Plan</w:t>
        </w:r>
      </w:hyperlink>
      <w:hyperlink w:anchor="i06b7cd4726b64f7c93228e635172bb86_7">
        <w:r>
          <w:rPr>
            <w:rStyle w:val="InternetLink"/>
          </w:rPr>
          <w:t>    </w:t>
        </w:r>
      </w:hyperlink>
      <w:hyperlink w:anchor="i06b7cd4726b64f7c93228e635172bb86_7">
        <w:r>
          <w:rPr>
            <w:rStyle w:val="InternetLink"/>
          </w:rPr>
          <w:t>1</w:t>
        </w:r>
      </w:hyperlink>
    </w:p>
    <w:p>
      <w:pPr>
        <w:pStyle w:val="TextBody"/>
        <w:bidi w:val="0"/>
        <w:spacing w:lineRule="auto" w:line="288" w:before="0" w:after="100"/>
        <w:ind w:left="0" w:right="0" w:hanging="720"/>
        <w:jc w:val="left"/>
        <w:rPr/>
      </w:pPr>
      <w:hyperlink w:anchor="i06b7cd4726b64f7c93228e635172bb86_7">
        <w:r>
          <w:rPr>
            <w:rStyle w:val="InternetLink"/>
          </w:rPr>
          <w:t>2.</w:t>
        </w:r>
      </w:hyperlink>
      <w:hyperlink w:anchor="i06b7cd4726b64f7c93228e635172bb86_7">
        <w:r>
          <w:rPr>
            <w:rStyle w:val="InternetLink"/>
          </w:rPr>
          <w:t>    </w:t>
        </w:r>
      </w:hyperlink>
      <w:hyperlink w:anchor="i06b7cd4726b64f7c93228e635172bb86_7">
        <w:r>
          <w:rPr>
            <w:rStyle w:val="InternetLink"/>
          </w:rPr>
          <w:t>DEFINITIONS AND CONSTRUCTION.</w:t>
        </w:r>
      </w:hyperlink>
      <w:hyperlink w:anchor="i06b7cd4726b64f7c93228e635172bb86_7">
        <w:r>
          <w:rPr>
            <w:rStyle w:val="InternetLink"/>
          </w:rPr>
          <w:t>    </w:t>
        </w:r>
      </w:hyperlink>
      <w:hyperlink w:anchor="i06b7cd4726b64f7c93228e635172bb86_7">
        <w:r>
          <w:rPr>
            <w:rStyle w:val="InternetLink"/>
          </w:rPr>
          <w:t>1</w:t>
        </w:r>
      </w:hyperlink>
    </w:p>
    <w:p>
      <w:pPr>
        <w:pStyle w:val="TextBody"/>
        <w:bidi w:val="0"/>
        <w:spacing w:lineRule="auto" w:line="288" w:before="0" w:after="100"/>
        <w:ind w:left="0" w:right="0" w:hanging="720"/>
        <w:jc w:val="left"/>
        <w:rPr/>
      </w:pPr>
      <w:hyperlink w:anchor="i06b7cd4726b64f7c93228e635172bb86_7">
        <w:r>
          <w:rPr>
            <w:rStyle w:val="InternetLink"/>
          </w:rPr>
          <w:t>2.1</w:t>
        </w:r>
      </w:hyperlink>
      <w:hyperlink w:anchor="i06b7cd4726b64f7c93228e635172bb86_7">
        <w:r>
          <w:rPr>
            <w:rStyle w:val="InternetLink"/>
          </w:rPr>
          <w:t>    </w:t>
        </w:r>
      </w:hyperlink>
      <w:hyperlink w:anchor="i06b7cd4726b64f7c93228e635172bb86_7">
        <w:r>
          <w:rPr>
            <w:rStyle w:val="InternetLink"/>
          </w:rPr>
          <w:t>Definitions</w:t>
        </w:r>
      </w:hyperlink>
      <w:hyperlink w:anchor="i06b7cd4726b64f7c93228e635172bb86_7">
        <w:r>
          <w:rPr>
            <w:rStyle w:val="InternetLink"/>
          </w:rPr>
          <w:t>    </w:t>
        </w:r>
      </w:hyperlink>
      <w:hyperlink w:anchor="i06b7cd4726b64f7c93228e635172bb86_7">
        <w:r>
          <w:rPr>
            <w:rStyle w:val="InternetLink"/>
          </w:rPr>
          <w:t>1</w:t>
        </w:r>
      </w:hyperlink>
    </w:p>
    <w:p>
      <w:pPr>
        <w:pStyle w:val="TextBody"/>
        <w:bidi w:val="0"/>
        <w:spacing w:lineRule="auto" w:line="288" w:before="0" w:after="100"/>
        <w:ind w:left="0" w:right="0" w:hanging="720"/>
        <w:jc w:val="left"/>
        <w:rPr/>
      </w:pPr>
      <w:hyperlink w:anchor="i06b7cd4726b64f7c93228e635172bb86_7">
        <w:r>
          <w:rPr>
            <w:rStyle w:val="InternetLink"/>
          </w:rPr>
          <w:t>2.2</w:t>
        </w:r>
      </w:hyperlink>
      <w:hyperlink w:anchor="i06b7cd4726b64f7c93228e635172bb86_7">
        <w:r>
          <w:rPr>
            <w:rStyle w:val="InternetLink"/>
          </w:rPr>
          <w:t>    </w:t>
        </w:r>
      </w:hyperlink>
      <w:hyperlink w:anchor="i06b7cd4726b64f7c93228e635172bb86_7">
        <w:r>
          <w:rPr>
            <w:rStyle w:val="InternetLink"/>
          </w:rPr>
          <w:t>Construction</w:t>
        </w:r>
      </w:hyperlink>
      <w:hyperlink w:anchor="i06b7cd4726b64f7c93228e635172bb86_7">
        <w:r>
          <w:rPr>
            <w:rStyle w:val="InternetLink"/>
          </w:rPr>
          <w:t>    </w:t>
        </w:r>
      </w:hyperlink>
      <w:hyperlink w:anchor="i06b7cd4726b64f7c93228e635172bb86_7">
        <w:r>
          <w:rPr>
            <w:rStyle w:val="InternetLink"/>
          </w:rPr>
          <w:t>7</w:t>
        </w:r>
      </w:hyperlink>
    </w:p>
    <w:p>
      <w:pPr>
        <w:pStyle w:val="TextBody"/>
        <w:bidi w:val="0"/>
        <w:spacing w:lineRule="auto" w:line="288" w:before="0" w:after="100"/>
        <w:ind w:left="0" w:right="0" w:hanging="720"/>
        <w:jc w:val="left"/>
        <w:rPr/>
      </w:pPr>
      <w:hyperlink w:anchor="i06b7cd4726b64f7c93228e635172bb86_7">
        <w:r>
          <w:rPr>
            <w:rStyle w:val="InternetLink"/>
          </w:rPr>
          <w:t>3.</w:t>
        </w:r>
      </w:hyperlink>
      <w:hyperlink w:anchor="i06b7cd4726b64f7c93228e635172bb86_7">
        <w:r>
          <w:rPr>
            <w:rStyle w:val="InternetLink"/>
          </w:rPr>
          <w:t>    </w:t>
        </w:r>
      </w:hyperlink>
      <w:hyperlink w:anchor="i06b7cd4726b64f7c93228e635172bb86_7">
        <w:r>
          <w:rPr>
            <w:rStyle w:val="InternetLink"/>
          </w:rPr>
          <w:t>ADMINISTRATION.</w:t>
        </w:r>
      </w:hyperlink>
      <w:hyperlink w:anchor="i06b7cd4726b64f7c93228e635172bb86_7">
        <w:r>
          <w:rPr>
            <w:rStyle w:val="InternetLink"/>
          </w:rPr>
          <w:t>    </w:t>
        </w:r>
      </w:hyperlink>
      <w:hyperlink w:anchor="i06b7cd4726b64f7c93228e635172bb86_7">
        <w:r>
          <w:rPr>
            <w:rStyle w:val="InternetLink"/>
          </w:rPr>
          <w:t>7</w:t>
        </w:r>
      </w:hyperlink>
    </w:p>
    <w:p>
      <w:pPr>
        <w:pStyle w:val="TextBody"/>
        <w:bidi w:val="0"/>
        <w:spacing w:lineRule="auto" w:line="288" w:before="0" w:after="100"/>
        <w:ind w:left="0" w:right="0" w:hanging="720"/>
        <w:jc w:val="left"/>
        <w:rPr/>
      </w:pPr>
      <w:hyperlink w:anchor="i06b7cd4726b64f7c93228e635172bb86_7">
        <w:r>
          <w:rPr>
            <w:rStyle w:val="InternetLink"/>
          </w:rPr>
          <w:t>3.1</w:t>
        </w:r>
      </w:hyperlink>
      <w:hyperlink w:anchor="i06b7cd4726b64f7c93228e635172bb86_7">
        <w:r>
          <w:rPr>
            <w:rStyle w:val="InternetLink"/>
          </w:rPr>
          <w:t>    </w:t>
        </w:r>
      </w:hyperlink>
      <w:hyperlink w:anchor="i06b7cd4726b64f7c93228e635172bb86_7">
        <w:r>
          <w:rPr>
            <w:rStyle w:val="InternetLink"/>
          </w:rPr>
          <w:t>Administration by the Committee</w:t>
        </w:r>
      </w:hyperlink>
      <w:hyperlink w:anchor="i06b7cd4726b64f7c93228e635172bb86_7">
        <w:r>
          <w:rPr>
            <w:rStyle w:val="InternetLink"/>
          </w:rPr>
          <w:t>    </w:t>
        </w:r>
      </w:hyperlink>
      <w:hyperlink w:anchor="i06b7cd4726b64f7c93228e635172bb86_7">
        <w:r>
          <w:rPr>
            <w:rStyle w:val="InternetLink"/>
          </w:rPr>
          <w:t>8</w:t>
        </w:r>
      </w:hyperlink>
    </w:p>
    <w:p>
      <w:pPr>
        <w:pStyle w:val="TextBody"/>
        <w:bidi w:val="0"/>
        <w:spacing w:lineRule="auto" w:line="288" w:before="0" w:after="100"/>
        <w:ind w:left="0" w:right="0" w:hanging="720"/>
        <w:jc w:val="left"/>
        <w:rPr/>
      </w:pPr>
      <w:hyperlink w:anchor="i06b7cd4726b64f7c93228e635172bb86_7">
        <w:r>
          <w:rPr>
            <w:rStyle w:val="InternetLink"/>
          </w:rPr>
          <w:t>3.2</w:t>
        </w:r>
      </w:hyperlink>
      <w:hyperlink w:anchor="i06b7cd4726b64f7c93228e635172bb86_7">
        <w:r>
          <w:rPr>
            <w:rStyle w:val="InternetLink"/>
          </w:rPr>
          <w:t>    </w:t>
        </w:r>
      </w:hyperlink>
      <w:hyperlink w:anchor="i06b7cd4726b64f7c93228e635172bb86_7">
        <w:r>
          <w:rPr>
            <w:rStyle w:val="InternetLink"/>
          </w:rPr>
          <w:t>Authority of Officers</w:t>
        </w:r>
      </w:hyperlink>
      <w:hyperlink w:anchor="i06b7cd4726b64f7c93228e635172bb86_7">
        <w:r>
          <w:rPr>
            <w:rStyle w:val="InternetLink"/>
          </w:rPr>
          <w:t>    </w:t>
        </w:r>
      </w:hyperlink>
      <w:hyperlink w:anchor="i06b7cd4726b64f7c93228e635172bb86_7">
        <w:r>
          <w:rPr>
            <w:rStyle w:val="InternetLink"/>
          </w:rPr>
          <w:t>8</w:t>
        </w:r>
      </w:hyperlink>
    </w:p>
    <w:p>
      <w:pPr>
        <w:pStyle w:val="TextBody"/>
        <w:bidi w:val="0"/>
        <w:spacing w:lineRule="auto" w:line="288" w:before="0" w:after="100"/>
        <w:ind w:left="0" w:right="0" w:hanging="720"/>
        <w:jc w:val="left"/>
        <w:rPr/>
      </w:pPr>
      <w:hyperlink w:anchor="i06b7cd4726b64f7c93228e635172bb86_7">
        <w:r>
          <w:rPr>
            <w:rStyle w:val="InternetLink"/>
          </w:rPr>
          <w:t>3.3</w:t>
        </w:r>
      </w:hyperlink>
      <w:hyperlink w:anchor="i06b7cd4726b64f7c93228e635172bb86_7">
        <w:r>
          <w:rPr>
            <w:rStyle w:val="InternetLink"/>
          </w:rPr>
          <w:t>    </w:t>
        </w:r>
      </w:hyperlink>
      <w:hyperlink w:anchor="i06b7cd4726b64f7c93228e635172bb86_7">
        <w:r>
          <w:rPr>
            <w:rStyle w:val="InternetLink"/>
          </w:rPr>
          <w:t>Administration with Respect to Insiders</w:t>
        </w:r>
      </w:hyperlink>
      <w:hyperlink w:anchor="i06b7cd4726b64f7c93228e635172bb86_7">
        <w:r>
          <w:rPr>
            <w:rStyle w:val="InternetLink"/>
          </w:rPr>
          <w:t>    </w:t>
        </w:r>
      </w:hyperlink>
      <w:hyperlink w:anchor="i06b7cd4726b64f7c93228e635172bb86_7">
        <w:r>
          <w:rPr>
            <w:rStyle w:val="InternetLink"/>
          </w:rPr>
          <w:t>8</w:t>
        </w:r>
      </w:hyperlink>
    </w:p>
    <w:p>
      <w:pPr>
        <w:pStyle w:val="TextBody"/>
        <w:bidi w:val="0"/>
        <w:spacing w:lineRule="auto" w:line="288" w:before="0" w:after="100"/>
        <w:ind w:left="0" w:right="0" w:hanging="720"/>
        <w:jc w:val="left"/>
        <w:rPr/>
      </w:pPr>
      <w:hyperlink w:anchor="i06b7cd4726b64f7c93228e635172bb86_7">
        <w:r>
          <w:rPr>
            <w:rStyle w:val="InternetLink"/>
          </w:rPr>
          <w:t>3.4</w:t>
        </w:r>
      </w:hyperlink>
      <w:hyperlink w:anchor="i06b7cd4726b64f7c93228e635172bb86_7">
        <w:r>
          <w:rPr>
            <w:rStyle w:val="InternetLink"/>
          </w:rPr>
          <w:t>    </w:t>
        </w:r>
      </w:hyperlink>
      <w:hyperlink w:anchor="i06b7cd4726b64f7c93228e635172bb86_7">
        <w:r>
          <w:rPr>
            <w:rStyle w:val="InternetLink"/>
          </w:rPr>
          <w:t>Powers of the Committee</w:t>
        </w:r>
      </w:hyperlink>
      <w:hyperlink w:anchor="i06b7cd4726b64f7c93228e635172bb86_7">
        <w:r>
          <w:rPr>
            <w:rStyle w:val="InternetLink"/>
          </w:rPr>
          <w:t>    </w:t>
        </w:r>
      </w:hyperlink>
      <w:hyperlink w:anchor="i06b7cd4726b64f7c93228e635172bb86_7">
        <w:r>
          <w:rPr>
            <w:rStyle w:val="InternetLink"/>
          </w:rPr>
          <w:t>8</w:t>
        </w:r>
      </w:hyperlink>
    </w:p>
    <w:p>
      <w:pPr>
        <w:pStyle w:val="TextBody"/>
        <w:bidi w:val="0"/>
        <w:spacing w:lineRule="auto" w:line="288" w:before="0" w:after="100"/>
        <w:ind w:left="0" w:right="0" w:hanging="720"/>
        <w:jc w:val="left"/>
        <w:rPr/>
      </w:pPr>
      <w:hyperlink w:anchor="i06b7cd4726b64f7c93228e635172bb86_7">
        <w:r>
          <w:rPr>
            <w:rStyle w:val="InternetLink"/>
          </w:rPr>
          <w:t>3.5</w:t>
        </w:r>
      </w:hyperlink>
      <w:hyperlink w:anchor="i06b7cd4726b64f7c93228e635172bb86_7">
        <w:r>
          <w:rPr>
            <w:rStyle w:val="InternetLink"/>
          </w:rPr>
          <w:t>    </w:t>
        </w:r>
      </w:hyperlink>
      <w:hyperlink w:anchor="i06b7cd4726b64f7c93228e635172bb86_7">
        <w:r>
          <w:rPr>
            <w:rStyle w:val="InternetLink"/>
          </w:rPr>
          <w:t>Option or SAR Repricing</w:t>
        </w:r>
      </w:hyperlink>
      <w:hyperlink w:anchor="i06b7cd4726b64f7c93228e635172bb86_7">
        <w:r>
          <w:rPr>
            <w:rStyle w:val="InternetLink"/>
          </w:rPr>
          <w:t>    </w:t>
        </w:r>
      </w:hyperlink>
      <w:hyperlink w:anchor="i06b7cd4726b64f7c93228e635172bb86_7">
        <w:r>
          <w:rPr>
            <w:rStyle w:val="InternetLink"/>
          </w:rPr>
          <w:t>9</w:t>
        </w:r>
      </w:hyperlink>
    </w:p>
    <w:p>
      <w:pPr>
        <w:pStyle w:val="TextBody"/>
        <w:bidi w:val="0"/>
        <w:spacing w:lineRule="auto" w:line="288" w:before="0" w:after="100"/>
        <w:ind w:left="0" w:right="0" w:hanging="720"/>
        <w:jc w:val="left"/>
        <w:rPr/>
      </w:pPr>
      <w:hyperlink w:anchor="i06b7cd4726b64f7c93228e635172bb86_7">
        <w:r>
          <w:rPr>
            <w:rStyle w:val="InternetLink"/>
          </w:rPr>
          <w:t>3.6</w:t>
        </w:r>
      </w:hyperlink>
      <w:hyperlink w:anchor="i06b7cd4726b64f7c93228e635172bb86_7">
        <w:r>
          <w:rPr>
            <w:rStyle w:val="InternetLink"/>
          </w:rPr>
          <w:t>    </w:t>
        </w:r>
      </w:hyperlink>
      <w:hyperlink w:anchor="i06b7cd4726b64f7c93228e635172bb86_7">
        <w:r>
          <w:rPr>
            <w:rStyle w:val="InternetLink"/>
          </w:rPr>
          <w:t>Indemnification</w:t>
        </w:r>
      </w:hyperlink>
      <w:hyperlink w:anchor="i06b7cd4726b64f7c93228e635172bb86_7">
        <w:r>
          <w:rPr>
            <w:rStyle w:val="InternetLink"/>
          </w:rPr>
          <w:t>    </w:t>
        </w:r>
      </w:hyperlink>
      <w:hyperlink w:anchor="i06b7cd4726b64f7c93228e635172bb86_7">
        <w:r>
          <w:rPr>
            <w:rStyle w:val="InternetLink"/>
          </w:rPr>
          <w:t>9</w:t>
        </w:r>
      </w:hyperlink>
    </w:p>
    <w:p>
      <w:pPr>
        <w:pStyle w:val="TextBody"/>
        <w:bidi w:val="0"/>
        <w:spacing w:lineRule="auto" w:line="288" w:before="0" w:after="100"/>
        <w:ind w:left="0" w:right="0" w:hanging="720"/>
        <w:jc w:val="left"/>
        <w:rPr/>
      </w:pPr>
      <w:hyperlink w:anchor="i06b7cd4726b64f7c93228e635172bb86_7">
        <w:r>
          <w:rPr>
            <w:rStyle w:val="InternetLink"/>
          </w:rPr>
          <w:t>4.</w:t>
        </w:r>
      </w:hyperlink>
      <w:hyperlink w:anchor="i06b7cd4726b64f7c93228e635172bb86_7">
        <w:r>
          <w:rPr>
            <w:rStyle w:val="InternetLink"/>
          </w:rPr>
          <w:t>    </w:t>
        </w:r>
      </w:hyperlink>
      <w:hyperlink w:anchor="i06b7cd4726b64f7c93228e635172bb86_7">
        <w:r>
          <w:rPr>
            <w:rStyle w:val="InternetLink"/>
          </w:rPr>
          <w:t>SHARES SUBJECT TO PLAN.</w:t>
        </w:r>
      </w:hyperlink>
      <w:hyperlink w:anchor="i06b7cd4726b64f7c93228e635172bb86_7">
        <w:r>
          <w:rPr>
            <w:rStyle w:val="InternetLink"/>
          </w:rPr>
          <w:t>    </w:t>
        </w:r>
      </w:hyperlink>
      <w:hyperlink w:anchor="i06b7cd4726b64f7c93228e635172bb86_7">
        <w:r>
          <w:rPr>
            <w:rStyle w:val="InternetLink"/>
          </w:rPr>
          <w:t>10</w:t>
        </w:r>
      </w:hyperlink>
    </w:p>
    <w:p>
      <w:pPr>
        <w:pStyle w:val="TextBody"/>
        <w:bidi w:val="0"/>
        <w:spacing w:lineRule="auto" w:line="288" w:before="0" w:after="100"/>
        <w:ind w:left="0" w:right="0" w:hanging="720"/>
        <w:jc w:val="left"/>
        <w:rPr/>
      </w:pPr>
      <w:hyperlink w:anchor="i06b7cd4726b64f7c93228e635172bb86_7">
        <w:r>
          <w:rPr>
            <w:rStyle w:val="InternetLink"/>
          </w:rPr>
          <w:t>4.1</w:t>
        </w:r>
      </w:hyperlink>
      <w:hyperlink w:anchor="i06b7cd4726b64f7c93228e635172bb86_7">
        <w:r>
          <w:rPr>
            <w:rStyle w:val="InternetLink"/>
          </w:rPr>
          <w:t>    </w:t>
        </w:r>
      </w:hyperlink>
      <w:hyperlink w:anchor="i06b7cd4726b64f7c93228e635172bb86_7">
        <w:r>
          <w:rPr>
            <w:rStyle w:val="InternetLink"/>
          </w:rPr>
          <w:t>Maximum Number of Shares Issuable</w:t>
        </w:r>
      </w:hyperlink>
      <w:hyperlink w:anchor="i06b7cd4726b64f7c93228e635172bb86_7">
        <w:r>
          <w:rPr>
            <w:rStyle w:val="InternetLink"/>
          </w:rPr>
          <w:t>    </w:t>
        </w:r>
      </w:hyperlink>
      <w:hyperlink w:anchor="i06b7cd4726b64f7c93228e635172bb86_7">
        <w:r>
          <w:rPr>
            <w:rStyle w:val="InternetLink"/>
          </w:rPr>
          <w:t>10</w:t>
        </w:r>
      </w:hyperlink>
    </w:p>
    <w:p>
      <w:pPr>
        <w:pStyle w:val="TextBody"/>
        <w:bidi w:val="0"/>
        <w:spacing w:lineRule="auto" w:line="288" w:before="0" w:after="100"/>
        <w:ind w:left="0" w:right="0" w:hanging="720"/>
        <w:jc w:val="left"/>
        <w:rPr/>
      </w:pPr>
      <w:hyperlink w:anchor="i06b7cd4726b64f7c93228e635172bb86_7">
        <w:r>
          <w:rPr>
            <w:rStyle w:val="InternetLink"/>
          </w:rPr>
          <w:t>4.2</w:t>
        </w:r>
      </w:hyperlink>
      <w:hyperlink w:anchor="i06b7cd4726b64f7c93228e635172bb86_7">
        <w:r>
          <w:rPr>
            <w:rStyle w:val="InternetLink"/>
          </w:rPr>
          <w:t>    </w:t>
        </w:r>
      </w:hyperlink>
      <w:hyperlink w:anchor="i06b7cd4726b64f7c93228e635172bb86_7">
        <w:r>
          <w:rPr>
            <w:rStyle w:val="InternetLink"/>
          </w:rPr>
          <w:t>Share Counting</w:t>
        </w:r>
      </w:hyperlink>
      <w:hyperlink w:anchor="i06b7cd4726b64f7c93228e635172bb86_7">
        <w:r>
          <w:rPr>
            <w:rStyle w:val="InternetLink"/>
          </w:rPr>
          <w:t>    </w:t>
        </w:r>
      </w:hyperlink>
      <w:hyperlink w:anchor="i06b7cd4726b64f7c93228e635172bb86_7">
        <w:r>
          <w:rPr>
            <w:rStyle w:val="InternetLink"/>
          </w:rPr>
          <w:t>10</w:t>
        </w:r>
      </w:hyperlink>
    </w:p>
    <w:p>
      <w:pPr>
        <w:pStyle w:val="TextBody"/>
        <w:bidi w:val="0"/>
        <w:spacing w:lineRule="auto" w:line="288" w:before="0" w:after="100"/>
        <w:ind w:left="0" w:right="0" w:hanging="720"/>
        <w:jc w:val="left"/>
        <w:rPr/>
      </w:pPr>
      <w:hyperlink w:anchor="i06b7cd4726b64f7c93228e635172bb86_7">
        <w:r>
          <w:rPr>
            <w:rStyle w:val="InternetLink"/>
          </w:rPr>
          <w:t>4.3</w:t>
        </w:r>
      </w:hyperlink>
      <w:hyperlink w:anchor="i06b7cd4726b64f7c93228e635172bb86_7">
        <w:r>
          <w:rPr>
            <w:rStyle w:val="InternetLink"/>
          </w:rPr>
          <w:t>    </w:t>
        </w:r>
      </w:hyperlink>
      <w:hyperlink w:anchor="i06b7cd4726b64f7c93228e635172bb86_7">
        <w:r>
          <w:rPr>
            <w:rStyle w:val="InternetLink"/>
          </w:rPr>
          <w:t>Adjustments for Changes in Capital Structure</w:t>
        </w:r>
      </w:hyperlink>
      <w:hyperlink w:anchor="i06b7cd4726b64f7c93228e635172bb86_7">
        <w:r>
          <w:rPr>
            <w:rStyle w:val="InternetLink"/>
          </w:rPr>
          <w:t>    </w:t>
        </w:r>
      </w:hyperlink>
      <w:hyperlink w:anchor="i06b7cd4726b64f7c93228e635172bb86_7">
        <w:r>
          <w:rPr>
            <w:rStyle w:val="InternetLink"/>
          </w:rPr>
          <w:t>10</w:t>
        </w:r>
      </w:hyperlink>
    </w:p>
    <w:p>
      <w:pPr>
        <w:pStyle w:val="TextBody"/>
        <w:bidi w:val="0"/>
        <w:spacing w:lineRule="auto" w:line="288" w:before="0" w:after="100"/>
        <w:ind w:left="0" w:right="0" w:hanging="720"/>
        <w:jc w:val="left"/>
        <w:rPr/>
      </w:pPr>
      <w:hyperlink w:anchor="i06b7cd4726b64f7c93228e635172bb86_7">
        <w:r>
          <w:rPr>
            <w:rStyle w:val="InternetLink"/>
          </w:rPr>
          <w:t>4.4</w:t>
        </w:r>
      </w:hyperlink>
      <w:hyperlink w:anchor="i06b7cd4726b64f7c93228e635172bb86_7">
        <w:r>
          <w:rPr>
            <w:rStyle w:val="InternetLink"/>
          </w:rPr>
          <w:t>    </w:t>
        </w:r>
      </w:hyperlink>
      <w:hyperlink w:anchor="i06b7cd4726b64f7c93228e635172bb86_7">
        <w:r>
          <w:rPr>
            <w:rStyle w:val="InternetLink"/>
          </w:rPr>
          <w:t>Assumption or Substitution of Awards</w:t>
        </w:r>
      </w:hyperlink>
      <w:hyperlink w:anchor="i06b7cd4726b64f7c93228e635172bb86_7">
        <w:r>
          <w:rPr>
            <w:rStyle w:val="InternetLink"/>
          </w:rPr>
          <w:t>    </w:t>
        </w:r>
      </w:hyperlink>
      <w:hyperlink w:anchor="i06b7cd4726b64f7c93228e635172bb86_7">
        <w:r>
          <w:rPr>
            <w:rStyle w:val="InternetLink"/>
          </w:rPr>
          <w:t>11</w:t>
        </w:r>
      </w:hyperlink>
    </w:p>
    <w:p>
      <w:pPr>
        <w:pStyle w:val="TextBody"/>
        <w:bidi w:val="0"/>
        <w:spacing w:lineRule="auto" w:line="288" w:before="0" w:after="100"/>
        <w:ind w:left="0" w:right="0" w:hanging="720"/>
        <w:jc w:val="left"/>
        <w:rPr/>
      </w:pPr>
      <w:hyperlink w:anchor="i06b7cd4726b64f7c93228e635172bb86_7">
        <w:r>
          <w:rPr>
            <w:rStyle w:val="InternetLink"/>
          </w:rPr>
          <w:t>5.</w:t>
        </w:r>
      </w:hyperlink>
      <w:hyperlink w:anchor="i06b7cd4726b64f7c93228e635172bb86_7">
        <w:r>
          <w:rPr>
            <w:rStyle w:val="InternetLink"/>
          </w:rPr>
          <w:t>    </w:t>
        </w:r>
      </w:hyperlink>
      <w:hyperlink w:anchor="i06b7cd4726b64f7c93228e635172bb86_7">
        <w:r>
          <w:rPr>
            <w:rStyle w:val="InternetLink"/>
          </w:rPr>
          <w:t>ELIGIBILITY, PARTICIPATION AND AWARD LIMITATIONS.</w:t>
        </w:r>
      </w:hyperlink>
      <w:hyperlink w:anchor="i06b7cd4726b64f7c93228e635172bb86_7">
        <w:r>
          <w:rPr>
            <w:rStyle w:val="InternetLink"/>
          </w:rPr>
          <w:t>    </w:t>
        </w:r>
      </w:hyperlink>
      <w:hyperlink w:anchor="i06b7cd4726b64f7c93228e635172bb86_7">
        <w:r>
          <w:rPr>
            <w:rStyle w:val="InternetLink"/>
          </w:rPr>
          <w:t>11</w:t>
        </w:r>
      </w:hyperlink>
    </w:p>
    <w:p>
      <w:pPr>
        <w:pStyle w:val="TextBody"/>
        <w:bidi w:val="0"/>
        <w:spacing w:lineRule="auto" w:line="288" w:before="0" w:after="100"/>
        <w:ind w:left="0" w:right="0" w:hanging="720"/>
        <w:jc w:val="left"/>
        <w:rPr/>
      </w:pPr>
      <w:hyperlink w:anchor="i06b7cd4726b64f7c93228e635172bb86_7">
        <w:r>
          <w:rPr>
            <w:rStyle w:val="InternetLink"/>
          </w:rPr>
          <w:t>5.1</w:t>
        </w:r>
      </w:hyperlink>
      <w:hyperlink w:anchor="i06b7cd4726b64f7c93228e635172bb86_7">
        <w:r>
          <w:rPr>
            <w:rStyle w:val="InternetLink"/>
          </w:rPr>
          <w:t>    </w:t>
        </w:r>
      </w:hyperlink>
      <w:hyperlink w:anchor="i06b7cd4726b64f7c93228e635172bb86_7">
        <w:r>
          <w:rPr>
            <w:rStyle w:val="InternetLink"/>
          </w:rPr>
          <w:t>Persons Eligible for Awards</w:t>
        </w:r>
      </w:hyperlink>
      <w:hyperlink w:anchor="i06b7cd4726b64f7c93228e635172bb86_7">
        <w:r>
          <w:rPr>
            <w:rStyle w:val="InternetLink"/>
          </w:rPr>
          <w:t>    </w:t>
        </w:r>
      </w:hyperlink>
      <w:hyperlink w:anchor="i06b7cd4726b64f7c93228e635172bb86_7">
        <w:r>
          <w:rPr>
            <w:rStyle w:val="InternetLink"/>
          </w:rPr>
          <w:t>11</w:t>
        </w:r>
      </w:hyperlink>
    </w:p>
    <w:p>
      <w:pPr>
        <w:pStyle w:val="TextBody"/>
        <w:bidi w:val="0"/>
        <w:spacing w:lineRule="auto" w:line="288" w:before="0" w:after="100"/>
        <w:ind w:left="0" w:right="0" w:hanging="720"/>
        <w:jc w:val="left"/>
        <w:rPr/>
      </w:pPr>
      <w:hyperlink w:anchor="i06b7cd4726b64f7c93228e635172bb86_7">
        <w:r>
          <w:rPr>
            <w:rStyle w:val="InternetLink"/>
          </w:rPr>
          <w:t>5.2</w:t>
        </w:r>
      </w:hyperlink>
      <w:hyperlink w:anchor="i06b7cd4726b64f7c93228e635172bb86_7">
        <w:r>
          <w:rPr>
            <w:rStyle w:val="InternetLink"/>
          </w:rPr>
          <w:t>    </w:t>
        </w:r>
      </w:hyperlink>
      <w:hyperlink w:anchor="i06b7cd4726b64f7c93228e635172bb86_7">
        <w:r>
          <w:rPr>
            <w:rStyle w:val="InternetLink"/>
          </w:rPr>
          <w:t>Participation in the Plan</w:t>
        </w:r>
      </w:hyperlink>
      <w:hyperlink w:anchor="i06b7cd4726b64f7c93228e635172bb86_7">
        <w:r>
          <w:rPr>
            <w:rStyle w:val="InternetLink"/>
          </w:rPr>
          <w:t>    </w:t>
        </w:r>
      </w:hyperlink>
      <w:hyperlink w:anchor="i06b7cd4726b64f7c93228e635172bb86_7">
        <w:r>
          <w:rPr>
            <w:rStyle w:val="InternetLink"/>
          </w:rPr>
          <w:t>11</w:t>
        </w:r>
      </w:hyperlink>
    </w:p>
    <w:p>
      <w:pPr>
        <w:pStyle w:val="TextBody"/>
        <w:bidi w:val="0"/>
        <w:spacing w:lineRule="auto" w:line="288" w:before="0" w:after="100"/>
        <w:ind w:left="0" w:right="0" w:hanging="720"/>
        <w:jc w:val="left"/>
        <w:rPr/>
      </w:pPr>
      <w:hyperlink w:anchor="i06b7cd4726b64f7c93228e635172bb86_7">
        <w:r>
          <w:rPr>
            <w:rStyle w:val="InternetLink"/>
          </w:rPr>
          <w:t>5.3</w:t>
        </w:r>
      </w:hyperlink>
      <w:hyperlink w:anchor="i06b7cd4726b64f7c93228e635172bb86_7">
        <w:r>
          <w:rPr>
            <w:rStyle w:val="InternetLink"/>
          </w:rPr>
          <w:t>    </w:t>
        </w:r>
      </w:hyperlink>
      <w:hyperlink w:anchor="i06b7cd4726b64f7c93228e635172bb86_7">
        <w:r>
          <w:rPr>
            <w:rStyle w:val="InternetLink"/>
          </w:rPr>
          <w:t>Incentive Stock Option Limitations</w:t>
        </w:r>
      </w:hyperlink>
      <w:hyperlink w:anchor="i06b7cd4726b64f7c93228e635172bb86_7">
        <w:r>
          <w:rPr>
            <w:rStyle w:val="InternetLink"/>
          </w:rPr>
          <w:t>    </w:t>
        </w:r>
      </w:hyperlink>
      <w:hyperlink w:anchor="i06b7cd4726b64f7c93228e635172bb86_7">
        <w:r>
          <w:rPr>
            <w:rStyle w:val="InternetLink"/>
          </w:rPr>
          <w:t>11</w:t>
        </w:r>
      </w:hyperlink>
    </w:p>
    <w:p>
      <w:pPr>
        <w:pStyle w:val="TextBody"/>
        <w:bidi w:val="0"/>
        <w:spacing w:lineRule="auto" w:line="288" w:before="0" w:after="100"/>
        <w:ind w:left="0" w:right="0" w:hanging="720"/>
        <w:jc w:val="left"/>
        <w:rPr/>
      </w:pPr>
      <w:hyperlink w:anchor="i06b7cd4726b64f7c93228e635172bb86_7">
        <w:r>
          <w:rPr>
            <w:rStyle w:val="InternetLink"/>
          </w:rPr>
          <w:t>5.4</w:t>
        </w:r>
      </w:hyperlink>
      <w:hyperlink w:anchor="i06b7cd4726b64f7c93228e635172bb86_7">
        <w:r>
          <w:rPr>
            <w:rStyle w:val="InternetLink"/>
          </w:rPr>
          <w:t>    </w:t>
        </w:r>
      </w:hyperlink>
      <w:hyperlink w:anchor="i06b7cd4726b64f7c93228e635172bb86_7">
        <w:r>
          <w:rPr>
            <w:rStyle w:val="InternetLink"/>
          </w:rPr>
          <w:t>Nonemployee Director Award Limit</w:t>
        </w:r>
      </w:hyperlink>
      <w:hyperlink w:anchor="i06b7cd4726b64f7c93228e635172bb86_7">
        <w:r>
          <w:rPr>
            <w:rStyle w:val="InternetLink"/>
          </w:rPr>
          <w:t>    </w:t>
        </w:r>
      </w:hyperlink>
      <w:hyperlink w:anchor="i06b7cd4726b64f7c93228e635172bb86_7">
        <w:r>
          <w:rPr>
            <w:rStyle w:val="InternetLink"/>
          </w:rPr>
          <w:t>12</w:t>
        </w:r>
      </w:hyperlink>
    </w:p>
    <w:p>
      <w:pPr>
        <w:pStyle w:val="TextBody"/>
        <w:bidi w:val="0"/>
        <w:spacing w:lineRule="auto" w:line="288" w:before="0" w:after="100"/>
        <w:ind w:left="0" w:right="0" w:hanging="720"/>
        <w:jc w:val="left"/>
        <w:rPr/>
      </w:pPr>
      <w:hyperlink w:anchor="i06b7cd4726b64f7c93228e635172bb86_7">
        <w:r>
          <w:rPr>
            <w:rStyle w:val="InternetLink"/>
          </w:rPr>
          <w:t>6.</w:t>
        </w:r>
      </w:hyperlink>
      <w:hyperlink w:anchor="i06b7cd4726b64f7c93228e635172bb86_7">
        <w:r>
          <w:rPr>
            <w:rStyle w:val="InternetLink"/>
          </w:rPr>
          <w:t>    </w:t>
        </w:r>
      </w:hyperlink>
      <w:hyperlink w:anchor="i06b7cd4726b64f7c93228e635172bb86_7">
        <w:r>
          <w:rPr>
            <w:rStyle w:val="InternetLink"/>
          </w:rPr>
          <w:t>STOCK OPTIONS.</w:t>
        </w:r>
      </w:hyperlink>
      <w:hyperlink w:anchor="i06b7cd4726b64f7c93228e635172bb86_7">
        <w:r>
          <w:rPr>
            <w:rStyle w:val="InternetLink"/>
          </w:rPr>
          <w:t>    </w:t>
        </w:r>
      </w:hyperlink>
      <w:hyperlink w:anchor="i06b7cd4726b64f7c93228e635172bb86_7">
        <w:r>
          <w:rPr>
            <w:rStyle w:val="InternetLink"/>
          </w:rPr>
          <w:t>12</w:t>
        </w:r>
      </w:hyperlink>
    </w:p>
    <w:p>
      <w:pPr>
        <w:pStyle w:val="TextBody"/>
        <w:bidi w:val="0"/>
        <w:spacing w:lineRule="auto" w:line="288" w:before="0" w:after="100"/>
        <w:ind w:left="0" w:right="0" w:hanging="720"/>
        <w:jc w:val="left"/>
        <w:rPr/>
      </w:pPr>
      <w:hyperlink w:anchor="i06b7cd4726b64f7c93228e635172bb86_7">
        <w:r>
          <w:rPr>
            <w:rStyle w:val="InternetLink"/>
          </w:rPr>
          <w:t>6.1</w:t>
        </w:r>
      </w:hyperlink>
      <w:hyperlink w:anchor="i06b7cd4726b64f7c93228e635172bb86_7">
        <w:r>
          <w:rPr>
            <w:rStyle w:val="InternetLink"/>
          </w:rPr>
          <w:t>    </w:t>
        </w:r>
      </w:hyperlink>
      <w:hyperlink w:anchor="i06b7cd4726b64f7c93228e635172bb86_7">
        <w:r>
          <w:rPr>
            <w:rStyle w:val="InternetLink"/>
          </w:rPr>
          <w:t>Exercise Price</w:t>
        </w:r>
      </w:hyperlink>
      <w:hyperlink w:anchor="i06b7cd4726b64f7c93228e635172bb86_7">
        <w:r>
          <w:rPr>
            <w:rStyle w:val="InternetLink"/>
          </w:rPr>
          <w:t>    </w:t>
        </w:r>
      </w:hyperlink>
      <w:hyperlink w:anchor="i06b7cd4726b64f7c93228e635172bb86_7">
        <w:r>
          <w:rPr>
            <w:rStyle w:val="InternetLink"/>
          </w:rPr>
          <w:t>12</w:t>
        </w:r>
      </w:hyperlink>
    </w:p>
    <w:p>
      <w:pPr>
        <w:pStyle w:val="TextBody"/>
        <w:bidi w:val="0"/>
        <w:spacing w:lineRule="auto" w:line="288" w:before="0" w:after="100"/>
        <w:ind w:left="0" w:right="0" w:hanging="720"/>
        <w:jc w:val="left"/>
        <w:rPr/>
      </w:pPr>
      <w:hyperlink w:anchor="i06b7cd4726b64f7c93228e635172bb86_7">
        <w:r>
          <w:rPr>
            <w:rStyle w:val="InternetLink"/>
          </w:rPr>
          <w:t>6.2</w:t>
        </w:r>
      </w:hyperlink>
      <w:hyperlink w:anchor="i06b7cd4726b64f7c93228e635172bb86_7">
        <w:r>
          <w:rPr>
            <w:rStyle w:val="InternetLink"/>
          </w:rPr>
          <w:t>    </w:t>
        </w:r>
      </w:hyperlink>
      <w:hyperlink w:anchor="i06b7cd4726b64f7c93228e635172bb86_7">
        <w:r>
          <w:rPr>
            <w:rStyle w:val="InternetLink"/>
          </w:rPr>
          <w:t>Exercisability and Term of Options</w:t>
        </w:r>
      </w:hyperlink>
      <w:hyperlink w:anchor="i06b7cd4726b64f7c93228e635172bb86_7">
        <w:r>
          <w:rPr>
            <w:rStyle w:val="InternetLink"/>
          </w:rPr>
          <w:t>    </w:t>
        </w:r>
      </w:hyperlink>
      <w:hyperlink w:anchor="i06b7cd4726b64f7c93228e635172bb86_7">
        <w:r>
          <w:rPr>
            <w:rStyle w:val="InternetLink"/>
          </w:rPr>
          <w:t>12</w:t>
        </w:r>
      </w:hyperlink>
    </w:p>
    <w:p>
      <w:pPr>
        <w:pStyle w:val="TextBody"/>
        <w:bidi w:val="0"/>
        <w:spacing w:lineRule="auto" w:line="288" w:before="0" w:after="100"/>
        <w:ind w:left="0" w:right="0" w:hanging="720"/>
        <w:jc w:val="left"/>
        <w:rPr/>
      </w:pPr>
      <w:hyperlink w:anchor="i06b7cd4726b64f7c93228e635172bb86_7">
        <w:r>
          <w:rPr>
            <w:rStyle w:val="InternetLink"/>
          </w:rPr>
          <w:t>6.3</w:t>
        </w:r>
      </w:hyperlink>
      <w:hyperlink w:anchor="i06b7cd4726b64f7c93228e635172bb86_7">
        <w:r>
          <w:rPr>
            <w:rStyle w:val="InternetLink"/>
          </w:rPr>
          <w:t>    </w:t>
        </w:r>
      </w:hyperlink>
      <w:hyperlink w:anchor="i06b7cd4726b64f7c93228e635172bb86_7">
        <w:r>
          <w:rPr>
            <w:rStyle w:val="InternetLink"/>
          </w:rPr>
          <w:t>Payment of Exercise Price</w:t>
        </w:r>
      </w:hyperlink>
      <w:hyperlink w:anchor="i06b7cd4726b64f7c93228e635172bb86_7">
        <w:r>
          <w:rPr>
            <w:rStyle w:val="InternetLink"/>
          </w:rPr>
          <w:t>    </w:t>
        </w:r>
      </w:hyperlink>
      <w:hyperlink w:anchor="i06b7cd4726b64f7c93228e635172bb86_7">
        <w:r>
          <w:rPr>
            <w:rStyle w:val="InternetLink"/>
          </w:rPr>
          <w:t>13</w:t>
        </w:r>
      </w:hyperlink>
    </w:p>
    <w:p>
      <w:pPr>
        <w:pStyle w:val="TextBody"/>
        <w:bidi w:val="0"/>
        <w:spacing w:lineRule="auto" w:line="288" w:before="0" w:after="100"/>
        <w:ind w:left="0" w:right="0" w:hanging="720"/>
        <w:jc w:val="left"/>
        <w:rPr/>
      </w:pPr>
      <w:hyperlink w:anchor="i06b7cd4726b64f7c93228e635172bb86_7">
        <w:r>
          <w:rPr>
            <w:rStyle w:val="InternetLink"/>
          </w:rPr>
          <w:t>6.4</w:t>
        </w:r>
      </w:hyperlink>
      <w:hyperlink w:anchor="i06b7cd4726b64f7c93228e635172bb86_7">
        <w:r>
          <w:rPr>
            <w:rStyle w:val="InternetLink"/>
          </w:rPr>
          <w:t>    </w:t>
        </w:r>
      </w:hyperlink>
      <w:hyperlink w:anchor="i06b7cd4726b64f7c93228e635172bb86_7">
        <w:r>
          <w:rPr>
            <w:rStyle w:val="InternetLink"/>
          </w:rPr>
          <w:t>Effect of Termination of Service</w:t>
        </w:r>
      </w:hyperlink>
      <w:hyperlink w:anchor="i06b7cd4726b64f7c93228e635172bb86_7">
        <w:r>
          <w:rPr>
            <w:rStyle w:val="InternetLink"/>
          </w:rPr>
          <w:t>    </w:t>
        </w:r>
      </w:hyperlink>
      <w:hyperlink w:anchor="i06b7cd4726b64f7c93228e635172bb86_7">
        <w:r>
          <w:rPr>
            <w:rStyle w:val="InternetLink"/>
          </w:rPr>
          <w:t>14</w:t>
        </w:r>
      </w:hyperlink>
    </w:p>
    <w:p>
      <w:pPr>
        <w:pStyle w:val="TextBody"/>
        <w:bidi w:val="0"/>
        <w:spacing w:lineRule="auto" w:line="288" w:before="0" w:after="100"/>
        <w:ind w:left="0" w:right="0" w:hanging="720"/>
        <w:jc w:val="left"/>
        <w:rPr/>
      </w:pPr>
      <w:hyperlink w:anchor="i06b7cd4726b64f7c93228e635172bb86_7">
        <w:r>
          <w:rPr>
            <w:rStyle w:val="InternetLink"/>
          </w:rPr>
          <w:t>6.5</w:t>
        </w:r>
      </w:hyperlink>
      <w:hyperlink w:anchor="i06b7cd4726b64f7c93228e635172bb86_7">
        <w:r>
          <w:rPr>
            <w:rStyle w:val="InternetLink"/>
          </w:rPr>
          <w:t>    </w:t>
        </w:r>
      </w:hyperlink>
      <w:hyperlink w:anchor="i06b7cd4726b64f7c93228e635172bb86_7">
        <w:r>
          <w:rPr>
            <w:rStyle w:val="InternetLink"/>
          </w:rPr>
          <w:t>Transferability of Options</w:t>
        </w:r>
      </w:hyperlink>
      <w:hyperlink w:anchor="i06b7cd4726b64f7c93228e635172bb86_7">
        <w:r>
          <w:rPr>
            <w:rStyle w:val="InternetLink"/>
          </w:rPr>
          <w:t>    </w:t>
        </w:r>
      </w:hyperlink>
      <w:hyperlink w:anchor="i06b7cd4726b64f7c93228e635172bb86_7">
        <w:r>
          <w:rPr>
            <w:rStyle w:val="InternetLink"/>
          </w:rPr>
          <w:t>14</w:t>
        </w:r>
      </w:hyperlink>
    </w:p>
    <w:p>
      <w:pPr>
        <w:pStyle w:val="TextBody"/>
        <w:bidi w:val="0"/>
        <w:spacing w:lineRule="auto" w:line="288" w:before="0" w:after="100"/>
        <w:ind w:left="0" w:right="0" w:hanging="720"/>
        <w:jc w:val="left"/>
        <w:rPr/>
      </w:pPr>
      <w:hyperlink w:anchor="i06b7cd4726b64f7c93228e635172bb86_7">
        <w:r>
          <w:rPr>
            <w:rStyle w:val="InternetLink"/>
          </w:rPr>
          <w:t>7.</w:t>
        </w:r>
      </w:hyperlink>
      <w:hyperlink w:anchor="i06b7cd4726b64f7c93228e635172bb86_7">
        <w:r>
          <w:rPr>
            <w:rStyle w:val="InternetLink"/>
          </w:rPr>
          <w:t>    </w:t>
        </w:r>
      </w:hyperlink>
      <w:hyperlink w:anchor="i06b7cd4726b64f7c93228e635172bb86_7">
        <w:r>
          <w:rPr>
            <w:rStyle w:val="InternetLink"/>
          </w:rPr>
          <w:t>STOCK APPRECIATION RIGHTS.</w:t>
        </w:r>
      </w:hyperlink>
      <w:hyperlink w:anchor="i06b7cd4726b64f7c93228e635172bb86_7">
        <w:r>
          <w:rPr>
            <w:rStyle w:val="InternetLink"/>
          </w:rPr>
          <w:t>    </w:t>
        </w:r>
      </w:hyperlink>
      <w:hyperlink w:anchor="i06b7cd4726b64f7c93228e635172bb86_7">
        <w:r>
          <w:rPr>
            <w:rStyle w:val="InternetLink"/>
          </w:rPr>
          <w:t>15</w:t>
        </w:r>
      </w:hyperlink>
    </w:p>
    <w:p>
      <w:pPr>
        <w:pStyle w:val="TextBody"/>
        <w:bidi w:val="0"/>
        <w:spacing w:lineRule="auto" w:line="288" w:before="0" w:after="100"/>
        <w:ind w:left="0" w:right="0" w:hanging="720"/>
        <w:jc w:val="left"/>
        <w:rPr/>
      </w:pPr>
      <w:hyperlink w:anchor="i06b7cd4726b64f7c93228e635172bb86_7">
        <w:r>
          <w:rPr>
            <w:rStyle w:val="InternetLink"/>
          </w:rPr>
          <w:t>7.1</w:t>
        </w:r>
      </w:hyperlink>
      <w:hyperlink w:anchor="i06b7cd4726b64f7c93228e635172bb86_7">
        <w:r>
          <w:rPr>
            <w:rStyle w:val="InternetLink"/>
          </w:rPr>
          <w:t>    </w:t>
        </w:r>
      </w:hyperlink>
      <w:hyperlink w:anchor="i06b7cd4726b64f7c93228e635172bb86_7">
        <w:r>
          <w:rPr>
            <w:rStyle w:val="InternetLink"/>
          </w:rPr>
          <w:t>Types of SARs Authorized</w:t>
        </w:r>
      </w:hyperlink>
      <w:hyperlink w:anchor="i06b7cd4726b64f7c93228e635172bb86_7">
        <w:r>
          <w:rPr>
            <w:rStyle w:val="InternetLink"/>
          </w:rPr>
          <w:t>    </w:t>
        </w:r>
      </w:hyperlink>
      <w:hyperlink w:anchor="i06b7cd4726b64f7c93228e635172bb86_7">
        <w:r>
          <w:rPr>
            <w:rStyle w:val="InternetLink"/>
          </w:rPr>
          <w:t>15</w:t>
        </w:r>
      </w:hyperlink>
    </w:p>
    <w:p>
      <w:pPr>
        <w:pStyle w:val="TextBody"/>
        <w:bidi w:val="0"/>
        <w:spacing w:lineRule="auto" w:line="288" w:before="0" w:after="100"/>
        <w:ind w:left="0" w:right="0" w:hanging="720"/>
        <w:jc w:val="left"/>
        <w:rPr/>
      </w:pPr>
      <w:hyperlink w:anchor="i06b7cd4726b64f7c93228e635172bb86_7">
        <w:r>
          <w:rPr>
            <w:rStyle w:val="InternetLink"/>
          </w:rPr>
          <w:t>7.2</w:t>
        </w:r>
      </w:hyperlink>
      <w:hyperlink w:anchor="i06b7cd4726b64f7c93228e635172bb86_7">
        <w:r>
          <w:rPr>
            <w:rStyle w:val="InternetLink"/>
          </w:rPr>
          <w:t>    </w:t>
        </w:r>
      </w:hyperlink>
      <w:hyperlink w:anchor="i06b7cd4726b64f7c93228e635172bb86_7">
        <w:r>
          <w:rPr>
            <w:rStyle w:val="InternetLink"/>
          </w:rPr>
          <w:t>Exercise Price</w:t>
        </w:r>
      </w:hyperlink>
      <w:hyperlink w:anchor="i06b7cd4726b64f7c93228e635172bb86_7">
        <w:r>
          <w:rPr>
            <w:rStyle w:val="InternetLink"/>
          </w:rPr>
          <w:t>    </w:t>
        </w:r>
      </w:hyperlink>
      <w:hyperlink w:anchor="i06b7cd4726b64f7c93228e635172bb86_7">
        <w:r>
          <w:rPr>
            <w:rStyle w:val="InternetLink"/>
          </w:rPr>
          <w:t>15</w:t>
        </w:r>
      </w:hyperlink>
    </w:p>
    <w:p>
      <w:pPr>
        <w:pStyle w:val="TextBody"/>
        <w:bidi w:val="0"/>
        <w:spacing w:lineRule="auto" w:line="288" w:before="0" w:after="100"/>
        <w:ind w:left="0" w:right="0" w:hanging="720"/>
        <w:jc w:val="left"/>
        <w:rPr/>
      </w:pPr>
      <w:hyperlink w:anchor="i06b7cd4726b64f7c93228e635172bb86_7">
        <w:r>
          <w:rPr>
            <w:rStyle w:val="InternetLink"/>
          </w:rPr>
          <w:t>7.3</w:t>
        </w:r>
      </w:hyperlink>
      <w:hyperlink w:anchor="i06b7cd4726b64f7c93228e635172bb86_7">
        <w:r>
          <w:rPr>
            <w:rStyle w:val="InternetLink"/>
          </w:rPr>
          <w:t>    </w:t>
        </w:r>
      </w:hyperlink>
      <w:hyperlink w:anchor="i06b7cd4726b64f7c93228e635172bb86_7">
        <w:r>
          <w:rPr>
            <w:rStyle w:val="InternetLink"/>
          </w:rPr>
          <w:t>Exercisability and Term of SARs</w:t>
        </w:r>
      </w:hyperlink>
      <w:hyperlink w:anchor="i06b7cd4726b64f7c93228e635172bb86_7">
        <w:r>
          <w:rPr>
            <w:rStyle w:val="InternetLink"/>
          </w:rPr>
          <w:t>    </w:t>
        </w:r>
      </w:hyperlink>
      <w:hyperlink w:anchor="i06b7cd4726b64f7c93228e635172bb86_7">
        <w:r>
          <w:rPr>
            <w:rStyle w:val="InternetLink"/>
          </w:rPr>
          <w:t>15</w:t>
        </w:r>
      </w:hyperlink>
    </w:p>
    <w:p>
      <w:pPr>
        <w:pStyle w:val="TextBody"/>
        <w:bidi w:val="0"/>
        <w:spacing w:lineRule="auto" w:line="288" w:before="0" w:after="100"/>
        <w:ind w:left="0" w:right="0" w:hanging="720"/>
        <w:jc w:val="left"/>
        <w:rPr/>
      </w:pPr>
      <w:hyperlink w:anchor="i06b7cd4726b64f7c93228e635172bb86_7">
        <w:r>
          <w:rPr>
            <w:rStyle w:val="InternetLink"/>
          </w:rPr>
          <w:t>7.4</w:t>
        </w:r>
      </w:hyperlink>
      <w:hyperlink w:anchor="i06b7cd4726b64f7c93228e635172bb86_7">
        <w:r>
          <w:rPr>
            <w:rStyle w:val="InternetLink"/>
          </w:rPr>
          <w:t>    </w:t>
        </w:r>
      </w:hyperlink>
      <w:hyperlink w:anchor="i06b7cd4726b64f7c93228e635172bb86_7">
        <w:r>
          <w:rPr>
            <w:rStyle w:val="InternetLink"/>
          </w:rPr>
          <w:t>Exercise of SARs</w:t>
        </w:r>
      </w:hyperlink>
      <w:hyperlink w:anchor="i06b7cd4726b64f7c93228e635172bb86_7">
        <w:r>
          <w:rPr>
            <w:rStyle w:val="InternetLink"/>
          </w:rPr>
          <w:t>    </w:t>
        </w:r>
      </w:hyperlink>
      <w:hyperlink w:anchor="i06b7cd4726b64f7c93228e635172bb86_7">
        <w:r>
          <w:rPr>
            <w:rStyle w:val="InternetLink"/>
          </w:rPr>
          <w:t>16</w:t>
        </w:r>
      </w:hyperlink>
    </w:p>
    <w:p>
      <w:pPr>
        <w:pStyle w:val="TextBody"/>
        <w:bidi w:val="0"/>
        <w:spacing w:lineRule="auto" w:line="288" w:before="0" w:after="100"/>
        <w:ind w:left="0" w:right="0" w:hanging="720"/>
        <w:jc w:val="left"/>
        <w:rPr/>
      </w:pPr>
      <w:hyperlink w:anchor="i06b7cd4726b64f7c93228e635172bb86_7">
        <w:r>
          <w:rPr>
            <w:rStyle w:val="InternetLink"/>
          </w:rPr>
          <w:t>7.5</w:t>
        </w:r>
      </w:hyperlink>
      <w:hyperlink w:anchor="i06b7cd4726b64f7c93228e635172bb86_7">
        <w:r>
          <w:rPr>
            <w:rStyle w:val="InternetLink"/>
          </w:rPr>
          <w:t>    </w:t>
        </w:r>
      </w:hyperlink>
      <w:hyperlink w:anchor="i06b7cd4726b64f7c93228e635172bb86_7">
        <w:r>
          <w:rPr>
            <w:rStyle w:val="InternetLink"/>
          </w:rPr>
          <w:t>Deemed Exercise of SARs</w:t>
        </w:r>
      </w:hyperlink>
      <w:hyperlink w:anchor="i06b7cd4726b64f7c93228e635172bb86_7">
        <w:r>
          <w:rPr>
            <w:rStyle w:val="InternetLink"/>
          </w:rPr>
          <w:t>    </w:t>
        </w:r>
      </w:hyperlink>
      <w:hyperlink w:anchor="i06b7cd4726b64f7c93228e635172bb86_7">
        <w:r>
          <w:rPr>
            <w:rStyle w:val="InternetLink"/>
          </w:rPr>
          <w:t>16</w:t>
        </w:r>
      </w:hyperlink>
    </w:p>
    <w:p>
      <w:pPr>
        <w:pStyle w:val="TextBody"/>
        <w:bidi w:val="0"/>
        <w:spacing w:lineRule="auto" w:line="288" w:before="0" w:after="100"/>
        <w:ind w:left="0" w:right="0" w:hanging="720"/>
        <w:jc w:val="left"/>
        <w:rPr/>
      </w:pPr>
      <w:hyperlink w:anchor="i06b7cd4726b64f7c93228e635172bb86_7">
        <w:r>
          <w:rPr>
            <w:rStyle w:val="InternetLink"/>
          </w:rPr>
          <w:t>7.6</w:t>
        </w:r>
      </w:hyperlink>
      <w:hyperlink w:anchor="i06b7cd4726b64f7c93228e635172bb86_7">
        <w:r>
          <w:rPr>
            <w:rStyle w:val="InternetLink"/>
          </w:rPr>
          <w:t>    </w:t>
        </w:r>
      </w:hyperlink>
      <w:hyperlink w:anchor="i06b7cd4726b64f7c93228e635172bb86_7">
        <w:r>
          <w:rPr>
            <w:rStyle w:val="InternetLink"/>
          </w:rPr>
          <w:t>Effect of Termination of Service</w:t>
        </w:r>
      </w:hyperlink>
      <w:hyperlink w:anchor="i06b7cd4726b64f7c93228e635172bb86_7">
        <w:r>
          <w:rPr>
            <w:rStyle w:val="InternetLink"/>
          </w:rPr>
          <w:t>    </w:t>
        </w:r>
      </w:hyperlink>
      <w:hyperlink w:anchor="i06b7cd4726b64f7c93228e635172bb86_7">
        <w:r>
          <w:rPr>
            <w:rStyle w:val="InternetLink"/>
          </w:rPr>
          <w:t>16</w:t>
        </w:r>
      </w:hyperlink>
    </w:p>
    <w:p>
      <w:pPr>
        <w:pStyle w:val="TextBody"/>
        <w:bidi w:val="0"/>
        <w:spacing w:lineRule="auto" w:line="288" w:before="0" w:after="100"/>
        <w:ind w:left="0" w:right="0" w:hanging="720"/>
        <w:jc w:val="left"/>
        <w:rPr/>
      </w:pPr>
      <w:hyperlink w:anchor="i06b7cd4726b64f7c93228e635172bb86_7">
        <w:r>
          <w:rPr>
            <w:rStyle w:val="InternetLink"/>
          </w:rPr>
          <w:t>7.7</w:t>
        </w:r>
      </w:hyperlink>
      <w:hyperlink w:anchor="i06b7cd4726b64f7c93228e635172bb86_7">
        <w:r>
          <w:rPr>
            <w:rStyle w:val="InternetLink"/>
          </w:rPr>
          <w:t>    </w:t>
        </w:r>
      </w:hyperlink>
      <w:hyperlink w:anchor="i06b7cd4726b64f7c93228e635172bb86_7">
        <w:r>
          <w:rPr>
            <w:rStyle w:val="InternetLink"/>
          </w:rPr>
          <w:t>Transferability of SARs</w:t>
        </w:r>
      </w:hyperlink>
      <w:hyperlink w:anchor="i06b7cd4726b64f7c93228e635172bb86_7">
        <w:r>
          <w:rPr>
            <w:rStyle w:val="InternetLink"/>
          </w:rPr>
          <w:t>    </w:t>
        </w:r>
      </w:hyperlink>
      <w:hyperlink w:anchor="i06b7cd4726b64f7c93228e635172bb86_7">
        <w:r>
          <w:rPr>
            <w:rStyle w:val="InternetLink"/>
          </w:rPr>
          <w:t>16</w:t>
        </w:r>
      </w:hyperlink>
    </w:p>
    <w:p>
      <w:pPr>
        <w:pStyle w:val="TextBody"/>
        <w:bidi w:val="0"/>
        <w:spacing w:lineRule="auto" w:line="288" w:before="0" w:after="100"/>
        <w:ind w:left="0" w:right="0" w:hanging="720"/>
        <w:jc w:val="left"/>
        <w:rPr/>
      </w:pPr>
      <w:hyperlink w:anchor="i06b7cd4726b64f7c93228e635172bb86_7">
        <w:r>
          <w:rPr>
            <w:rStyle w:val="InternetLink"/>
          </w:rPr>
          <w:t>8.</w:t>
        </w:r>
      </w:hyperlink>
      <w:hyperlink w:anchor="i06b7cd4726b64f7c93228e635172bb86_7">
        <w:r>
          <w:rPr>
            <w:rStyle w:val="InternetLink"/>
          </w:rPr>
          <w:t>    </w:t>
        </w:r>
      </w:hyperlink>
      <w:hyperlink w:anchor="i06b7cd4726b64f7c93228e635172bb86_7">
        <w:r>
          <w:rPr>
            <w:rStyle w:val="InternetLink"/>
          </w:rPr>
          <w:t>RESTRICTED STOCK AWARDS.</w:t>
        </w:r>
      </w:hyperlink>
      <w:hyperlink w:anchor="i06b7cd4726b64f7c93228e635172bb86_7">
        <w:r>
          <w:rPr>
            <w:rStyle w:val="InternetLink"/>
          </w:rPr>
          <w:t>    </w:t>
        </w:r>
      </w:hyperlink>
      <w:hyperlink w:anchor="i06b7cd4726b64f7c93228e635172bb86_7">
        <w:r>
          <w:rPr>
            <w:rStyle w:val="InternetLink"/>
          </w:rPr>
          <w:t>16</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A-i</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ind w:left="0" w:right="0" w:hanging="720"/>
        <w:jc w:val="left"/>
        <w:rPr/>
      </w:pPr>
      <w:hyperlink w:anchor="i06b7cd4726b64f7c93228e635172bb86_7">
        <w:r>
          <w:rPr>
            <w:rStyle w:val="InternetLink"/>
          </w:rPr>
          <w:t>8.1</w:t>
        </w:r>
      </w:hyperlink>
      <w:hyperlink w:anchor="i06b7cd4726b64f7c93228e635172bb86_7">
        <w:r>
          <w:rPr>
            <w:rStyle w:val="InternetLink"/>
          </w:rPr>
          <w:t>    </w:t>
        </w:r>
      </w:hyperlink>
      <w:hyperlink w:anchor="i06b7cd4726b64f7c93228e635172bb86_7">
        <w:r>
          <w:rPr>
            <w:rStyle w:val="InternetLink"/>
          </w:rPr>
          <w:t>Types of Restricted Stock Awards Authorized</w:t>
        </w:r>
      </w:hyperlink>
      <w:hyperlink w:anchor="i06b7cd4726b64f7c93228e635172bb86_7">
        <w:r>
          <w:rPr>
            <w:rStyle w:val="InternetLink"/>
          </w:rPr>
          <w:t>    </w:t>
        </w:r>
      </w:hyperlink>
      <w:hyperlink w:anchor="i06b7cd4726b64f7c93228e635172bb86_7">
        <w:r>
          <w:rPr>
            <w:rStyle w:val="InternetLink"/>
          </w:rPr>
          <w:t>17</w:t>
        </w:r>
      </w:hyperlink>
    </w:p>
    <w:p>
      <w:pPr>
        <w:pStyle w:val="TextBody"/>
        <w:bidi w:val="0"/>
        <w:spacing w:lineRule="auto" w:line="288" w:before="0" w:after="100"/>
        <w:ind w:left="0" w:right="0" w:hanging="720"/>
        <w:jc w:val="left"/>
        <w:rPr/>
      </w:pPr>
      <w:hyperlink w:anchor="i06b7cd4726b64f7c93228e635172bb86_7">
        <w:r>
          <w:rPr>
            <w:rStyle w:val="InternetLink"/>
          </w:rPr>
          <w:t>8.2</w:t>
        </w:r>
      </w:hyperlink>
      <w:hyperlink w:anchor="i06b7cd4726b64f7c93228e635172bb86_7">
        <w:r>
          <w:rPr>
            <w:rStyle w:val="InternetLink"/>
          </w:rPr>
          <w:t>    </w:t>
        </w:r>
      </w:hyperlink>
      <w:hyperlink w:anchor="i06b7cd4726b64f7c93228e635172bb86_7">
        <w:r>
          <w:rPr>
            <w:rStyle w:val="InternetLink"/>
          </w:rPr>
          <w:t>Purchase Price</w:t>
        </w:r>
      </w:hyperlink>
      <w:hyperlink w:anchor="i06b7cd4726b64f7c93228e635172bb86_7">
        <w:r>
          <w:rPr>
            <w:rStyle w:val="InternetLink"/>
          </w:rPr>
          <w:t>    </w:t>
        </w:r>
      </w:hyperlink>
      <w:hyperlink w:anchor="i06b7cd4726b64f7c93228e635172bb86_7">
        <w:r>
          <w:rPr>
            <w:rStyle w:val="InternetLink"/>
          </w:rPr>
          <w:t>17</w:t>
        </w:r>
      </w:hyperlink>
    </w:p>
    <w:p>
      <w:pPr>
        <w:pStyle w:val="TextBody"/>
        <w:bidi w:val="0"/>
        <w:spacing w:lineRule="auto" w:line="288" w:before="0" w:after="100"/>
        <w:ind w:left="0" w:right="0" w:hanging="720"/>
        <w:jc w:val="left"/>
        <w:rPr/>
      </w:pPr>
      <w:hyperlink w:anchor="i06b7cd4726b64f7c93228e635172bb86_7">
        <w:r>
          <w:rPr>
            <w:rStyle w:val="InternetLink"/>
          </w:rPr>
          <w:t>8.3</w:t>
        </w:r>
      </w:hyperlink>
      <w:hyperlink w:anchor="i06b7cd4726b64f7c93228e635172bb86_7">
        <w:r>
          <w:rPr>
            <w:rStyle w:val="InternetLink"/>
          </w:rPr>
          <w:t>    </w:t>
        </w:r>
      </w:hyperlink>
      <w:hyperlink w:anchor="i06b7cd4726b64f7c93228e635172bb86_7">
        <w:r>
          <w:rPr>
            <w:rStyle w:val="InternetLink"/>
          </w:rPr>
          <w:t>Purchase Period</w:t>
        </w:r>
      </w:hyperlink>
      <w:hyperlink w:anchor="i06b7cd4726b64f7c93228e635172bb86_7">
        <w:r>
          <w:rPr>
            <w:rStyle w:val="InternetLink"/>
          </w:rPr>
          <w:t>    </w:t>
        </w:r>
      </w:hyperlink>
      <w:hyperlink w:anchor="i06b7cd4726b64f7c93228e635172bb86_7">
        <w:r>
          <w:rPr>
            <w:rStyle w:val="InternetLink"/>
          </w:rPr>
          <w:t>17</w:t>
        </w:r>
      </w:hyperlink>
    </w:p>
    <w:p>
      <w:pPr>
        <w:pStyle w:val="TextBody"/>
        <w:bidi w:val="0"/>
        <w:spacing w:lineRule="auto" w:line="288" w:before="0" w:after="100"/>
        <w:ind w:left="0" w:right="0" w:hanging="720"/>
        <w:jc w:val="left"/>
        <w:rPr/>
      </w:pPr>
      <w:hyperlink w:anchor="i06b7cd4726b64f7c93228e635172bb86_7">
        <w:r>
          <w:rPr>
            <w:rStyle w:val="InternetLink"/>
          </w:rPr>
          <w:t>8.4</w:t>
        </w:r>
      </w:hyperlink>
      <w:hyperlink w:anchor="i06b7cd4726b64f7c93228e635172bb86_7">
        <w:r>
          <w:rPr>
            <w:rStyle w:val="InternetLink"/>
          </w:rPr>
          <w:t>    </w:t>
        </w:r>
      </w:hyperlink>
      <w:hyperlink w:anchor="i06b7cd4726b64f7c93228e635172bb86_7">
        <w:r>
          <w:rPr>
            <w:rStyle w:val="InternetLink"/>
          </w:rPr>
          <w:t>Payment of Purchase Price</w:t>
        </w:r>
      </w:hyperlink>
      <w:hyperlink w:anchor="i06b7cd4726b64f7c93228e635172bb86_7">
        <w:r>
          <w:rPr>
            <w:rStyle w:val="InternetLink"/>
          </w:rPr>
          <w:t>    </w:t>
        </w:r>
      </w:hyperlink>
      <w:hyperlink w:anchor="i06b7cd4726b64f7c93228e635172bb86_7">
        <w:r>
          <w:rPr>
            <w:rStyle w:val="InternetLink"/>
          </w:rPr>
          <w:t>17</w:t>
        </w:r>
      </w:hyperlink>
    </w:p>
    <w:p>
      <w:pPr>
        <w:pStyle w:val="TextBody"/>
        <w:bidi w:val="0"/>
        <w:spacing w:lineRule="auto" w:line="288" w:before="0" w:after="100"/>
        <w:ind w:left="0" w:right="0" w:hanging="720"/>
        <w:jc w:val="left"/>
        <w:rPr/>
      </w:pPr>
      <w:hyperlink w:anchor="i06b7cd4726b64f7c93228e635172bb86_7">
        <w:r>
          <w:rPr>
            <w:rStyle w:val="InternetLink"/>
          </w:rPr>
          <w:t>8.5</w:t>
        </w:r>
      </w:hyperlink>
      <w:hyperlink w:anchor="i06b7cd4726b64f7c93228e635172bb86_7">
        <w:r>
          <w:rPr>
            <w:rStyle w:val="InternetLink"/>
          </w:rPr>
          <w:t>    </w:t>
        </w:r>
      </w:hyperlink>
      <w:hyperlink w:anchor="i06b7cd4726b64f7c93228e635172bb86_7">
        <w:r>
          <w:rPr>
            <w:rStyle w:val="InternetLink"/>
          </w:rPr>
          <w:t>Vesting and Restrictions on Transfer</w:t>
        </w:r>
      </w:hyperlink>
      <w:hyperlink w:anchor="i06b7cd4726b64f7c93228e635172bb86_7">
        <w:r>
          <w:rPr>
            <w:rStyle w:val="InternetLink"/>
          </w:rPr>
          <w:t>    </w:t>
        </w:r>
      </w:hyperlink>
      <w:hyperlink w:anchor="i06b7cd4726b64f7c93228e635172bb86_7">
        <w:r>
          <w:rPr>
            <w:rStyle w:val="InternetLink"/>
          </w:rPr>
          <w:t>17</w:t>
        </w:r>
      </w:hyperlink>
    </w:p>
    <w:p>
      <w:pPr>
        <w:pStyle w:val="TextBody"/>
        <w:bidi w:val="0"/>
        <w:spacing w:lineRule="auto" w:line="288" w:before="0" w:after="100"/>
        <w:ind w:left="0" w:right="0" w:hanging="720"/>
        <w:jc w:val="left"/>
        <w:rPr/>
      </w:pPr>
      <w:hyperlink w:anchor="i06b7cd4726b64f7c93228e635172bb86_7">
        <w:r>
          <w:rPr>
            <w:rStyle w:val="InternetLink"/>
          </w:rPr>
          <w:t>8.6</w:t>
        </w:r>
      </w:hyperlink>
      <w:hyperlink w:anchor="i06b7cd4726b64f7c93228e635172bb86_7">
        <w:r>
          <w:rPr>
            <w:rStyle w:val="InternetLink"/>
          </w:rPr>
          <w:t>    </w:t>
        </w:r>
      </w:hyperlink>
      <w:hyperlink w:anchor="i06b7cd4726b64f7c93228e635172bb86_7">
        <w:r>
          <w:rPr>
            <w:rStyle w:val="InternetLink"/>
          </w:rPr>
          <w:t>Voting Rights; Dividends and Distributions</w:t>
        </w:r>
      </w:hyperlink>
      <w:hyperlink w:anchor="i06b7cd4726b64f7c93228e635172bb86_7">
        <w:r>
          <w:rPr>
            <w:rStyle w:val="InternetLink"/>
          </w:rPr>
          <w:t>    </w:t>
        </w:r>
      </w:hyperlink>
      <w:hyperlink w:anchor="i06b7cd4726b64f7c93228e635172bb86_7">
        <w:r>
          <w:rPr>
            <w:rStyle w:val="InternetLink"/>
          </w:rPr>
          <w:t>17</w:t>
        </w:r>
      </w:hyperlink>
    </w:p>
    <w:p>
      <w:pPr>
        <w:pStyle w:val="TextBody"/>
        <w:bidi w:val="0"/>
        <w:spacing w:lineRule="auto" w:line="288" w:before="0" w:after="100"/>
        <w:ind w:left="0" w:right="0" w:hanging="720"/>
        <w:jc w:val="left"/>
        <w:rPr/>
      </w:pPr>
      <w:hyperlink w:anchor="i06b7cd4726b64f7c93228e635172bb86_7">
        <w:r>
          <w:rPr>
            <w:rStyle w:val="InternetLink"/>
          </w:rPr>
          <w:t>8.7</w:t>
        </w:r>
      </w:hyperlink>
      <w:hyperlink w:anchor="i06b7cd4726b64f7c93228e635172bb86_7">
        <w:r>
          <w:rPr>
            <w:rStyle w:val="InternetLink"/>
          </w:rPr>
          <w:t>    </w:t>
        </w:r>
      </w:hyperlink>
      <w:hyperlink w:anchor="i06b7cd4726b64f7c93228e635172bb86_7">
        <w:r>
          <w:rPr>
            <w:rStyle w:val="InternetLink"/>
          </w:rPr>
          <w:t>Effect of Termination of Service</w:t>
        </w:r>
      </w:hyperlink>
      <w:hyperlink w:anchor="i06b7cd4726b64f7c93228e635172bb86_7">
        <w:r>
          <w:rPr>
            <w:rStyle w:val="InternetLink"/>
          </w:rPr>
          <w:t>    </w:t>
        </w:r>
      </w:hyperlink>
      <w:hyperlink w:anchor="i06b7cd4726b64f7c93228e635172bb86_7">
        <w:r>
          <w:rPr>
            <w:rStyle w:val="InternetLink"/>
          </w:rPr>
          <w:t>18</w:t>
        </w:r>
      </w:hyperlink>
    </w:p>
    <w:p>
      <w:pPr>
        <w:pStyle w:val="TextBody"/>
        <w:bidi w:val="0"/>
        <w:spacing w:lineRule="auto" w:line="288" w:before="0" w:after="100"/>
        <w:ind w:left="0" w:right="0" w:hanging="720"/>
        <w:jc w:val="left"/>
        <w:rPr/>
      </w:pPr>
      <w:hyperlink w:anchor="i06b7cd4726b64f7c93228e635172bb86_7">
        <w:r>
          <w:rPr>
            <w:rStyle w:val="InternetLink"/>
          </w:rPr>
          <w:t>8.8</w:t>
        </w:r>
      </w:hyperlink>
      <w:hyperlink w:anchor="i06b7cd4726b64f7c93228e635172bb86_7">
        <w:r>
          <w:rPr>
            <w:rStyle w:val="InternetLink"/>
          </w:rPr>
          <w:t>    </w:t>
        </w:r>
      </w:hyperlink>
      <w:hyperlink w:anchor="i06b7cd4726b64f7c93228e635172bb86_7">
        <w:r>
          <w:rPr>
            <w:rStyle w:val="InternetLink"/>
          </w:rPr>
          <w:t>Nontransferability of Restricted Stock Award Rights</w:t>
        </w:r>
      </w:hyperlink>
      <w:hyperlink w:anchor="i06b7cd4726b64f7c93228e635172bb86_7">
        <w:r>
          <w:rPr>
            <w:rStyle w:val="InternetLink"/>
          </w:rPr>
          <w:t>    </w:t>
        </w:r>
      </w:hyperlink>
      <w:hyperlink w:anchor="i06b7cd4726b64f7c93228e635172bb86_7">
        <w:r>
          <w:rPr>
            <w:rStyle w:val="InternetLink"/>
          </w:rPr>
          <w:t>18</w:t>
        </w:r>
      </w:hyperlink>
    </w:p>
    <w:p>
      <w:pPr>
        <w:pStyle w:val="TextBody"/>
        <w:bidi w:val="0"/>
        <w:spacing w:lineRule="auto" w:line="288" w:before="0" w:after="100"/>
        <w:ind w:left="0" w:right="0" w:hanging="720"/>
        <w:jc w:val="left"/>
        <w:rPr/>
      </w:pPr>
      <w:hyperlink w:anchor="i06b7cd4726b64f7c93228e635172bb86_7">
        <w:r>
          <w:rPr>
            <w:rStyle w:val="InternetLink"/>
          </w:rPr>
          <w:t>9.</w:t>
        </w:r>
      </w:hyperlink>
      <w:hyperlink w:anchor="i06b7cd4726b64f7c93228e635172bb86_7">
        <w:r>
          <w:rPr>
            <w:rStyle w:val="InternetLink"/>
          </w:rPr>
          <w:t>    </w:t>
        </w:r>
      </w:hyperlink>
      <w:hyperlink w:anchor="i06b7cd4726b64f7c93228e635172bb86_7">
        <w:r>
          <w:rPr>
            <w:rStyle w:val="InternetLink"/>
          </w:rPr>
          <w:t>RESTRICTED STOCK UNITS.</w:t>
        </w:r>
      </w:hyperlink>
      <w:hyperlink w:anchor="i06b7cd4726b64f7c93228e635172bb86_7">
        <w:r>
          <w:rPr>
            <w:rStyle w:val="InternetLink"/>
          </w:rPr>
          <w:t>    </w:t>
        </w:r>
      </w:hyperlink>
      <w:hyperlink w:anchor="i06b7cd4726b64f7c93228e635172bb86_7">
        <w:r>
          <w:rPr>
            <w:rStyle w:val="InternetLink"/>
          </w:rPr>
          <w:t>18</w:t>
        </w:r>
      </w:hyperlink>
    </w:p>
    <w:p>
      <w:pPr>
        <w:pStyle w:val="TextBody"/>
        <w:bidi w:val="0"/>
        <w:spacing w:lineRule="auto" w:line="288" w:before="0" w:after="100"/>
        <w:ind w:left="0" w:right="0" w:hanging="720"/>
        <w:jc w:val="left"/>
        <w:rPr/>
      </w:pPr>
      <w:hyperlink w:anchor="i06b7cd4726b64f7c93228e635172bb86_7">
        <w:r>
          <w:rPr>
            <w:rStyle w:val="InternetLink"/>
          </w:rPr>
          <w:t>9.1</w:t>
        </w:r>
      </w:hyperlink>
      <w:hyperlink w:anchor="i06b7cd4726b64f7c93228e635172bb86_7">
        <w:r>
          <w:rPr>
            <w:rStyle w:val="InternetLink"/>
          </w:rPr>
          <w:t>    </w:t>
        </w:r>
      </w:hyperlink>
      <w:hyperlink w:anchor="i06b7cd4726b64f7c93228e635172bb86_7">
        <w:r>
          <w:rPr>
            <w:rStyle w:val="InternetLink"/>
          </w:rPr>
          <w:t>Grant of Restricted Stock Unit Awards</w:t>
        </w:r>
      </w:hyperlink>
      <w:hyperlink w:anchor="i06b7cd4726b64f7c93228e635172bb86_7">
        <w:r>
          <w:rPr>
            <w:rStyle w:val="InternetLink"/>
          </w:rPr>
          <w:t>    </w:t>
        </w:r>
      </w:hyperlink>
      <w:hyperlink w:anchor="i06b7cd4726b64f7c93228e635172bb86_7">
        <w:r>
          <w:rPr>
            <w:rStyle w:val="InternetLink"/>
          </w:rPr>
          <w:t>18</w:t>
        </w:r>
      </w:hyperlink>
    </w:p>
    <w:p>
      <w:pPr>
        <w:pStyle w:val="TextBody"/>
        <w:bidi w:val="0"/>
        <w:spacing w:lineRule="auto" w:line="288" w:before="0" w:after="100"/>
        <w:ind w:left="0" w:right="0" w:hanging="720"/>
        <w:jc w:val="left"/>
        <w:rPr/>
      </w:pPr>
      <w:hyperlink w:anchor="i06b7cd4726b64f7c93228e635172bb86_7">
        <w:r>
          <w:rPr>
            <w:rStyle w:val="InternetLink"/>
          </w:rPr>
          <w:t>9.2</w:t>
        </w:r>
      </w:hyperlink>
      <w:hyperlink w:anchor="i06b7cd4726b64f7c93228e635172bb86_7">
        <w:r>
          <w:rPr>
            <w:rStyle w:val="InternetLink"/>
          </w:rPr>
          <w:t>    </w:t>
        </w:r>
      </w:hyperlink>
      <w:hyperlink w:anchor="i06b7cd4726b64f7c93228e635172bb86_7">
        <w:r>
          <w:rPr>
            <w:rStyle w:val="InternetLink"/>
          </w:rPr>
          <w:t>Purchase Price</w:t>
        </w:r>
      </w:hyperlink>
      <w:hyperlink w:anchor="i06b7cd4726b64f7c93228e635172bb86_7">
        <w:r>
          <w:rPr>
            <w:rStyle w:val="InternetLink"/>
          </w:rPr>
          <w:t>    </w:t>
        </w:r>
      </w:hyperlink>
      <w:hyperlink w:anchor="i06b7cd4726b64f7c93228e635172bb86_7">
        <w:r>
          <w:rPr>
            <w:rStyle w:val="InternetLink"/>
          </w:rPr>
          <w:t>18</w:t>
        </w:r>
      </w:hyperlink>
    </w:p>
    <w:p>
      <w:pPr>
        <w:pStyle w:val="TextBody"/>
        <w:bidi w:val="0"/>
        <w:spacing w:lineRule="auto" w:line="288" w:before="0" w:after="100"/>
        <w:ind w:left="0" w:right="0" w:hanging="720"/>
        <w:jc w:val="left"/>
        <w:rPr/>
      </w:pPr>
      <w:hyperlink w:anchor="i06b7cd4726b64f7c93228e635172bb86_7">
        <w:r>
          <w:rPr>
            <w:rStyle w:val="InternetLink"/>
          </w:rPr>
          <w:t>9.3</w:t>
        </w:r>
      </w:hyperlink>
      <w:hyperlink w:anchor="i06b7cd4726b64f7c93228e635172bb86_7">
        <w:r>
          <w:rPr>
            <w:rStyle w:val="InternetLink"/>
          </w:rPr>
          <w:t>    </w:t>
        </w:r>
      </w:hyperlink>
      <w:hyperlink w:anchor="i06b7cd4726b64f7c93228e635172bb86_7">
        <w:r>
          <w:rPr>
            <w:rStyle w:val="InternetLink"/>
          </w:rPr>
          <w:t>Vesting</w:t>
        </w:r>
      </w:hyperlink>
      <w:hyperlink w:anchor="i06b7cd4726b64f7c93228e635172bb86_7">
        <w:r>
          <w:rPr>
            <w:rStyle w:val="InternetLink"/>
          </w:rPr>
          <w:t>    </w:t>
        </w:r>
      </w:hyperlink>
      <w:hyperlink w:anchor="i06b7cd4726b64f7c93228e635172bb86_7">
        <w:r>
          <w:rPr>
            <w:rStyle w:val="InternetLink"/>
          </w:rPr>
          <w:t>19</w:t>
        </w:r>
      </w:hyperlink>
    </w:p>
    <w:p>
      <w:pPr>
        <w:pStyle w:val="TextBody"/>
        <w:bidi w:val="0"/>
        <w:spacing w:lineRule="auto" w:line="288" w:before="0" w:after="100"/>
        <w:ind w:left="0" w:right="0" w:hanging="720"/>
        <w:jc w:val="left"/>
        <w:rPr/>
      </w:pPr>
      <w:hyperlink w:anchor="i06b7cd4726b64f7c93228e635172bb86_7">
        <w:r>
          <w:rPr>
            <w:rStyle w:val="InternetLink"/>
          </w:rPr>
          <w:t>9.4</w:t>
        </w:r>
      </w:hyperlink>
      <w:hyperlink w:anchor="i06b7cd4726b64f7c93228e635172bb86_7">
        <w:r>
          <w:rPr>
            <w:rStyle w:val="InternetLink"/>
          </w:rPr>
          <w:t>    </w:t>
        </w:r>
      </w:hyperlink>
      <w:hyperlink w:anchor="i06b7cd4726b64f7c93228e635172bb86_7">
        <w:r>
          <w:rPr>
            <w:rStyle w:val="InternetLink"/>
          </w:rPr>
          <w:t>Voting Rights, Dividend Equivalent Rights and Distributions</w:t>
        </w:r>
      </w:hyperlink>
      <w:hyperlink w:anchor="i06b7cd4726b64f7c93228e635172bb86_7">
        <w:r>
          <w:rPr>
            <w:rStyle w:val="InternetLink"/>
          </w:rPr>
          <w:t>    </w:t>
        </w:r>
      </w:hyperlink>
      <w:hyperlink w:anchor="i06b7cd4726b64f7c93228e635172bb86_7">
        <w:r>
          <w:rPr>
            <w:rStyle w:val="InternetLink"/>
          </w:rPr>
          <w:t>19</w:t>
        </w:r>
      </w:hyperlink>
    </w:p>
    <w:p>
      <w:pPr>
        <w:pStyle w:val="TextBody"/>
        <w:bidi w:val="0"/>
        <w:spacing w:lineRule="auto" w:line="288" w:before="0" w:after="100"/>
        <w:ind w:left="0" w:right="0" w:hanging="720"/>
        <w:jc w:val="left"/>
        <w:rPr/>
      </w:pPr>
      <w:hyperlink w:anchor="i06b7cd4726b64f7c93228e635172bb86_7">
        <w:r>
          <w:rPr>
            <w:rStyle w:val="InternetLink"/>
          </w:rPr>
          <w:t>9.5</w:t>
        </w:r>
      </w:hyperlink>
      <w:hyperlink w:anchor="i06b7cd4726b64f7c93228e635172bb86_7">
        <w:r>
          <w:rPr>
            <w:rStyle w:val="InternetLink"/>
          </w:rPr>
          <w:t>    </w:t>
        </w:r>
      </w:hyperlink>
      <w:hyperlink w:anchor="i06b7cd4726b64f7c93228e635172bb86_7">
        <w:r>
          <w:rPr>
            <w:rStyle w:val="InternetLink"/>
          </w:rPr>
          <w:t>Effect of Termination of Service</w:t>
        </w:r>
      </w:hyperlink>
      <w:hyperlink w:anchor="i06b7cd4726b64f7c93228e635172bb86_7">
        <w:r>
          <w:rPr>
            <w:rStyle w:val="InternetLink"/>
          </w:rPr>
          <w:t>    </w:t>
        </w:r>
      </w:hyperlink>
      <w:hyperlink w:anchor="i06b7cd4726b64f7c93228e635172bb86_7">
        <w:r>
          <w:rPr>
            <w:rStyle w:val="InternetLink"/>
          </w:rPr>
          <w:t>19</w:t>
        </w:r>
      </w:hyperlink>
    </w:p>
    <w:p>
      <w:pPr>
        <w:pStyle w:val="TextBody"/>
        <w:bidi w:val="0"/>
        <w:spacing w:lineRule="auto" w:line="288" w:before="0" w:after="100"/>
        <w:ind w:left="0" w:right="0" w:hanging="720"/>
        <w:jc w:val="left"/>
        <w:rPr/>
      </w:pPr>
      <w:hyperlink w:anchor="i06b7cd4726b64f7c93228e635172bb86_7">
        <w:r>
          <w:rPr>
            <w:rStyle w:val="InternetLink"/>
          </w:rPr>
          <w:t>9.6</w:t>
        </w:r>
      </w:hyperlink>
      <w:hyperlink w:anchor="i06b7cd4726b64f7c93228e635172bb86_7">
        <w:r>
          <w:rPr>
            <w:rStyle w:val="InternetLink"/>
          </w:rPr>
          <w:t>    </w:t>
        </w:r>
      </w:hyperlink>
      <w:hyperlink w:anchor="i06b7cd4726b64f7c93228e635172bb86_7">
        <w:r>
          <w:rPr>
            <w:rStyle w:val="InternetLink"/>
          </w:rPr>
          <w:t>Settlement of Restricted Stock Unit Awards</w:t>
        </w:r>
      </w:hyperlink>
      <w:hyperlink w:anchor="i06b7cd4726b64f7c93228e635172bb86_7">
        <w:r>
          <w:rPr>
            <w:rStyle w:val="InternetLink"/>
          </w:rPr>
          <w:t>    </w:t>
        </w:r>
      </w:hyperlink>
      <w:hyperlink w:anchor="i06b7cd4726b64f7c93228e635172bb86_7">
        <w:r>
          <w:rPr>
            <w:rStyle w:val="InternetLink"/>
          </w:rPr>
          <w:t>19</w:t>
        </w:r>
      </w:hyperlink>
    </w:p>
    <w:p>
      <w:pPr>
        <w:pStyle w:val="TextBody"/>
        <w:bidi w:val="0"/>
        <w:spacing w:lineRule="auto" w:line="288" w:before="0" w:after="100"/>
        <w:ind w:left="0" w:right="0" w:hanging="720"/>
        <w:jc w:val="left"/>
        <w:rPr/>
      </w:pPr>
      <w:hyperlink w:anchor="i06b7cd4726b64f7c93228e635172bb86_7">
        <w:r>
          <w:rPr>
            <w:rStyle w:val="InternetLink"/>
          </w:rPr>
          <w:t>9.7</w:t>
        </w:r>
      </w:hyperlink>
      <w:hyperlink w:anchor="i06b7cd4726b64f7c93228e635172bb86_7">
        <w:r>
          <w:rPr>
            <w:rStyle w:val="InternetLink"/>
          </w:rPr>
          <w:t>    </w:t>
        </w:r>
      </w:hyperlink>
      <w:hyperlink w:anchor="i06b7cd4726b64f7c93228e635172bb86_7">
        <w:r>
          <w:rPr>
            <w:rStyle w:val="InternetLink"/>
          </w:rPr>
          <w:t>Nontransferability of Restricted Stock Unit Awards</w:t>
        </w:r>
      </w:hyperlink>
      <w:hyperlink w:anchor="i06b7cd4726b64f7c93228e635172bb86_7">
        <w:r>
          <w:rPr>
            <w:rStyle w:val="InternetLink"/>
          </w:rPr>
          <w:t>    </w:t>
        </w:r>
      </w:hyperlink>
      <w:hyperlink w:anchor="i06b7cd4726b64f7c93228e635172bb86_7">
        <w:r>
          <w:rPr>
            <w:rStyle w:val="InternetLink"/>
          </w:rPr>
          <w:t>20</w:t>
        </w:r>
      </w:hyperlink>
    </w:p>
    <w:p>
      <w:pPr>
        <w:pStyle w:val="TextBody"/>
        <w:bidi w:val="0"/>
        <w:spacing w:lineRule="auto" w:line="288" w:before="0" w:after="100"/>
        <w:ind w:left="0" w:right="0" w:hanging="720"/>
        <w:jc w:val="left"/>
        <w:rPr/>
      </w:pPr>
      <w:hyperlink w:anchor="i06b7cd4726b64f7c93228e635172bb86_7">
        <w:r>
          <w:rPr>
            <w:rStyle w:val="InternetLink"/>
          </w:rPr>
          <w:t>10.</w:t>
        </w:r>
      </w:hyperlink>
      <w:hyperlink w:anchor="i06b7cd4726b64f7c93228e635172bb86_7">
        <w:r>
          <w:rPr>
            <w:rStyle w:val="InternetLink"/>
          </w:rPr>
          <w:t>    </w:t>
        </w:r>
      </w:hyperlink>
      <w:hyperlink w:anchor="i06b7cd4726b64f7c93228e635172bb86_7">
        <w:r>
          <w:rPr>
            <w:rStyle w:val="InternetLink"/>
          </w:rPr>
          <w:t>PERFORMANCE AWARDS.</w:t>
        </w:r>
      </w:hyperlink>
      <w:hyperlink w:anchor="i06b7cd4726b64f7c93228e635172bb86_7">
        <w:r>
          <w:rPr>
            <w:rStyle w:val="InternetLink"/>
          </w:rPr>
          <w:t>    </w:t>
        </w:r>
      </w:hyperlink>
      <w:hyperlink w:anchor="i06b7cd4726b64f7c93228e635172bb86_7">
        <w:r>
          <w:rPr>
            <w:rStyle w:val="InternetLink"/>
          </w:rPr>
          <w:t>20</w:t>
        </w:r>
      </w:hyperlink>
    </w:p>
    <w:p>
      <w:pPr>
        <w:pStyle w:val="TextBody"/>
        <w:bidi w:val="0"/>
        <w:spacing w:lineRule="auto" w:line="288" w:before="0" w:after="100"/>
        <w:ind w:left="0" w:right="0" w:hanging="720"/>
        <w:jc w:val="left"/>
        <w:rPr/>
      </w:pPr>
      <w:hyperlink w:anchor="i06b7cd4726b64f7c93228e635172bb86_7">
        <w:r>
          <w:rPr>
            <w:rStyle w:val="InternetLink"/>
          </w:rPr>
          <w:t>10.1</w:t>
        </w:r>
      </w:hyperlink>
      <w:hyperlink w:anchor="i06b7cd4726b64f7c93228e635172bb86_7">
        <w:r>
          <w:rPr>
            <w:rStyle w:val="InternetLink"/>
          </w:rPr>
          <w:t>    </w:t>
        </w:r>
      </w:hyperlink>
      <w:hyperlink w:anchor="i06b7cd4726b64f7c93228e635172bb86_7">
        <w:r>
          <w:rPr>
            <w:rStyle w:val="InternetLink"/>
          </w:rPr>
          <w:t>Types of Performance Awards Authorized</w:t>
        </w:r>
      </w:hyperlink>
      <w:hyperlink w:anchor="i06b7cd4726b64f7c93228e635172bb86_7">
        <w:r>
          <w:rPr>
            <w:rStyle w:val="InternetLink"/>
          </w:rPr>
          <w:t>    </w:t>
        </w:r>
      </w:hyperlink>
      <w:hyperlink w:anchor="i06b7cd4726b64f7c93228e635172bb86_7">
        <w:r>
          <w:rPr>
            <w:rStyle w:val="InternetLink"/>
          </w:rPr>
          <w:t>20</w:t>
        </w:r>
      </w:hyperlink>
    </w:p>
    <w:p>
      <w:pPr>
        <w:pStyle w:val="TextBody"/>
        <w:bidi w:val="0"/>
        <w:spacing w:lineRule="auto" w:line="288" w:before="0" w:after="100"/>
        <w:ind w:left="0" w:right="0" w:hanging="720"/>
        <w:jc w:val="left"/>
        <w:rPr/>
      </w:pPr>
      <w:hyperlink w:anchor="i06b7cd4726b64f7c93228e635172bb86_7">
        <w:r>
          <w:rPr>
            <w:rStyle w:val="InternetLink"/>
          </w:rPr>
          <w:t>10.2</w:t>
        </w:r>
      </w:hyperlink>
      <w:hyperlink w:anchor="i06b7cd4726b64f7c93228e635172bb86_7">
        <w:r>
          <w:rPr>
            <w:rStyle w:val="InternetLink"/>
          </w:rPr>
          <w:t>    </w:t>
        </w:r>
      </w:hyperlink>
      <w:hyperlink w:anchor="i06b7cd4726b64f7c93228e635172bb86_7">
        <w:r>
          <w:rPr>
            <w:rStyle w:val="InternetLink"/>
          </w:rPr>
          <w:t>Initial Value of Performance Shares and Performance Units</w:t>
        </w:r>
      </w:hyperlink>
      <w:hyperlink w:anchor="i06b7cd4726b64f7c93228e635172bb86_7">
        <w:r>
          <w:rPr>
            <w:rStyle w:val="InternetLink"/>
          </w:rPr>
          <w:t>    </w:t>
        </w:r>
      </w:hyperlink>
      <w:hyperlink w:anchor="i06b7cd4726b64f7c93228e635172bb86_7">
        <w:r>
          <w:rPr>
            <w:rStyle w:val="InternetLink"/>
          </w:rPr>
          <w:t>20</w:t>
        </w:r>
      </w:hyperlink>
    </w:p>
    <w:p>
      <w:pPr>
        <w:pStyle w:val="TextBody"/>
        <w:bidi w:val="0"/>
        <w:spacing w:lineRule="auto" w:line="288" w:before="0" w:after="100"/>
        <w:ind w:left="0" w:right="0" w:hanging="720"/>
        <w:jc w:val="left"/>
        <w:rPr/>
      </w:pPr>
      <w:hyperlink w:anchor="i06b7cd4726b64f7c93228e635172bb86_7">
        <w:r>
          <w:rPr>
            <w:rStyle w:val="InternetLink"/>
          </w:rPr>
          <w:t>10.3</w:t>
        </w:r>
      </w:hyperlink>
      <w:hyperlink w:anchor="i06b7cd4726b64f7c93228e635172bb86_7">
        <w:r>
          <w:rPr>
            <w:rStyle w:val="InternetLink"/>
          </w:rPr>
          <w:t>    </w:t>
        </w:r>
      </w:hyperlink>
      <w:hyperlink w:anchor="i06b7cd4726b64f7c93228e635172bb86_7">
        <w:r>
          <w:rPr>
            <w:rStyle w:val="InternetLink"/>
          </w:rPr>
          <w:t>Establishment of Performance Period, Performance Goals and Performance Award Formula</w:t>
        </w:r>
      </w:hyperlink>
      <w:hyperlink w:anchor="i06b7cd4726b64f7c93228e635172bb86_7">
        <w:r>
          <w:rPr>
            <w:rStyle w:val="InternetLink"/>
          </w:rPr>
          <w:t>    </w:t>
        </w:r>
      </w:hyperlink>
      <w:hyperlink w:anchor="i06b7cd4726b64f7c93228e635172bb86_7">
        <w:r>
          <w:rPr>
            <w:rStyle w:val="InternetLink"/>
          </w:rPr>
          <w:t>20</w:t>
        </w:r>
      </w:hyperlink>
    </w:p>
    <w:p>
      <w:pPr>
        <w:pStyle w:val="TextBody"/>
        <w:bidi w:val="0"/>
        <w:spacing w:lineRule="auto" w:line="288" w:before="0" w:after="100"/>
        <w:ind w:left="0" w:right="0" w:hanging="720"/>
        <w:jc w:val="left"/>
        <w:rPr/>
      </w:pPr>
      <w:hyperlink w:anchor="i06b7cd4726b64f7c93228e635172bb86_7">
        <w:r>
          <w:rPr>
            <w:rStyle w:val="InternetLink"/>
          </w:rPr>
          <w:t>10.4</w:t>
        </w:r>
      </w:hyperlink>
      <w:hyperlink w:anchor="i06b7cd4726b64f7c93228e635172bb86_7">
        <w:r>
          <w:rPr>
            <w:rStyle w:val="InternetLink"/>
          </w:rPr>
          <w:t>    </w:t>
        </w:r>
      </w:hyperlink>
      <w:hyperlink w:anchor="i06b7cd4726b64f7c93228e635172bb86_7">
        <w:r>
          <w:rPr>
            <w:rStyle w:val="InternetLink"/>
          </w:rPr>
          <w:t>Measurement of Performance Goals</w:t>
        </w:r>
      </w:hyperlink>
      <w:hyperlink w:anchor="i06b7cd4726b64f7c93228e635172bb86_7">
        <w:r>
          <w:rPr>
            <w:rStyle w:val="InternetLink"/>
          </w:rPr>
          <w:t>    </w:t>
        </w:r>
      </w:hyperlink>
      <w:hyperlink w:anchor="i06b7cd4726b64f7c93228e635172bb86_7">
        <w:r>
          <w:rPr>
            <w:rStyle w:val="InternetLink"/>
          </w:rPr>
          <w:t>20</w:t>
        </w:r>
      </w:hyperlink>
    </w:p>
    <w:p>
      <w:pPr>
        <w:pStyle w:val="TextBody"/>
        <w:bidi w:val="0"/>
        <w:spacing w:lineRule="auto" w:line="288" w:before="0" w:after="100"/>
        <w:ind w:left="0" w:right="0" w:hanging="720"/>
        <w:jc w:val="left"/>
        <w:rPr/>
      </w:pPr>
      <w:hyperlink w:anchor="i06b7cd4726b64f7c93228e635172bb86_7">
        <w:r>
          <w:rPr>
            <w:rStyle w:val="InternetLink"/>
          </w:rPr>
          <w:t>10.5</w:t>
        </w:r>
      </w:hyperlink>
      <w:hyperlink w:anchor="i06b7cd4726b64f7c93228e635172bb86_7">
        <w:r>
          <w:rPr>
            <w:rStyle w:val="InternetLink"/>
          </w:rPr>
          <w:t>    </w:t>
        </w:r>
      </w:hyperlink>
      <w:hyperlink w:anchor="i06b7cd4726b64f7c93228e635172bb86_7">
        <w:r>
          <w:rPr>
            <w:rStyle w:val="InternetLink"/>
          </w:rPr>
          <w:t>Settlement of Performance Awards</w:t>
        </w:r>
      </w:hyperlink>
      <w:hyperlink w:anchor="i06b7cd4726b64f7c93228e635172bb86_7">
        <w:r>
          <w:rPr>
            <w:rStyle w:val="InternetLink"/>
          </w:rPr>
          <w:t>    </w:t>
        </w:r>
      </w:hyperlink>
      <w:hyperlink w:anchor="i06b7cd4726b64f7c93228e635172bb86_7">
        <w:r>
          <w:rPr>
            <w:rStyle w:val="InternetLink"/>
          </w:rPr>
          <w:t>21</w:t>
        </w:r>
      </w:hyperlink>
    </w:p>
    <w:p>
      <w:pPr>
        <w:pStyle w:val="TextBody"/>
        <w:bidi w:val="0"/>
        <w:spacing w:lineRule="auto" w:line="288" w:before="0" w:after="100"/>
        <w:ind w:left="0" w:right="0" w:hanging="720"/>
        <w:jc w:val="left"/>
        <w:rPr/>
      </w:pPr>
      <w:hyperlink w:anchor="i06b7cd4726b64f7c93228e635172bb86_7">
        <w:r>
          <w:rPr>
            <w:rStyle w:val="InternetLink"/>
          </w:rPr>
          <w:t>10.6</w:t>
        </w:r>
      </w:hyperlink>
      <w:hyperlink w:anchor="i06b7cd4726b64f7c93228e635172bb86_7">
        <w:r>
          <w:rPr>
            <w:rStyle w:val="InternetLink"/>
          </w:rPr>
          <w:t>    </w:t>
        </w:r>
      </w:hyperlink>
      <w:hyperlink w:anchor="i06b7cd4726b64f7c93228e635172bb86_7">
        <w:r>
          <w:rPr>
            <w:rStyle w:val="InternetLink"/>
          </w:rPr>
          <w:t>Voting Rights; Dividend Equivalent Rights and Distributions</w:t>
        </w:r>
      </w:hyperlink>
      <w:hyperlink w:anchor="i06b7cd4726b64f7c93228e635172bb86_7">
        <w:r>
          <w:rPr>
            <w:rStyle w:val="InternetLink"/>
          </w:rPr>
          <w:t>    </w:t>
        </w:r>
      </w:hyperlink>
      <w:hyperlink w:anchor="i06b7cd4726b64f7c93228e635172bb86_7">
        <w:r>
          <w:rPr>
            <w:rStyle w:val="InternetLink"/>
          </w:rPr>
          <w:t>22</w:t>
        </w:r>
      </w:hyperlink>
    </w:p>
    <w:p>
      <w:pPr>
        <w:pStyle w:val="TextBody"/>
        <w:bidi w:val="0"/>
        <w:spacing w:lineRule="auto" w:line="288" w:before="0" w:after="100"/>
        <w:ind w:left="0" w:right="0" w:hanging="720"/>
        <w:jc w:val="left"/>
        <w:rPr/>
      </w:pPr>
      <w:hyperlink w:anchor="i06b7cd4726b64f7c93228e635172bb86_7">
        <w:r>
          <w:rPr>
            <w:rStyle w:val="InternetLink"/>
          </w:rPr>
          <w:t>10.7</w:t>
        </w:r>
      </w:hyperlink>
      <w:hyperlink w:anchor="i06b7cd4726b64f7c93228e635172bb86_7">
        <w:r>
          <w:rPr>
            <w:rStyle w:val="InternetLink"/>
          </w:rPr>
          <w:t>    </w:t>
        </w:r>
      </w:hyperlink>
      <w:hyperlink w:anchor="i06b7cd4726b64f7c93228e635172bb86_7">
        <w:r>
          <w:rPr>
            <w:rStyle w:val="InternetLink"/>
          </w:rPr>
          <w:t>Effect of Termination of Service</w:t>
        </w:r>
      </w:hyperlink>
      <w:hyperlink w:anchor="i06b7cd4726b64f7c93228e635172bb86_7">
        <w:r>
          <w:rPr>
            <w:rStyle w:val="InternetLink"/>
          </w:rPr>
          <w:t>    </w:t>
        </w:r>
      </w:hyperlink>
      <w:hyperlink w:anchor="i06b7cd4726b64f7c93228e635172bb86_7">
        <w:r>
          <w:rPr>
            <w:rStyle w:val="InternetLink"/>
          </w:rPr>
          <w:t>23</w:t>
        </w:r>
      </w:hyperlink>
    </w:p>
    <w:p>
      <w:pPr>
        <w:pStyle w:val="TextBody"/>
        <w:bidi w:val="0"/>
        <w:spacing w:lineRule="auto" w:line="288" w:before="0" w:after="100"/>
        <w:ind w:left="0" w:right="0" w:hanging="720"/>
        <w:jc w:val="left"/>
        <w:rPr/>
      </w:pPr>
      <w:hyperlink w:anchor="i06b7cd4726b64f7c93228e635172bb86_7">
        <w:r>
          <w:rPr>
            <w:rStyle w:val="InternetLink"/>
          </w:rPr>
          <w:t>10.8</w:t>
        </w:r>
      </w:hyperlink>
      <w:hyperlink w:anchor="i06b7cd4726b64f7c93228e635172bb86_7">
        <w:r>
          <w:rPr>
            <w:rStyle w:val="InternetLink"/>
          </w:rPr>
          <w:t>    </w:t>
        </w:r>
      </w:hyperlink>
      <w:hyperlink w:anchor="i06b7cd4726b64f7c93228e635172bb86_7">
        <w:r>
          <w:rPr>
            <w:rStyle w:val="InternetLink"/>
          </w:rPr>
          <w:t>Nontransferability of Performance Awards</w:t>
        </w:r>
      </w:hyperlink>
      <w:hyperlink w:anchor="i06b7cd4726b64f7c93228e635172bb86_7">
        <w:r>
          <w:rPr>
            <w:rStyle w:val="InternetLink"/>
          </w:rPr>
          <w:t>    </w:t>
        </w:r>
      </w:hyperlink>
      <w:hyperlink w:anchor="i06b7cd4726b64f7c93228e635172bb86_7">
        <w:r>
          <w:rPr>
            <w:rStyle w:val="InternetLink"/>
          </w:rPr>
          <w:t>23</w:t>
        </w:r>
      </w:hyperlink>
    </w:p>
    <w:p>
      <w:pPr>
        <w:pStyle w:val="TextBody"/>
        <w:bidi w:val="0"/>
        <w:spacing w:lineRule="auto" w:line="288" w:before="0" w:after="100"/>
        <w:ind w:left="0" w:right="0" w:hanging="720"/>
        <w:jc w:val="left"/>
        <w:rPr/>
      </w:pPr>
      <w:hyperlink w:anchor="i06b7cd4726b64f7c93228e635172bb86_7">
        <w:r>
          <w:rPr>
            <w:rStyle w:val="InternetLink"/>
          </w:rPr>
          <w:t>11.</w:t>
        </w:r>
      </w:hyperlink>
      <w:hyperlink w:anchor="i06b7cd4726b64f7c93228e635172bb86_7">
        <w:r>
          <w:rPr>
            <w:rStyle w:val="InternetLink"/>
          </w:rPr>
          <w:t>    </w:t>
        </w:r>
      </w:hyperlink>
      <w:hyperlink w:anchor="i06b7cd4726b64f7c93228e635172bb86_7">
        <w:r>
          <w:rPr>
            <w:rStyle w:val="InternetLink"/>
          </w:rPr>
          <w:t>CASH-BASED AWARDS AND OTHER STOCK-BASED AWARDS.</w:t>
        </w:r>
      </w:hyperlink>
      <w:hyperlink w:anchor="i06b7cd4726b64f7c93228e635172bb86_7">
        <w:r>
          <w:rPr>
            <w:rStyle w:val="InternetLink"/>
          </w:rPr>
          <w:t>    </w:t>
        </w:r>
      </w:hyperlink>
      <w:hyperlink w:anchor="i06b7cd4726b64f7c93228e635172bb86_7">
        <w:r>
          <w:rPr>
            <w:rStyle w:val="InternetLink"/>
          </w:rPr>
          <w:t>23</w:t>
        </w:r>
      </w:hyperlink>
    </w:p>
    <w:p>
      <w:pPr>
        <w:pStyle w:val="TextBody"/>
        <w:bidi w:val="0"/>
        <w:spacing w:lineRule="auto" w:line="288" w:before="0" w:after="100"/>
        <w:ind w:left="0" w:right="0" w:hanging="720"/>
        <w:jc w:val="left"/>
        <w:rPr/>
      </w:pPr>
      <w:hyperlink w:anchor="i06b7cd4726b64f7c93228e635172bb86_7">
        <w:r>
          <w:rPr>
            <w:rStyle w:val="InternetLink"/>
          </w:rPr>
          <w:t>11.1</w:t>
        </w:r>
      </w:hyperlink>
      <w:hyperlink w:anchor="i06b7cd4726b64f7c93228e635172bb86_7">
        <w:r>
          <w:rPr>
            <w:rStyle w:val="InternetLink"/>
          </w:rPr>
          <w:t>    </w:t>
        </w:r>
      </w:hyperlink>
      <w:hyperlink w:anchor="i06b7cd4726b64f7c93228e635172bb86_7">
        <w:r>
          <w:rPr>
            <w:rStyle w:val="InternetLink"/>
          </w:rPr>
          <w:t>Grant of Cash-Based Awards</w:t>
        </w:r>
      </w:hyperlink>
      <w:hyperlink w:anchor="i06b7cd4726b64f7c93228e635172bb86_7">
        <w:r>
          <w:rPr>
            <w:rStyle w:val="InternetLink"/>
          </w:rPr>
          <w:t>    </w:t>
        </w:r>
      </w:hyperlink>
      <w:hyperlink w:anchor="i06b7cd4726b64f7c93228e635172bb86_7">
        <w:r>
          <w:rPr>
            <w:rStyle w:val="InternetLink"/>
          </w:rPr>
          <w:t>23</w:t>
        </w:r>
      </w:hyperlink>
    </w:p>
    <w:p>
      <w:pPr>
        <w:pStyle w:val="TextBody"/>
        <w:bidi w:val="0"/>
        <w:spacing w:lineRule="auto" w:line="288" w:before="0" w:after="100"/>
        <w:ind w:left="0" w:right="0" w:hanging="720"/>
        <w:jc w:val="left"/>
        <w:rPr/>
      </w:pPr>
      <w:hyperlink w:anchor="i06b7cd4726b64f7c93228e635172bb86_7">
        <w:r>
          <w:rPr>
            <w:rStyle w:val="InternetLink"/>
          </w:rPr>
          <w:t>11.2</w:t>
        </w:r>
      </w:hyperlink>
      <w:hyperlink w:anchor="i06b7cd4726b64f7c93228e635172bb86_7">
        <w:r>
          <w:rPr>
            <w:rStyle w:val="InternetLink"/>
          </w:rPr>
          <w:t>    </w:t>
        </w:r>
      </w:hyperlink>
      <w:hyperlink w:anchor="i06b7cd4726b64f7c93228e635172bb86_7">
        <w:r>
          <w:rPr>
            <w:rStyle w:val="InternetLink"/>
          </w:rPr>
          <w:t>Grant of Other Stock-Based Awards</w:t>
        </w:r>
      </w:hyperlink>
      <w:hyperlink w:anchor="i06b7cd4726b64f7c93228e635172bb86_7">
        <w:r>
          <w:rPr>
            <w:rStyle w:val="InternetLink"/>
          </w:rPr>
          <w:t>    </w:t>
        </w:r>
      </w:hyperlink>
      <w:hyperlink w:anchor="i06b7cd4726b64f7c93228e635172bb86_7">
        <w:r>
          <w:rPr>
            <w:rStyle w:val="InternetLink"/>
          </w:rPr>
          <w:t>23</w:t>
        </w:r>
      </w:hyperlink>
    </w:p>
    <w:p>
      <w:pPr>
        <w:pStyle w:val="TextBody"/>
        <w:bidi w:val="0"/>
        <w:spacing w:lineRule="auto" w:line="288" w:before="0" w:after="100"/>
        <w:ind w:left="0" w:right="0" w:hanging="720"/>
        <w:jc w:val="left"/>
        <w:rPr/>
      </w:pPr>
      <w:hyperlink w:anchor="i06b7cd4726b64f7c93228e635172bb86_7">
        <w:r>
          <w:rPr>
            <w:rStyle w:val="InternetLink"/>
          </w:rPr>
          <w:t>11.3</w:t>
        </w:r>
      </w:hyperlink>
      <w:hyperlink w:anchor="i06b7cd4726b64f7c93228e635172bb86_7">
        <w:r>
          <w:rPr>
            <w:rStyle w:val="InternetLink"/>
          </w:rPr>
          <w:t>    </w:t>
        </w:r>
      </w:hyperlink>
      <w:hyperlink w:anchor="i06b7cd4726b64f7c93228e635172bb86_7">
        <w:r>
          <w:rPr>
            <w:rStyle w:val="InternetLink"/>
          </w:rPr>
          <w:t>Value of Cash-Based and Other Stock-Based Awards</w:t>
        </w:r>
      </w:hyperlink>
      <w:hyperlink w:anchor="i06b7cd4726b64f7c93228e635172bb86_7">
        <w:r>
          <w:rPr>
            <w:rStyle w:val="InternetLink"/>
          </w:rPr>
          <w:t>    </w:t>
        </w:r>
      </w:hyperlink>
      <w:hyperlink w:anchor="i06b7cd4726b64f7c93228e635172bb86_7">
        <w:r>
          <w:rPr>
            <w:rStyle w:val="InternetLink"/>
          </w:rPr>
          <w:t>24</w:t>
        </w:r>
      </w:hyperlink>
    </w:p>
    <w:p>
      <w:pPr>
        <w:pStyle w:val="TextBody"/>
        <w:bidi w:val="0"/>
        <w:spacing w:lineRule="auto" w:line="288" w:before="0" w:after="100"/>
        <w:ind w:left="0" w:right="0" w:hanging="720"/>
        <w:jc w:val="left"/>
        <w:rPr/>
      </w:pPr>
      <w:hyperlink w:anchor="i06b7cd4726b64f7c93228e635172bb86_7">
        <w:r>
          <w:rPr>
            <w:rStyle w:val="InternetLink"/>
          </w:rPr>
          <w:t>11.4</w:t>
        </w:r>
      </w:hyperlink>
      <w:hyperlink w:anchor="i06b7cd4726b64f7c93228e635172bb86_7">
        <w:r>
          <w:rPr>
            <w:rStyle w:val="InternetLink"/>
          </w:rPr>
          <w:t>    </w:t>
        </w:r>
      </w:hyperlink>
      <w:hyperlink w:anchor="i06b7cd4726b64f7c93228e635172bb86_7">
        <w:r>
          <w:rPr>
            <w:rStyle w:val="InternetLink"/>
          </w:rPr>
          <w:t>Payment or Settlement of Cash-Based Awards and Other Stock-Based Awards</w:t>
        </w:r>
      </w:hyperlink>
      <w:hyperlink w:anchor="i06b7cd4726b64f7c93228e635172bb86_7">
        <w:r>
          <w:rPr>
            <w:rStyle w:val="InternetLink"/>
          </w:rPr>
          <w:t>    </w:t>
        </w:r>
      </w:hyperlink>
      <w:hyperlink w:anchor="i06b7cd4726b64f7c93228e635172bb86_7">
        <w:r>
          <w:rPr>
            <w:rStyle w:val="InternetLink"/>
          </w:rPr>
          <w:t>24</w:t>
        </w:r>
      </w:hyperlink>
    </w:p>
    <w:p>
      <w:pPr>
        <w:pStyle w:val="TextBody"/>
        <w:bidi w:val="0"/>
        <w:spacing w:lineRule="auto" w:line="288" w:before="0" w:after="100"/>
        <w:ind w:left="0" w:right="0" w:hanging="720"/>
        <w:jc w:val="left"/>
        <w:rPr/>
      </w:pPr>
      <w:hyperlink w:anchor="i06b7cd4726b64f7c93228e635172bb86_7">
        <w:r>
          <w:rPr>
            <w:rStyle w:val="InternetLink"/>
          </w:rPr>
          <w:t>11.5</w:t>
        </w:r>
      </w:hyperlink>
      <w:hyperlink w:anchor="i06b7cd4726b64f7c93228e635172bb86_7">
        <w:r>
          <w:rPr>
            <w:rStyle w:val="InternetLink"/>
          </w:rPr>
          <w:t>    </w:t>
        </w:r>
      </w:hyperlink>
      <w:hyperlink w:anchor="i06b7cd4726b64f7c93228e635172bb86_7">
        <w:r>
          <w:rPr>
            <w:rStyle w:val="InternetLink"/>
          </w:rPr>
          <w:t>Voting Rights; Dividend Equivalent Rights and Distributions</w:t>
        </w:r>
      </w:hyperlink>
      <w:hyperlink w:anchor="i06b7cd4726b64f7c93228e635172bb86_7">
        <w:r>
          <w:rPr>
            <w:rStyle w:val="InternetLink"/>
          </w:rPr>
          <w:t>    </w:t>
        </w:r>
      </w:hyperlink>
      <w:hyperlink w:anchor="i06b7cd4726b64f7c93228e635172bb86_7">
        <w:r>
          <w:rPr>
            <w:rStyle w:val="InternetLink"/>
          </w:rPr>
          <w:t>24</w:t>
        </w:r>
      </w:hyperlink>
    </w:p>
    <w:p>
      <w:pPr>
        <w:pStyle w:val="TextBody"/>
        <w:bidi w:val="0"/>
        <w:spacing w:lineRule="auto" w:line="288" w:before="0" w:after="100"/>
        <w:ind w:left="0" w:right="0" w:hanging="720"/>
        <w:jc w:val="left"/>
        <w:rPr/>
      </w:pPr>
      <w:hyperlink w:anchor="i06b7cd4726b64f7c93228e635172bb86_7">
        <w:r>
          <w:rPr>
            <w:rStyle w:val="InternetLink"/>
          </w:rPr>
          <w:t>11.6</w:t>
        </w:r>
      </w:hyperlink>
      <w:hyperlink w:anchor="i06b7cd4726b64f7c93228e635172bb86_7">
        <w:r>
          <w:rPr>
            <w:rStyle w:val="InternetLink"/>
          </w:rPr>
          <w:t>    </w:t>
        </w:r>
      </w:hyperlink>
      <w:hyperlink w:anchor="i06b7cd4726b64f7c93228e635172bb86_7">
        <w:r>
          <w:rPr>
            <w:rStyle w:val="InternetLink"/>
          </w:rPr>
          <w:t>Effect of Termination of Service</w:t>
        </w:r>
      </w:hyperlink>
      <w:hyperlink w:anchor="i06b7cd4726b64f7c93228e635172bb86_7">
        <w:r>
          <w:rPr>
            <w:rStyle w:val="InternetLink"/>
          </w:rPr>
          <w:t>    </w:t>
        </w:r>
      </w:hyperlink>
      <w:hyperlink w:anchor="i06b7cd4726b64f7c93228e635172bb86_7">
        <w:r>
          <w:rPr>
            <w:rStyle w:val="InternetLink"/>
          </w:rPr>
          <w:t>24</w:t>
        </w:r>
      </w:hyperlink>
    </w:p>
    <w:p>
      <w:pPr>
        <w:pStyle w:val="TextBody"/>
        <w:bidi w:val="0"/>
        <w:spacing w:lineRule="auto" w:line="288" w:before="0" w:after="100"/>
        <w:ind w:left="0" w:right="0" w:hanging="720"/>
        <w:jc w:val="left"/>
        <w:rPr/>
      </w:pPr>
      <w:hyperlink w:anchor="i06b7cd4726b64f7c93228e635172bb86_7">
        <w:r>
          <w:rPr>
            <w:rStyle w:val="InternetLink"/>
          </w:rPr>
          <w:t>11.7</w:t>
        </w:r>
      </w:hyperlink>
      <w:hyperlink w:anchor="i06b7cd4726b64f7c93228e635172bb86_7">
        <w:r>
          <w:rPr>
            <w:rStyle w:val="InternetLink"/>
          </w:rPr>
          <w:t>    </w:t>
        </w:r>
      </w:hyperlink>
      <w:hyperlink w:anchor="i06b7cd4726b64f7c93228e635172bb86_7">
        <w:r>
          <w:rPr>
            <w:rStyle w:val="InternetLink"/>
          </w:rPr>
          <w:t> Nontransferability of Cash-Based Awards and Other Stock-Based Awards</w:t>
        </w:r>
      </w:hyperlink>
      <w:hyperlink w:anchor="i06b7cd4726b64f7c93228e635172bb86_7">
        <w:r>
          <w:rPr>
            <w:rStyle w:val="InternetLink"/>
          </w:rPr>
          <w:t>    </w:t>
        </w:r>
      </w:hyperlink>
      <w:hyperlink w:anchor="i06b7cd4726b64f7c93228e635172bb86_7">
        <w:r>
          <w:rPr>
            <w:rStyle w:val="InternetLink"/>
          </w:rPr>
          <w:t>24</w:t>
        </w:r>
      </w:hyperlink>
    </w:p>
    <w:p>
      <w:pPr>
        <w:pStyle w:val="TextBody"/>
        <w:bidi w:val="0"/>
        <w:spacing w:lineRule="auto" w:line="288" w:before="0" w:after="100"/>
        <w:ind w:left="0" w:right="0" w:hanging="720"/>
        <w:jc w:val="left"/>
        <w:rPr/>
      </w:pPr>
      <w:hyperlink w:anchor="i06b7cd4726b64f7c93228e635172bb86_7">
        <w:r>
          <w:rPr>
            <w:rStyle w:val="InternetLink"/>
          </w:rPr>
          <w:t>12.</w:t>
        </w:r>
      </w:hyperlink>
      <w:hyperlink w:anchor="i06b7cd4726b64f7c93228e635172bb86_7">
        <w:r>
          <w:rPr>
            <w:rStyle w:val="InternetLink"/>
          </w:rPr>
          <w:t>    </w:t>
        </w:r>
      </w:hyperlink>
      <w:hyperlink w:anchor="i06b7cd4726b64f7c93228e635172bb86_7">
        <w:r>
          <w:rPr>
            <w:rStyle w:val="InternetLink"/>
          </w:rPr>
          <w:t>STANDARD FORMS OF AWARD AGREEMENT.</w:t>
        </w:r>
      </w:hyperlink>
      <w:hyperlink w:anchor="i06b7cd4726b64f7c93228e635172bb86_7">
        <w:r>
          <w:rPr>
            <w:rStyle w:val="InternetLink"/>
          </w:rPr>
          <w:t>    </w:t>
        </w:r>
      </w:hyperlink>
      <w:hyperlink w:anchor="i06b7cd4726b64f7c93228e635172bb86_7">
        <w:r>
          <w:rPr>
            <w:rStyle w:val="InternetLink"/>
          </w:rPr>
          <w:t>25</w:t>
        </w:r>
      </w:hyperlink>
    </w:p>
    <w:p>
      <w:pPr>
        <w:pStyle w:val="TextBody"/>
        <w:bidi w:val="0"/>
        <w:spacing w:lineRule="auto" w:line="288" w:before="0" w:after="100"/>
        <w:ind w:left="0" w:right="0" w:hanging="720"/>
        <w:jc w:val="left"/>
        <w:rPr/>
      </w:pPr>
      <w:hyperlink w:anchor="i06b7cd4726b64f7c93228e635172bb86_7">
        <w:r>
          <w:rPr>
            <w:rStyle w:val="InternetLink"/>
          </w:rPr>
          <w:t>12.1</w:t>
        </w:r>
      </w:hyperlink>
      <w:hyperlink w:anchor="i06b7cd4726b64f7c93228e635172bb86_7">
        <w:r>
          <w:rPr>
            <w:rStyle w:val="InternetLink"/>
          </w:rPr>
          <w:t>    </w:t>
        </w:r>
      </w:hyperlink>
      <w:hyperlink w:anchor="i06b7cd4726b64f7c93228e635172bb86_7">
        <w:r>
          <w:rPr>
            <w:rStyle w:val="InternetLink"/>
          </w:rPr>
          <w:t>Award Agreements</w:t>
        </w:r>
      </w:hyperlink>
      <w:hyperlink w:anchor="i06b7cd4726b64f7c93228e635172bb86_7">
        <w:r>
          <w:rPr>
            <w:rStyle w:val="InternetLink"/>
          </w:rPr>
          <w:t>    </w:t>
        </w:r>
      </w:hyperlink>
      <w:hyperlink w:anchor="i06b7cd4726b64f7c93228e635172bb86_7">
        <w:r>
          <w:rPr>
            <w:rStyle w:val="InternetLink"/>
          </w:rPr>
          <w:t>25</w:t>
        </w:r>
      </w:hyperlink>
    </w:p>
    <w:p>
      <w:pPr>
        <w:pStyle w:val="TextBody"/>
        <w:bidi w:val="0"/>
        <w:spacing w:lineRule="auto" w:line="288" w:before="0" w:after="100"/>
        <w:ind w:left="0" w:right="0" w:hanging="720"/>
        <w:jc w:val="left"/>
        <w:rPr/>
      </w:pPr>
      <w:hyperlink w:anchor="i06b7cd4726b64f7c93228e635172bb86_7">
        <w:r>
          <w:rPr>
            <w:rStyle w:val="InternetLink"/>
          </w:rPr>
          <w:t>12.2</w:t>
        </w:r>
      </w:hyperlink>
      <w:hyperlink w:anchor="i06b7cd4726b64f7c93228e635172bb86_7">
        <w:r>
          <w:rPr>
            <w:rStyle w:val="InternetLink"/>
          </w:rPr>
          <w:t>    </w:t>
        </w:r>
      </w:hyperlink>
      <w:hyperlink w:anchor="i06b7cd4726b64f7c93228e635172bb86_7">
        <w:r>
          <w:rPr>
            <w:rStyle w:val="InternetLink"/>
          </w:rPr>
          <w:t>Authority to Vary Terms</w:t>
        </w:r>
      </w:hyperlink>
      <w:hyperlink w:anchor="i06b7cd4726b64f7c93228e635172bb86_7">
        <w:r>
          <w:rPr>
            <w:rStyle w:val="InternetLink"/>
          </w:rPr>
          <w:t>    </w:t>
        </w:r>
      </w:hyperlink>
      <w:hyperlink w:anchor="i06b7cd4726b64f7c93228e635172bb86_7">
        <w:r>
          <w:rPr>
            <w:rStyle w:val="InternetLink"/>
          </w:rPr>
          <w:t>25</w:t>
        </w:r>
      </w:hyperlink>
    </w:p>
    <w:p>
      <w:pPr>
        <w:pStyle w:val="TextBody"/>
        <w:bidi w:val="0"/>
        <w:spacing w:lineRule="auto" w:line="288" w:before="0" w:after="100"/>
        <w:ind w:left="0" w:right="0" w:hanging="720"/>
        <w:jc w:val="left"/>
        <w:rPr/>
      </w:pPr>
      <w:hyperlink w:anchor="i06b7cd4726b64f7c93228e635172bb86_7">
        <w:r>
          <w:rPr>
            <w:rStyle w:val="InternetLink"/>
          </w:rPr>
          <w:t>13.</w:t>
        </w:r>
      </w:hyperlink>
      <w:hyperlink w:anchor="i06b7cd4726b64f7c93228e635172bb86_7">
        <w:r>
          <w:rPr>
            <w:rStyle w:val="InternetLink"/>
          </w:rPr>
          <w:t>    </w:t>
        </w:r>
      </w:hyperlink>
      <w:hyperlink w:anchor="i06b7cd4726b64f7c93228e635172bb86_7">
        <w:r>
          <w:rPr>
            <w:rStyle w:val="InternetLink"/>
          </w:rPr>
          <w:t>CHANGE IN CONTROL.</w:t>
        </w:r>
      </w:hyperlink>
      <w:hyperlink w:anchor="i06b7cd4726b64f7c93228e635172bb86_7">
        <w:r>
          <w:rPr>
            <w:rStyle w:val="InternetLink"/>
          </w:rPr>
          <w:t>    </w:t>
        </w:r>
      </w:hyperlink>
      <w:hyperlink w:anchor="i06b7cd4726b64f7c93228e635172bb86_7">
        <w:r>
          <w:rPr>
            <w:rStyle w:val="InternetLink"/>
          </w:rPr>
          <w:t>25</w:t>
        </w:r>
      </w:hyperlink>
    </w:p>
    <w:p>
      <w:pPr>
        <w:pStyle w:val="TextBody"/>
        <w:bidi w:val="0"/>
        <w:spacing w:lineRule="auto" w:line="288" w:before="0" w:after="100"/>
        <w:ind w:left="0" w:right="0" w:hanging="720"/>
        <w:jc w:val="left"/>
        <w:rPr/>
      </w:pPr>
      <w:hyperlink w:anchor="i06b7cd4726b64f7c93228e635172bb86_7">
        <w:r>
          <w:rPr>
            <w:rStyle w:val="InternetLink"/>
          </w:rPr>
          <w:t>13.1</w:t>
        </w:r>
      </w:hyperlink>
      <w:hyperlink w:anchor="i06b7cd4726b64f7c93228e635172bb86_7">
        <w:r>
          <w:rPr>
            <w:rStyle w:val="InternetLink"/>
          </w:rPr>
          <w:t>    </w:t>
        </w:r>
      </w:hyperlink>
      <w:hyperlink w:anchor="i06b7cd4726b64f7c93228e635172bb86_7">
        <w:r>
          <w:rPr>
            <w:rStyle w:val="InternetLink"/>
          </w:rPr>
          <w:t>Effect of Change in Control on Awards</w:t>
        </w:r>
      </w:hyperlink>
      <w:hyperlink w:anchor="i06b7cd4726b64f7c93228e635172bb86_7">
        <w:r>
          <w:rPr>
            <w:rStyle w:val="InternetLink"/>
          </w:rPr>
          <w:t>    </w:t>
        </w:r>
      </w:hyperlink>
      <w:hyperlink w:anchor="i06b7cd4726b64f7c93228e635172bb86_7">
        <w:r>
          <w:rPr>
            <w:rStyle w:val="InternetLink"/>
          </w:rPr>
          <w:t>25</w:t>
        </w:r>
      </w:hyperlink>
    </w:p>
    <w:p>
      <w:pPr>
        <w:pStyle w:val="TextBody"/>
        <w:bidi w:val="0"/>
        <w:spacing w:lineRule="auto" w:line="288" w:before="0" w:after="100"/>
        <w:ind w:left="0" w:right="0" w:hanging="720"/>
        <w:jc w:val="left"/>
        <w:rPr/>
      </w:pPr>
      <w:hyperlink w:anchor="i06b7cd4726b64f7c93228e635172bb86_7">
        <w:r>
          <w:rPr>
            <w:rStyle w:val="InternetLink"/>
          </w:rPr>
          <w:t>13.2</w:t>
        </w:r>
      </w:hyperlink>
      <w:hyperlink w:anchor="i06b7cd4726b64f7c93228e635172bb86_7">
        <w:r>
          <w:rPr>
            <w:rStyle w:val="InternetLink"/>
          </w:rPr>
          <w:t>    </w:t>
        </w:r>
      </w:hyperlink>
      <w:hyperlink w:anchor="i06b7cd4726b64f7c93228e635172bb86_7">
        <w:r>
          <w:rPr>
            <w:rStyle w:val="InternetLink"/>
          </w:rPr>
          <w:t>Effect of Change in Control on Nonemployee Director Awards</w:t>
        </w:r>
      </w:hyperlink>
      <w:hyperlink w:anchor="i06b7cd4726b64f7c93228e635172bb86_7">
        <w:r>
          <w:rPr>
            <w:rStyle w:val="InternetLink"/>
          </w:rPr>
          <w:t>    </w:t>
        </w:r>
      </w:hyperlink>
      <w:hyperlink w:anchor="i06b7cd4726b64f7c93228e635172bb86_7">
        <w:r>
          <w:rPr>
            <w:rStyle w:val="InternetLink"/>
          </w:rPr>
          <w:t>26</w:t>
        </w:r>
      </w:hyperlink>
    </w:p>
    <w:p>
      <w:pPr>
        <w:pStyle w:val="TextBody"/>
        <w:bidi w:val="0"/>
        <w:spacing w:lineRule="auto" w:line="288" w:before="0" w:after="100"/>
        <w:ind w:left="0" w:right="0" w:hanging="720"/>
        <w:jc w:val="left"/>
        <w:rPr/>
      </w:pPr>
      <w:hyperlink w:anchor="i06b7cd4726b64f7c93228e635172bb86_7">
        <w:r>
          <w:rPr>
            <w:rStyle w:val="InternetLink"/>
          </w:rPr>
          <w:t>13.3</w:t>
        </w:r>
      </w:hyperlink>
      <w:hyperlink w:anchor="i06b7cd4726b64f7c93228e635172bb86_7">
        <w:r>
          <w:rPr>
            <w:rStyle w:val="InternetLink"/>
          </w:rPr>
          <w:t>    </w:t>
        </w:r>
      </w:hyperlink>
      <w:hyperlink w:anchor="i06b7cd4726b64f7c93228e635172bb86_7">
        <w:r>
          <w:rPr>
            <w:rStyle w:val="InternetLink"/>
          </w:rPr>
          <w:t>Federal Excise Tax Under Section 4999 of the Code</w:t>
        </w:r>
      </w:hyperlink>
      <w:hyperlink w:anchor="i06b7cd4726b64f7c93228e635172bb86_7">
        <w:r>
          <w:rPr>
            <w:rStyle w:val="InternetLink"/>
          </w:rPr>
          <w:t>    </w:t>
        </w:r>
      </w:hyperlink>
      <w:hyperlink w:anchor="i06b7cd4726b64f7c93228e635172bb86_7">
        <w:r>
          <w:rPr>
            <w:rStyle w:val="InternetLink"/>
          </w:rPr>
          <w:t>27</w:t>
        </w:r>
      </w:hyperlink>
    </w:p>
    <w:p>
      <w:pPr>
        <w:pStyle w:val="TextBody"/>
        <w:bidi w:val="0"/>
        <w:spacing w:lineRule="auto" w:line="288" w:before="0" w:after="100"/>
        <w:ind w:left="0" w:right="0" w:hanging="720"/>
        <w:jc w:val="left"/>
        <w:rPr/>
      </w:pPr>
      <w:hyperlink w:anchor="i06b7cd4726b64f7c93228e635172bb86_7">
        <w:r>
          <w:rPr>
            <w:rStyle w:val="InternetLink"/>
          </w:rPr>
          <w:t>14.</w:t>
        </w:r>
      </w:hyperlink>
      <w:hyperlink w:anchor="i06b7cd4726b64f7c93228e635172bb86_7">
        <w:r>
          <w:rPr>
            <w:rStyle w:val="InternetLink"/>
          </w:rPr>
          <w:t>    </w:t>
        </w:r>
      </w:hyperlink>
      <w:hyperlink w:anchor="i06b7cd4726b64f7c93228e635172bb86_7">
        <w:r>
          <w:rPr>
            <w:rStyle w:val="InternetLink"/>
          </w:rPr>
          <w:t>COMPLIANCE WITH SECURITIES LAW.</w:t>
        </w:r>
      </w:hyperlink>
      <w:hyperlink w:anchor="i06b7cd4726b64f7c93228e635172bb86_7">
        <w:r>
          <w:rPr>
            <w:rStyle w:val="InternetLink"/>
          </w:rPr>
          <w:t>    </w:t>
        </w:r>
      </w:hyperlink>
      <w:hyperlink w:anchor="i06b7cd4726b64f7c93228e635172bb86_7">
        <w:r>
          <w:rPr>
            <w:rStyle w:val="InternetLink"/>
          </w:rPr>
          <w:t>27</w:t>
        </w:r>
      </w:hyperlink>
    </w:p>
    <w:p>
      <w:pPr>
        <w:pStyle w:val="TextBody"/>
        <w:bidi w:val="0"/>
        <w:spacing w:lineRule="auto" w:line="288" w:before="0" w:after="100"/>
        <w:ind w:left="0" w:right="0" w:hanging="720"/>
        <w:jc w:val="left"/>
        <w:rPr/>
      </w:pPr>
      <w:hyperlink w:anchor="i06b7cd4726b64f7c93228e635172bb86_7">
        <w:r>
          <w:rPr>
            <w:rStyle w:val="InternetLink"/>
          </w:rPr>
          <w:t>15.</w:t>
        </w:r>
      </w:hyperlink>
      <w:hyperlink w:anchor="i06b7cd4726b64f7c93228e635172bb86_7">
        <w:r>
          <w:rPr>
            <w:rStyle w:val="InternetLink"/>
          </w:rPr>
          <w:t>    </w:t>
        </w:r>
      </w:hyperlink>
      <w:hyperlink w:anchor="i06b7cd4726b64f7c93228e635172bb86_7">
        <w:r>
          <w:rPr>
            <w:rStyle w:val="InternetLink"/>
          </w:rPr>
          <w:t>COMPLIANCE WITH SECTION 409A.</w:t>
        </w:r>
      </w:hyperlink>
      <w:hyperlink w:anchor="i06b7cd4726b64f7c93228e635172bb86_7">
        <w:r>
          <w:rPr>
            <w:rStyle w:val="InternetLink"/>
          </w:rPr>
          <w:t>    </w:t>
        </w:r>
      </w:hyperlink>
      <w:hyperlink w:anchor="i06b7cd4726b64f7c93228e635172bb86_7">
        <w:r>
          <w:rPr>
            <w:rStyle w:val="InternetLink"/>
          </w:rPr>
          <w:t>27</w:t>
        </w:r>
      </w:hyperlink>
    </w:p>
    <w:p>
      <w:pPr>
        <w:pStyle w:val="TextBody"/>
        <w:bidi w:val="0"/>
        <w:spacing w:lineRule="auto" w:line="288" w:before="0" w:after="100"/>
        <w:ind w:left="0" w:right="0" w:hanging="720"/>
        <w:jc w:val="left"/>
        <w:rPr/>
      </w:pPr>
      <w:hyperlink w:anchor="i06b7cd4726b64f7c93228e635172bb86_7">
        <w:r>
          <w:rPr>
            <w:rStyle w:val="InternetLink"/>
          </w:rPr>
          <w:t>15.1</w:t>
        </w:r>
      </w:hyperlink>
      <w:hyperlink w:anchor="i06b7cd4726b64f7c93228e635172bb86_7">
        <w:r>
          <w:rPr>
            <w:rStyle w:val="InternetLink"/>
          </w:rPr>
          <w:t>    </w:t>
        </w:r>
      </w:hyperlink>
      <w:hyperlink w:anchor="i06b7cd4726b64f7c93228e635172bb86_7">
        <w:r>
          <w:rPr>
            <w:rStyle w:val="InternetLink"/>
          </w:rPr>
          <w:t>Awards Subject to Section 409A</w:t>
        </w:r>
      </w:hyperlink>
      <w:hyperlink w:anchor="i06b7cd4726b64f7c93228e635172bb86_7">
        <w:r>
          <w:rPr>
            <w:rStyle w:val="InternetLink"/>
          </w:rPr>
          <w:t>    </w:t>
        </w:r>
      </w:hyperlink>
      <w:hyperlink w:anchor="i06b7cd4726b64f7c93228e635172bb86_7">
        <w:r>
          <w:rPr>
            <w:rStyle w:val="InternetLink"/>
          </w:rPr>
          <w:t>27</w:t>
        </w:r>
      </w:hyperlink>
    </w:p>
    <w:p>
      <w:pPr>
        <w:pStyle w:val="TextBody"/>
        <w:bidi w:val="0"/>
        <w:spacing w:lineRule="auto" w:line="288" w:before="0" w:after="100"/>
        <w:ind w:left="0" w:right="0" w:hanging="720"/>
        <w:jc w:val="left"/>
        <w:rPr/>
      </w:pPr>
      <w:hyperlink w:anchor="i06b7cd4726b64f7c93228e635172bb86_7">
        <w:r>
          <w:rPr>
            <w:rStyle w:val="InternetLink"/>
          </w:rPr>
          <w:t>15.2</w:t>
        </w:r>
      </w:hyperlink>
      <w:hyperlink w:anchor="i06b7cd4726b64f7c93228e635172bb86_7">
        <w:r>
          <w:rPr>
            <w:rStyle w:val="InternetLink"/>
          </w:rPr>
          <w:t>    </w:t>
        </w:r>
      </w:hyperlink>
      <w:hyperlink w:anchor="i06b7cd4726b64f7c93228e635172bb86_7">
        <w:r>
          <w:rPr>
            <w:rStyle w:val="InternetLink"/>
          </w:rPr>
          <w:t>Deferral and/or Distribution Elections</w:t>
        </w:r>
      </w:hyperlink>
      <w:hyperlink w:anchor="i06b7cd4726b64f7c93228e635172bb86_7">
        <w:r>
          <w:rPr>
            <w:rStyle w:val="InternetLink"/>
          </w:rPr>
          <w:t>    </w:t>
        </w:r>
      </w:hyperlink>
      <w:hyperlink w:anchor="i06b7cd4726b64f7c93228e635172bb86_7">
        <w:r>
          <w:rPr>
            <w:rStyle w:val="InternetLink"/>
          </w:rPr>
          <w:t>28</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A-ii</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ind w:left="0" w:right="0" w:hanging="720"/>
        <w:jc w:val="left"/>
        <w:rPr/>
      </w:pPr>
      <w:hyperlink w:anchor="i06b7cd4726b64f7c93228e635172bb86_7">
        <w:r>
          <w:rPr>
            <w:rStyle w:val="InternetLink"/>
          </w:rPr>
          <w:t>15.3</w:t>
        </w:r>
      </w:hyperlink>
      <w:hyperlink w:anchor="i06b7cd4726b64f7c93228e635172bb86_7">
        <w:r>
          <w:rPr>
            <w:rStyle w:val="InternetLink"/>
          </w:rPr>
          <w:t>    </w:t>
        </w:r>
      </w:hyperlink>
      <w:hyperlink w:anchor="i06b7cd4726b64f7c93228e635172bb86_7">
        <w:r>
          <w:rPr>
            <w:rStyle w:val="InternetLink"/>
          </w:rPr>
          <w:t>Subsequent Elections</w:t>
        </w:r>
      </w:hyperlink>
      <w:hyperlink w:anchor="i06b7cd4726b64f7c93228e635172bb86_7">
        <w:r>
          <w:rPr>
            <w:rStyle w:val="InternetLink"/>
          </w:rPr>
          <w:t>    </w:t>
        </w:r>
      </w:hyperlink>
      <w:hyperlink w:anchor="i06b7cd4726b64f7c93228e635172bb86_7">
        <w:r>
          <w:rPr>
            <w:rStyle w:val="InternetLink"/>
          </w:rPr>
          <w:t>28</w:t>
        </w:r>
      </w:hyperlink>
    </w:p>
    <w:p>
      <w:pPr>
        <w:pStyle w:val="TextBody"/>
        <w:bidi w:val="0"/>
        <w:spacing w:lineRule="auto" w:line="288" w:before="0" w:after="100"/>
        <w:ind w:left="0" w:right="0" w:hanging="720"/>
        <w:jc w:val="left"/>
        <w:rPr/>
      </w:pPr>
      <w:hyperlink w:anchor="i06b7cd4726b64f7c93228e635172bb86_7">
        <w:r>
          <w:rPr>
            <w:rStyle w:val="InternetLink"/>
          </w:rPr>
          <w:t>15.4</w:t>
        </w:r>
      </w:hyperlink>
      <w:hyperlink w:anchor="i06b7cd4726b64f7c93228e635172bb86_7">
        <w:r>
          <w:rPr>
            <w:rStyle w:val="InternetLink"/>
          </w:rPr>
          <w:t>    </w:t>
        </w:r>
      </w:hyperlink>
      <w:hyperlink w:anchor="i06b7cd4726b64f7c93228e635172bb86_7">
        <w:r>
          <w:rPr>
            <w:rStyle w:val="InternetLink"/>
          </w:rPr>
          <w:t>Payment of Section 409A Deferred Compensation</w:t>
        </w:r>
      </w:hyperlink>
      <w:hyperlink w:anchor="i06b7cd4726b64f7c93228e635172bb86_7">
        <w:r>
          <w:rPr>
            <w:rStyle w:val="InternetLink"/>
          </w:rPr>
          <w:t>    </w:t>
        </w:r>
      </w:hyperlink>
      <w:hyperlink w:anchor="i06b7cd4726b64f7c93228e635172bb86_7">
        <w:r>
          <w:rPr>
            <w:rStyle w:val="InternetLink"/>
          </w:rPr>
          <w:t>29</w:t>
        </w:r>
      </w:hyperlink>
    </w:p>
    <w:p>
      <w:pPr>
        <w:pStyle w:val="TextBody"/>
        <w:bidi w:val="0"/>
        <w:spacing w:lineRule="auto" w:line="288" w:before="0" w:after="100"/>
        <w:ind w:left="0" w:right="0" w:hanging="720"/>
        <w:jc w:val="left"/>
        <w:rPr/>
      </w:pPr>
      <w:hyperlink w:anchor="i06b7cd4726b64f7c93228e635172bb86_7">
        <w:r>
          <w:rPr>
            <w:rStyle w:val="InternetLink"/>
          </w:rPr>
          <w:t>16.</w:t>
        </w:r>
      </w:hyperlink>
      <w:hyperlink w:anchor="i06b7cd4726b64f7c93228e635172bb86_7">
        <w:r>
          <w:rPr>
            <w:rStyle w:val="InternetLink"/>
          </w:rPr>
          <w:t>    </w:t>
        </w:r>
      </w:hyperlink>
      <w:hyperlink w:anchor="i06b7cd4726b64f7c93228e635172bb86_7">
        <w:r>
          <w:rPr>
            <w:rStyle w:val="InternetLink"/>
          </w:rPr>
          <w:t>TAX WITHHOLDING.</w:t>
        </w:r>
      </w:hyperlink>
      <w:hyperlink w:anchor="i06b7cd4726b64f7c93228e635172bb86_7">
        <w:r>
          <w:rPr>
            <w:rStyle w:val="InternetLink"/>
          </w:rPr>
          <w:t>    </w:t>
        </w:r>
      </w:hyperlink>
      <w:hyperlink w:anchor="i06b7cd4726b64f7c93228e635172bb86_7">
        <w:r>
          <w:rPr>
            <w:rStyle w:val="InternetLink"/>
          </w:rPr>
          <w:t>30</w:t>
        </w:r>
      </w:hyperlink>
    </w:p>
    <w:p>
      <w:pPr>
        <w:pStyle w:val="TextBody"/>
        <w:bidi w:val="0"/>
        <w:spacing w:lineRule="auto" w:line="288" w:before="0" w:after="100"/>
        <w:ind w:left="0" w:right="0" w:hanging="720"/>
        <w:jc w:val="left"/>
        <w:rPr/>
      </w:pPr>
      <w:hyperlink w:anchor="i06b7cd4726b64f7c93228e635172bb86_7">
        <w:r>
          <w:rPr>
            <w:rStyle w:val="InternetLink"/>
          </w:rPr>
          <w:t>16.1</w:t>
        </w:r>
      </w:hyperlink>
      <w:hyperlink w:anchor="i06b7cd4726b64f7c93228e635172bb86_7">
        <w:r>
          <w:rPr>
            <w:rStyle w:val="InternetLink"/>
          </w:rPr>
          <w:t>    </w:t>
        </w:r>
      </w:hyperlink>
      <w:hyperlink w:anchor="i06b7cd4726b64f7c93228e635172bb86_7">
        <w:r>
          <w:rPr>
            <w:rStyle w:val="InternetLink"/>
          </w:rPr>
          <w:t>Tax Withholding in General</w:t>
        </w:r>
      </w:hyperlink>
      <w:hyperlink w:anchor="i06b7cd4726b64f7c93228e635172bb86_7">
        <w:r>
          <w:rPr>
            <w:rStyle w:val="InternetLink"/>
          </w:rPr>
          <w:t>    </w:t>
        </w:r>
      </w:hyperlink>
      <w:hyperlink w:anchor="i06b7cd4726b64f7c93228e635172bb86_7">
        <w:r>
          <w:rPr>
            <w:rStyle w:val="InternetLink"/>
          </w:rPr>
          <w:t>31</w:t>
        </w:r>
      </w:hyperlink>
    </w:p>
    <w:p>
      <w:pPr>
        <w:pStyle w:val="TextBody"/>
        <w:bidi w:val="0"/>
        <w:spacing w:lineRule="auto" w:line="288" w:before="0" w:after="100"/>
        <w:ind w:left="0" w:right="0" w:hanging="720"/>
        <w:jc w:val="left"/>
        <w:rPr/>
      </w:pPr>
      <w:hyperlink w:anchor="i06b7cd4726b64f7c93228e635172bb86_7">
        <w:r>
          <w:rPr>
            <w:rStyle w:val="InternetLink"/>
          </w:rPr>
          <w:t>16.2</w:t>
        </w:r>
      </w:hyperlink>
      <w:hyperlink w:anchor="i06b7cd4726b64f7c93228e635172bb86_7">
        <w:r>
          <w:rPr>
            <w:rStyle w:val="InternetLink"/>
          </w:rPr>
          <w:t>    </w:t>
        </w:r>
      </w:hyperlink>
      <w:hyperlink w:anchor="i06b7cd4726b64f7c93228e635172bb86_7">
        <w:r>
          <w:rPr>
            <w:rStyle w:val="InternetLink"/>
          </w:rPr>
          <w:t>Withholding in or Directed Sale of Shares</w:t>
        </w:r>
      </w:hyperlink>
      <w:hyperlink w:anchor="i06b7cd4726b64f7c93228e635172bb86_7">
        <w:r>
          <w:rPr>
            <w:rStyle w:val="InternetLink"/>
          </w:rPr>
          <w:t>    </w:t>
        </w:r>
      </w:hyperlink>
      <w:hyperlink w:anchor="i06b7cd4726b64f7c93228e635172bb86_7">
        <w:r>
          <w:rPr>
            <w:rStyle w:val="InternetLink"/>
          </w:rPr>
          <w:t>31</w:t>
        </w:r>
      </w:hyperlink>
    </w:p>
    <w:p>
      <w:pPr>
        <w:pStyle w:val="TextBody"/>
        <w:bidi w:val="0"/>
        <w:spacing w:lineRule="auto" w:line="288" w:before="0" w:after="100"/>
        <w:ind w:left="0" w:right="0" w:hanging="720"/>
        <w:jc w:val="left"/>
        <w:rPr/>
      </w:pPr>
      <w:hyperlink w:anchor="i06b7cd4726b64f7c93228e635172bb86_7">
        <w:r>
          <w:rPr>
            <w:rStyle w:val="InternetLink"/>
          </w:rPr>
          <w:t>17.</w:t>
        </w:r>
      </w:hyperlink>
      <w:hyperlink w:anchor="i06b7cd4726b64f7c93228e635172bb86_7">
        <w:r>
          <w:rPr>
            <w:rStyle w:val="InternetLink"/>
          </w:rPr>
          <w:t>    </w:t>
        </w:r>
      </w:hyperlink>
      <w:hyperlink w:anchor="i06b7cd4726b64f7c93228e635172bb86_7">
        <w:r>
          <w:rPr>
            <w:rStyle w:val="InternetLink"/>
          </w:rPr>
          <w:t>AMENDMENT, SUSPENSION OR TERMINATION OF PLAN.</w:t>
        </w:r>
      </w:hyperlink>
      <w:hyperlink w:anchor="i06b7cd4726b64f7c93228e635172bb86_7">
        <w:r>
          <w:rPr>
            <w:rStyle w:val="InternetLink"/>
          </w:rPr>
          <w:t>    </w:t>
        </w:r>
      </w:hyperlink>
      <w:hyperlink w:anchor="i06b7cd4726b64f7c93228e635172bb86_7">
        <w:r>
          <w:rPr>
            <w:rStyle w:val="InternetLink"/>
          </w:rPr>
          <w:t>31</w:t>
        </w:r>
      </w:hyperlink>
    </w:p>
    <w:p>
      <w:pPr>
        <w:pStyle w:val="TextBody"/>
        <w:bidi w:val="0"/>
        <w:spacing w:lineRule="auto" w:line="288" w:before="0" w:after="100"/>
        <w:ind w:left="0" w:right="0" w:hanging="720"/>
        <w:jc w:val="left"/>
        <w:rPr/>
      </w:pPr>
      <w:hyperlink w:anchor="i06b7cd4726b64f7c93228e635172bb86_7">
        <w:r>
          <w:rPr>
            <w:rStyle w:val="InternetLink"/>
          </w:rPr>
          <w:t>18.</w:t>
        </w:r>
      </w:hyperlink>
      <w:hyperlink w:anchor="i06b7cd4726b64f7c93228e635172bb86_7">
        <w:r>
          <w:rPr>
            <w:rStyle w:val="InternetLink"/>
          </w:rPr>
          <w:t>    </w:t>
        </w:r>
      </w:hyperlink>
      <w:hyperlink w:anchor="i06b7cd4726b64f7c93228e635172bb86_7">
        <w:r>
          <w:rPr>
            <w:rStyle w:val="InternetLink"/>
          </w:rPr>
          <w:t>MISCELLANEOUS PROVISIONS.</w:t>
        </w:r>
      </w:hyperlink>
      <w:hyperlink w:anchor="i06b7cd4726b64f7c93228e635172bb86_7">
        <w:r>
          <w:rPr>
            <w:rStyle w:val="InternetLink"/>
          </w:rPr>
          <w:t>    </w:t>
        </w:r>
      </w:hyperlink>
      <w:hyperlink w:anchor="i06b7cd4726b64f7c93228e635172bb86_7">
        <w:r>
          <w:rPr>
            <w:rStyle w:val="InternetLink"/>
          </w:rPr>
          <w:t>31</w:t>
        </w:r>
      </w:hyperlink>
    </w:p>
    <w:p>
      <w:pPr>
        <w:pStyle w:val="TextBody"/>
        <w:bidi w:val="0"/>
        <w:spacing w:lineRule="auto" w:line="288" w:before="0" w:after="100"/>
        <w:ind w:left="0" w:right="0" w:hanging="720"/>
        <w:jc w:val="left"/>
        <w:rPr/>
      </w:pPr>
      <w:hyperlink w:anchor="i06b7cd4726b64f7c93228e635172bb86_7">
        <w:r>
          <w:rPr>
            <w:rStyle w:val="InternetLink"/>
          </w:rPr>
          <w:t>18.1</w:t>
        </w:r>
      </w:hyperlink>
      <w:hyperlink w:anchor="i06b7cd4726b64f7c93228e635172bb86_7">
        <w:r>
          <w:rPr>
            <w:rStyle w:val="InternetLink"/>
          </w:rPr>
          <w:t>    </w:t>
        </w:r>
      </w:hyperlink>
      <w:hyperlink w:anchor="i06b7cd4726b64f7c93228e635172bb86_7">
        <w:r>
          <w:rPr>
            <w:rStyle w:val="InternetLink"/>
          </w:rPr>
          <w:t>Repurchase Rights</w:t>
        </w:r>
      </w:hyperlink>
      <w:hyperlink w:anchor="i06b7cd4726b64f7c93228e635172bb86_7">
        <w:r>
          <w:rPr>
            <w:rStyle w:val="InternetLink"/>
          </w:rPr>
          <w:t>    </w:t>
        </w:r>
      </w:hyperlink>
      <w:hyperlink w:anchor="i06b7cd4726b64f7c93228e635172bb86_7">
        <w:r>
          <w:rPr>
            <w:rStyle w:val="InternetLink"/>
          </w:rPr>
          <w:t>31</w:t>
        </w:r>
      </w:hyperlink>
    </w:p>
    <w:p>
      <w:pPr>
        <w:pStyle w:val="TextBody"/>
        <w:bidi w:val="0"/>
        <w:spacing w:lineRule="auto" w:line="288" w:before="0" w:after="100"/>
        <w:ind w:left="0" w:right="0" w:hanging="720"/>
        <w:jc w:val="left"/>
        <w:rPr/>
      </w:pPr>
      <w:hyperlink w:anchor="i06b7cd4726b64f7c93228e635172bb86_7">
        <w:r>
          <w:rPr>
            <w:rStyle w:val="InternetLink"/>
          </w:rPr>
          <w:t>18.2</w:t>
        </w:r>
      </w:hyperlink>
      <w:hyperlink w:anchor="i06b7cd4726b64f7c93228e635172bb86_7">
        <w:r>
          <w:rPr>
            <w:rStyle w:val="InternetLink"/>
          </w:rPr>
          <w:t>    </w:t>
        </w:r>
      </w:hyperlink>
      <w:hyperlink w:anchor="i06b7cd4726b64f7c93228e635172bb86_7">
        <w:r>
          <w:rPr>
            <w:rStyle w:val="InternetLink"/>
          </w:rPr>
          <w:t>Forfeiture Events</w:t>
        </w:r>
      </w:hyperlink>
      <w:hyperlink w:anchor="i06b7cd4726b64f7c93228e635172bb86_7">
        <w:r>
          <w:rPr>
            <w:rStyle w:val="InternetLink"/>
          </w:rPr>
          <w:t>    </w:t>
        </w:r>
      </w:hyperlink>
      <w:hyperlink w:anchor="i06b7cd4726b64f7c93228e635172bb86_7">
        <w:r>
          <w:rPr>
            <w:rStyle w:val="InternetLink"/>
          </w:rPr>
          <w:t>31</w:t>
        </w:r>
      </w:hyperlink>
    </w:p>
    <w:p>
      <w:pPr>
        <w:pStyle w:val="TextBody"/>
        <w:bidi w:val="0"/>
        <w:spacing w:lineRule="auto" w:line="288" w:before="0" w:after="100"/>
        <w:ind w:left="0" w:right="0" w:hanging="720"/>
        <w:jc w:val="left"/>
        <w:rPr/>
      </w:pPr>
      <w:hyperlink w:anchor="i06b7cd4726b64f7c93228e635172bb86_7">
        <w:r>
          <w:rPr>
            <w:rStyle w:val="InternetLink"/>
          </w:rPr>
          <w:t>18.3</w:t>
        </w:r>
      </w:hyperlink>
      <w:hyperlink w:anchor="i06b7cd4726b64f7c93228e635172bb86_7">
        <w:r>
          <w:rPr>
            <w:rStyle w:val="InternetLink"/>
          </w:rPr>
          <w:t>    </w:t>
        </w:r>
      </w:hyperlink>
      <w:hyperlink w:anchor="i06b7cd4726b64f7c93228e635172bb86_7">
        <w:r>
          <w:rPr>
            <w:rStyle w:val="InternetLink"/>
          </w:rPr>
          <w:t>Provision of Information</w:t>
        </w:r>
      </w:hyperlink>
      <w:hyperlink w:anchor="i06b7cd4726b64f7c93228e635172bb86_7">
        <w:r>
          <w:rPr>
            <w:rStyle w:val="InternetLink"/>
          </w:rPr>
          <w:t>    </w:t>
        </w:r>
      </w:hyperlink>
      <w:hyperlink w:anchor="i06b7cd4726b64f7c93228e635172bb86_7">
        <w:r>
          <w:rPr>
            <w:rStyle w:val="InternetLink"/>
          </w:rPr>
          <w:t>32</w:t>
        </w:r>
      </w:hyperlink>
    </w:p>
    <w:p>
      <w:pPr>
        <w:pStyle w:val="TextBody"/>
        <w:bidi w:val="0"/>
        <w:spacing w:lineRule="auto" w:line="288" w:before="0" w:after="100"/>
        <w:ind w:left="0" w:right="0" w:hanging="720"/>
        <w:jc w:val="left"/>
        <w:rPr/>
      </w:pPr>
      <w:hyperlink w:anchor="i06b7cd4726b64f7c93228e635172bb86_7">
        <w:r>
          <w:rPr>
            <w:rStyle w:val="InternetLink"/>
          </w:rPr>
          <w:t>18.4</w:t>
        </w:r>
      </w:hyperlink>
      <w:hyperlink w:anchor="i06b7cd4726b64f7c93228e635172bb86_7">
        <w:r>
          <w:rPr>
            <w:rStyle w:val="InternetLink"/>
          </w:rPr>
          <w:t>    </w:t>
        </w:r>
      </w:hyperlink>
      <w:hyperlink w:anchor="i06b7cd4726b64f7c93228e635172bb86_7">
        <w:r>
          <w:rPr>
            <w:rStyle w:val="InternetLink"/>
          </w:rPr>
          <w:t>Electronic Delivery and Participation</w:t>
        </w:r>
      </w:hyperlink>
      <w:hyperlink w:anchor="i06b7cd4726b64f7c93228e635172bb86_7">
        <w:r>
          <w:rPr>
            <w:rStyle w:val="InternetLink"/>
          </w:rPr>
          <w:t>    </w:t>
        </w:r>
      </w:hyperlink>
      <w:hyperlink w:anchor="i06b7cd4726b64f7c93228e635172bb86_7">
        <w:r>
          <w:rPr>
            <w:rStyle w:val="InternetLink"/>
          </w:rPr>
          <w:t>32</w:t>
        </w:r>
      </w:hyperlink>
    </w:p>
    <w:p>
      <w:pPr>
        <w:pStyle w:val="TextBody"/>
        <w:bidi w:val="0"/>
        <w:spacing w:lineRule="auto" w:line="288" w:before="0" w:after="100"/>
        <w:ind w:left="0" w:right="0" w:hanging="720"/>
        <w:jc w:val="left"/>
        <w:rPr/>
      </w:pPr>
      <w:hyperlink w:anchor="i06b7cd4726b64f7c93228e635172bb86_7">
        <w:r>
          <w:rPr>
            <w:rStyle w:val="InternetLink"/>
          </w:rPr>
          <w:t>18.5</w:t>
        </w:r>
      </w:hyperlink>
      <w:hyperlink w:anchor="i06b7cd4726b64f7c93228e635172bb86_7">
        <w:r>
          <w:rPr>
            <w:rStyle w:val="InternetLink"/>
          </w:rPr>
          <w:t>    </w:t>
        </w:r>
      </w:hyperlink>
      <w:hyperlink w:anchor="i06b7cd4726b64f7c93228e635172bb86_7">
        <w:r>
          <w:rPr>
            <w:rStyle w:val="InternetLink"/>
          </w:rPr>
          <w:t>Change in Time Commitment</w:t>
        </w:r>
      </w:hyperlink>
      <w:hyperlink w:anchor="i06b7cd4726b64f7c93228e635172bb86_7">
        <w:r>
          <w:rPr>
            <w:rStyle w:val="InternetLink"/>
          </w:rPr>
          <w:t>    </w:t>
        </w:r>
      </w:hyperlink>
      <w:hyperlink w:anchor="i06b7cd4726b64f7c93228e635172bb86_7">
        <w:r>
          <w:rPr>
            <w:rStyle w:val="InternetLink"/>
          </w:rPr>
          <w:t>32</w:t>
        </w:r>
      </w:hyperlink>
    </w:p>
    <w:p>
      <w:pPr>
        <w:pStyle w:val="TextBody"/>
        <w:bidi w:val="0"/>
        <w:spacing w:lineRule="auto" w:line="288" w:before="0" w:after="100"/>
        <w:ind w:left="0" w:right="0" w:hanging="720"/>
        <w:jc w:val="left"/>
        <w:rPr/>
      </w:pPr>
      <w:hyperlink w:anchor="i06b7cd4726b64f7c93228e635172bb86_7">
        <w:r>
          <w:rPr>
            <w:rStyle w:val="InternetLink"/>
          </w:rPr>
          <w:t>18.6</w:t>
        </w:r>
      </w:hyperlink>
      <w:hyperlink w:anchor="i06b7cd4726b64f7c93228e635172bb86_7">
        <w:r>
          <w:rPr>
            <w:rStyle w:val="InternetLink"/>
          </w:rPr>
          <w:t>    </w:t>
        </w:r>
      </w:hyperlink>
      <w:hyperlink w:anchor="i06b7cd4726b64f7c93228e635172bb86_7">
        <w:r>
          <w:rPr>
            <w:rStyle w:val="InternetLink"/>
          </w:rPr>
          <w:t>Rights as Employee, Consultant or Director</w:t>
        </w:r>
      </w:hyperlink>
      <w:hyperlink w:anchor="i06b7cd4726b64f7c93228e635172bb86_7">
        <w:r>
          <w:rPr>
            <w:rStyle w:val="InternetLink"/>
          </w:rPr>
          <w:t>    </w:t>
        </w:r>
      </w:hyperlink>
      <w:hyperlink w:anchor="i06b7cd4726b64f7c93228e635172bb86_7">
        <w:r>
          <w:rPr>
            <w:rStyle w:val="InternetLink"/>
          </w:rPr>
          <w:t>33</w:t>
        </w:r>
      </w:hyperlink>
    </w:p>
    <w:p>
      <w:pPr>
        <w:pStyle w:val="TextBody"/>
        <w:bidi w:val="0"/>
        <w:spacing w:lineRule="auto" w:line="288" w:before="0" w:after="100"/>
        <w:ind w:left="0" w:right="0" w:hanging="720"/>
        <w:jc w:val="left"/>
        <w:rPr/>
      </w:pPr>
      <w:hyperlink w:anchor="i06b7cd4726b64f7c93228e635172bb86_7">
        <w:r>
          <w:rPr>
            <w:rStyle w:val="InternetLink"/>
          </w:rPr>
          <w:t>18.7</w:t>
        </w:r>
      </w:hyperlink>
      <w:hyperlink w:anchor="i06b7cd4726b64f7c93228e635172bb86_7">
        <w:r>
          <w:rPr>
            <w:rStyle w:val="InternetLink"/>
          </w:rPr>
          <w:t>    </w:t>
        </w:r>
      </w:hyperlink>
      <w:hyperlink w:anchor="i06b7cd4726b64f7c93228e635172bb86_7">
        <w:r>
          <w:rPr>
            <w:rStyle w:val="InternetLink"/>
          </w:rPr>
          <w:t>Rights as a Stockholder</w:t>
        </w:r>
      </w:hyperlink>
      <w:hyperlink w:anchor="i06b7cd4726b64f7c93228e635172bb86_7">
        <w:r>
          <w:rPr>
            <w:rStyle w:val="InternetLink"/>
          </w:rPr>
          <w:t>    </w:t>
        </w:r>
      </w:hyperlink>
      <w:hyperlink w:anchor="i06b7cd4726b64f7c93228e635172bb86_7">
        <w:r>
          <w:rPr>
            <w:rStyle w:val="InternetLink"/>
          </w:rPr>
          <w:t>33</w:t>
        </w:r>
      </w:hyperlink>
    </w:p>
    <w:p>
      <w:pPr>
        <w:pStyle w:val="TextBody"/>
        <w:bidi w:val="0"/>
        <w:spacing w:lineRule="auto" w:line="288" w:before="0" w:after="100"/>
        <w:ind w:left="0" w:right="0" w:hanging="720"/>
        <w:jc w:val="left"/>
        <w:rPr/>
      </w:pPr>
      <w:hyperlink w:anchor="i06b7cd4726b64f7c93228e635172bb86_7">
        <w:r>
          <w:rPr>
            <w:rStyle w:val="InternetLink"/>
          </w:rPr>
          <w:t>18.8</w:t>
        </w:r>
      </w:hyperlink>
      <w:hyperlink w:anchor="i06b7cd4726b64f7c93228e635172bb86_7">
        <w:r>
          <w:rPr>
            <w:rStyle w:val="InternetLink"/>
          </w:rPr>
          <w:t>    </w:t>
        </w:r>
      </w:hyperlink>
      <w:hyperlink w:anchor="i06b7cd4726b64f7c93228e635172bb86_7">
        <w:r>
          <w:rPr>
            <w:rStyle w:val="InternetLink"/>
          </w:rPr>
          <w:t>Delivery of Title to Shares</w:t>
        </w:r>
      </w:hyperlink>
      <w:hyperlink w:anchor="i06b7cd4726b64f7c93228e635172bb86_7">
        <w:r>
          <w:rPr>
            <w:rStyle w:val="InternetLink"/>
          </w:rPr>
          <w:t>    </w:t>
        </w:r>
      </w:hyperlink>
      <w:hyperlink w:anchor="i06b7cd4726b64f7c93228e635172bb86_7">
        <w:r>
          <w:rPr>
            <w:rStyle w:val="InternetLink"/>
          </w:rPr>
          <w:t>33</w:t>
        </w:r>
      </w:hyperlink>
    </w:p>
    <w:p>
      <w:pPr>
        <w:pStyle w:val="TextBody"/>
        <w:bidi w:val="0"/>
        <w:spacing w:lineRule="auto" w:line="288" w:before="0" w:after="100"/>
        <w:ind w:left="0" w:right="0" w:hanging="720"/>
        <w:jc w:val="left"/>
        <w:rPr/>
      </w:pPr>
      <w:hyperlink w:anchor="i06b7cd4726b64f7c93228e635172bb86_7">
        <w:r>
          <w:rPr>
            <w:rStyle w:val="InternetLink"/>
          </w:rPr>
          <w:t>18.9</w:t>
        </w:r>
      </w:hyperlink>
      <w:hyperlink w:anchor="i06b7cd4726b64f7c93228e635172bb86_7">
        <w:r>
          <w:rPr>
            <w:rStyle w:val="InternetLink"/>
          </w:rPr>
          <w:t>    </w:t>
        </w:r>
      </w:hyperlink>
      <w:hyperlink w:anchor="i06b7cd4726b64f7c93228e635172bb86_7">
        <w:r>
          <w:rPr>
            <w:rStyle w:val="InternetLink"/>
          </w:rPr>
          <w:t>Fractional Shares</w:t>
        </w:r>
      </w:hyperlink>
      <w:hyperlink w:anchor="i06b7cd4726b64f7c93228e635172bb86_7">
        <w:r>
          <w:rPr>
            <w:rStyle w:val="InternetLink"/>
          </w:rPr>
          <w:t>    </w:t>
        </w:r>
      </w:hyperlink>
      <w:hyperlink w:anchor="i06b7cd4726b64f7c93228e635172bb86_7">
        <w:r>
          <w:rPr>
            <w:rStyle w:val="InternetLink"/>
          </w:rPr>
          <w:t>33</w:t>
        </w:r>
      </w:hyperlink>
    </w:p>
    <w:p>
      <w:pPr>
        <w:pStyle w:val="TextBody"/>
        <w:bidi w:val="0"/>
        <w:spacing w:lineRule="auto" w:line="288" w:before="0" w:after="100"/>
        <w:ind w:left="0" w:right="0" w:hanging="720"/>
        <w:jc w:val="left"/>
        <w:rPr/>
      </w:pPr>
      <w:hyperlink w:anchor="i06b7cd4726b64f7c93228e635172bb86_7">
        <w:r>
          <w:rPr>
            <w:rStyle w:val="InternetLink"/>
          </w:rPr>
          <w:t>18.10</w:t>
        </w:r>
      </w:hyperlink>
      <w:hyperlink w:anchor="i06b7cd4726b64f7c93228e635172bb86_7">
        <w:r>
          <w:rPr>
            <w:rStyle w:val="InternetLink"/>
          </w:rPr>
          <w:t>    </w:t>
        </w:r>
      </w:hyperlink>
      <w:hyperlink w:anchor="i06b7cd4726b64f7c93228e635172bb86_7">
        <w:r>
          <w:rPr>
            <w:rStyle w:val="InternetLink"/>
          </w:rPr>
          <w:t>Provisions for Non-U</w:t>
        </w:r>
      </w:hyperlink>
      <w:hyperlink w:anchor="i06b7cd4726b64f7c93228e635172bb86_7">
        <w:r>
          <w:rPr>
            <w:rStyle w:val="InternetLink"/>
          </w:rPr>
          <w:t>    </w:t>
        </w:r>
      </w:hyperlink>
      <w:hyperlink w:anchor="i06b7cd4726b64f7c93228e635172bb86_7">
        <w:r>
          <w:rPr>
            <w:rStyle w:val="InternetLink"/>
          </w:rPr>
          <w:t>33</w:t>
        </w:r>
      </w:hyperlink>
    </w:p>
    <w:p>
      <w:pPr>
        <w:pStyle w:val="TextBody"/>
        <w:bidi w:val="0"/>
        <w:spacing w:lineRule="auto" w:line="288" w:before="0" w:after="100"/>
        <w:ind w:left="0" w:right="0" w:hanging="720"/>
        <w:jc w:val="left"/>
        <w:rPr/>
      </w:pPr>
      <w:hyperlink w:anchor="i06b7cd4726b64f7c93228e635172bb86_7">
        <w:r>
          <w:rPr>
            <w:rStyle w:val="InternetLink"/>
          </w:rPr>
          <w:t>18.11</w:t>
        </w:r>
      </w:hyperlink>
      <w:hyperlink w:anchor="i06b7cd4726b64f7c93228e635172bb86_7">
        <w:r>
          <w:rPr>
            <w:rStyle w:val="InternetLink"/>
          </w:rPr>
          <w:t>    </w:t>
        </w:r>
      </w:hyperlink>
      <w:hyperlink w:anchor="i06b7cd4726b64f7c93228e635172bb86_7">
        <w:r>
          <w:rPr>
            <w:rStyle w:val="InternetLink"/>
          </w:rPr>
          <w:t>Lock-Up Period</w:t>
        </w:r>
      </w:hyperlink>
      <w:hyperlink w:anchor="i06b7cd4726b64f7c93228e635172bb86_7">
        <w:r>
          <w:rPr>
            <w:rStyle w:val="InternetLink"/>
          </w:rPr>
          <w:t>    </w:t>
        </w:r>
      </w:hyperlink>
      <w:hyperlink w:anchor="i06b7cd4726b64f7c93228e635172bb86_7">
        <w:r>
          <w:rPr>
            <w:rStyle w:val="InternetLink"/>
          </w:rPr>
          <w:t>33</w:t>
        </w:r>
      </w:hyperlink>
    </w:p>
    <w:p>
      <w:pPr>
        <w:pStyle w:val="TextBody"/>
        <w:bidi w:val="0"/>
        <w:spacing w:lineRule="auto" w:line="288" w:before="0" w:after="100"/>
        <w:ind w:left="0" w:right="0" w:hanging="720"/>
        <w:jc w:val="left"/>
        <w:rPr/>
      </w:pPr>
      <w:hyperlink w:anchor="i06b7cd4726b64f7c93228e635172bb86_7">
        <w:r>
          <w:rPr>
            <w:rStyle w:val="InternetLink"/>
          </w:rPr>
          <w:t>18.12</w:t>
        </w:r>
      </w:hyperlink>
      <w:hyperlink w:anchor="i06b7cd4726b64f7c93228e635172bb86_7">
        <w:r>
          <w:rPr>
            <w:rStyle w:val="InternetLink"/>
          </w:rPr>
          <w:t>    </w:t>
        </w:r>
      </w:hyperlink>
      <w:hyperlink w:anchor="i06b7cd4726b64f7c93228e635172bb86_7">
        <w:r>
          <w:rPr>
            <w:rStyle w:val="InternetLink"/>
          </w:rPr>
          <w:t>Data Privacy</w:t>
        </w:r>
      </w:hyperlink>
      <w:hyperlink w:anchor="i06b7cd4726b64f7c93228e635172bb86_7">
        <w:r>
          <w:rPr>
            <w:rStyle w:val="InternetLink"/>
          </w:rPr>
          <w:t>    </w:t>
        </w:r>
      </w:hyperlink>
      <w:hyperlink w:anchor="i06b7cd4726b64f7c93228e635172bb86_7">
        <w:r>
          <w:rPr>
            <w:rStyle w:val="InternetLink"/>
          </w:rPr>
          <w:t>33</w:t>
        </w:r>
      </w:hyperlink>
    </w:p>
    <w:p>
      <w:pPr>
        <w:pStyle w:val="TextBody"/>
        <w:bidi w:val="0"/>
        <w:spacing w:lineRule="auto" w:line="288" w:before="0" w:after="100"/>
        <w:ind w:left="0" w:right="0" w:hanging="720"/>
        <w:jc w:val="left"/>
        <w:rPr/>
      </w:pPr>
      <w:hyperlink w:anchor="i06b7cd4726b64f7c93228e635172bb86_7">
        <w:r>
          <w:rPr>
            <w:rStyle w:val="InternetLink"/>
          </w:rPr>
          <w:t>18.13</w:t>
        </w:r>
      </w:hyperlink>
      <w:hyperlink w:anchor="i06b7cd4726b64f7c93228e635172bb86_7">
        <w:r>
          <w:rPr>
            <w:rStyle w:val="InternetLink"/>
          </w:rPr>
          <w:t>    </w:t>
        </w:r>
      </w:hyperlink>
      <w:hyperlink w:anchor="i06b7cd4726b64f7c93228e635172bb86_7">
        <w:r>
          <w:rPr>
            <w:rStyle w:val="InternetLink"/>
          </w:rPr>
          <w:t>Retirement and Welfare Plans</w:t>
        </w:r>
      </w:hyperlink>
      <w:hyperlink w:anchor="i06b7cd4726b64f7c93228e635172bb86_7">
        <w:r>
          <w:rPr>
            <w:rStyle w:val="InternetLink"/>
          </w:rPr>
          <w:t>    </w:t>
        </w:r>
      </w:hyperlink>
      <w:hyperlink w:anchor="i06b7cd4726b64f7c93228e635172bb86_7">
        <w:r>
          <w:rPr>
            <w:rStyle w:val="InternetLink"/>
          </w:rPr>
          <w:t>34</w:t>
        </w:r>
      </w:hyperlink>
    </w:p>
    <w:p>
      <w:pPr>
        <w:pStyle w:val="TextBody"/>
        <w:bidi w:val="0"/>
        <w:spacing w:lineRule="auto" w:line="288" w:before="0" w:after="100"/>
        <w:ind w:left="0" w:right="0" w:hanging="720"/>
        <w:jc w:val="left"/>
        <w:rPr/>
      </w:pPr>
      <w:hyperlink w:anchor="i06b7cd4726b64f7c93228e635172bb86_7">
        <w:r>
          <w:rPr>
            <w:rStyle w:val="InternetLink"/>
          </w:rPr>
          <w:t>18.14</w:t>
        </w:r>
      </w:hyperlink>
      <w:hyperlink w:anchor="i06b7cd4726b64f7c93228e635172bb86_7">
        <w:r>
          <w:rPr>
            <w:rStyle w:val="InternetLink"/>
          </w:rPr>
          <w:t>    </w:t>
        </w:r>
      </w:hyperlink>
      <w:hyperlink w:anchor="i06b7cd4726b64f7c93228e635172bb86_7">
        <w:r>
          <w:rPr>
            <w:rStyle w:val="InternetLink"/>
          </w:rPr>
          <w:t>Beneficiary Designation</w:t>
        </w:r>
      </w:hyperlink>
      <w:hyperlink w:anchor="i06b7cd4726b64f7c93228e635172bb86_7">
        <w:r>
          <w:rPr>
            <w:rStyle w:val="InternetLink"/>
          </w:rPr>
          <w:t>    </w:t>
        </w:r>
      </w:hyperlink>
      <w:hyperlink w:anchor="i06b7cd4726b64f7c93228e635172bb86_7">
        <w:r>
          <w:rPr>
            <w:rStyle w:val="InternetLink"/>
          </w:rPr>
          <w:t>34</w:t>
        </w:r>
      </w:hyperlink>
    </w:p>
    <w:p>
      <w:pPr>
        <w:pStyle w:val="TextBody"/>
        <w:bidi w:val="0"/>
        <w:spacing w:lineRule="auto" w:line="288" w:before="0" w:after="100"/>
        <w:ind w:left="0" w:right="0" w:hanging="720"/>
        <w:jc w:val="left"/>
        <w:rPr/>
      </w:pPr>
      <w:hyperlink w:anchor="i06b7cd4726b64f7c93228e635172bb86_7">
        <w:r>
          <w:rPr>
            <w:rStyle w:val="InternetLink"/>
          </w:rPr>
          <w:t>18.15</w:t>
        </w:r>
      </w:hyperlink>
      <w:hyperlink w:anchor="i06b7cd4726b64f7c93228e635172bb86_7">
        <w:r>
          <w:rPr>
            <w:rStyle w:val="InternetLink"/>
          </w:rPr>
          <w:t>    </w:t>
        </w:r>
      </w:hyperlink>
      <w:hyperlink w:anchor="i06b7cd4726b64f7c93228e635172bb86_7">
        <w:r>
          <w:rPr>
            <w:rStyle w:val="InternetLink"/>
          </w:rPr>
          <w:t>Severability</w:t>
        </w:r>
      </w:hyperlink>
      <w:hyperlink w:anchor="i06b7cd4726b64f7c93228e635172bb86_7">
        <w:r>
          <w:rPr>
            <w:rStyle w:val="InternetLink"/>
          </w:rPr>
          <w:t>    </w:t>
        </w:r>
      </w:hyperlink>
      <w:hyperlink w:anchor="i06b7cd4726b64f7c93228e635172bb86_7">
        <w:r>
          <w:rPr>
            <w:rStyle w:val="InternetLink"/>
          </w:rPr>
          <w:t>34</w:t>
        </w:r>
      </w:hyperlink>
    </w:p>
    <w:p>
      <w:pPr>
        <w:pStyle w:val="TextBody"/>
        <w:bidi w:val="0"/>
        <w:spacing w:lineRule="auto" w:line="288" w:before="0" w:after="100"/>
        <w:ind w:left="0" w:right="0" w:hanging="720"/>
        <w:jc w:val="left"/>
        <w:rPr/>
      </w:pPr>
      <w:hyperlink w:anchor="i06b7cd4726b64f7c93228e635172bb86_7">
        <w:r>
          <w:rPr>
            <w:rStyle w:val="InternetLink"/>
          </w:rPr>
          <w:t>18.16</w:t>
        </w:r>
      </w:hyperlink>
      <w:hyperlink w:anchor="i06b7cd4726b64f7c93228e635172bb86_7">
        <w:r>
          <w:rPr>
            <w:rStyle w:val="InternetLink"/>
          </w:rPr>
          <w:t>    </w:t>
        </w:r>
      </w:hyperlink>
      <w:hyperlink w:anchor="i06b7cd4726b64f7c93228e635172bb86_7">
        <w:r>
          <w:rPr>
            <w:rStyle w:val="InternetLink"/>
          </w:rPr>
          <w:t>No Constraint on Corporate Action</w:t>
        </w:r>
      </w:hyperlink>
      <w:hyperlink w:anchor="i06b7cd4726b64f7c93228e635172bb86_7">
        <w:r>
          <w:rPr>
            <w:rStyle w:val="InternetLink"/>
          </w:rPr>
          <w:t>    </w:t>
        </w:r>
      </w:hyperlink>
      <w:hyperlink w:anchor="i06b7cd4726b64f7c93228e635172bb86_7">
        <w:r>
          <w:rPr>
            <w:rStyle w:val="InternetLink"/>
          </w:rPr>
          <w:t>34</w:t>
        </w:r>
      </w:hyperlink>
    </w:p>
    <w:p>
      <w:pPr>
        <w:pStyle w:val="TextBody"/>
        <w:bidi w:val="0"/>
        <w:spacing w:lineRule="auto" w:line="288" w:before="0" w:after="100"/>
        <w:ind w:left="0" w:right="0" w:hanging="720"/>
        <w:jc w:val="left"/>
        <w:rPr/>
      </w:pPr>
      <w:hyperlink w:anchor="i06b7cd4726b64f7c93228e635172bb86_7">
        <w:r>
          <w:rPr>
            <w:rStyle w:val="InternetLink"/>
          </w:rPr>
          <w:t>18.17</w:t>
        </w:r>
      </w:hyperlink>
      <w:hyperlink w:anchor="i06b7cd4726b64f7c93228e635172bb86_7">
        <w:r>
          <w:rPr>
            <w:rStyle w:val="InternetLink"/>
          </w:rPr>
          <w:t>    </w:t>
        </w:r>
      </w:hyperlink>
      <w:hyperlink w:anchor="i06b7cd4726b64f7c93228e635172bb86_7">
        <w:r>
          <w:rPr>
            <w:rStyle w:val="InternetLink"/>
          </w:rPr>
          <w:t>Unfunded Obligation</w:t>
        </w:r>
      </w:hyperlink>
      <w:hyperlink w:anchor="i06b7cd4726b64f7c93228e635172bb86_7">
        <w:r>
          <w:rPr>
            <w:rStyle w:val="InternetLink"/>
          </w:rPr>
          <w:t>    </w:t>
        </w:r>
      </w:hyperlink>
      <w:hyperlink w:anchor="i06b7cd4726b64f7c93228e635172bb86_7">
        <w:r>
          <w:rPr>
            <w:rStyle w:val="InternetLink"/>
          </w:rPr>
          <w:t>34</w:t>
        </w:r>
      </w:hyperlink>
    </w:p>
    <w:p>
      <w:pPr>
        <w:pStyle w:val="TextBody"/>
        <w:bidi w:val="0"/>
        <w:spacing w:lineRule="auto" w:line="288" w:before="0" w:after="100"/>
        <w:ind w:left="0" w:right="0" w:hanging="720"/>
        <w:jc w:val="left"/>
        <w:rPr/>
      </w:pPr>
      <w:hyperlink w:anchor="i06b7cd4726b64f7c93228e635172bb86_7">
        <w:r>
          <w:rPr>
            <w:rStyle w:val="InternetLink"/>
          </w:rPr>
          <w:t>18.18</w:t>
        </w:r>
      </w:hyperlink>
      <w:hyperlink w:anchor="i06b7cd4726b64f7c93228e635172bb86_7">
        <w:r>
          <w:rPr>
            <w:rStyle w:val="InternetLink"/>
          </w:rPr>
          <w:t>    </w:t>
        </w:r>
      </w:hyperlink>
      <w:hyperlink w:anchor="i06b7cd4726b64f7c93228e635172bb86_7">
        <w:r>
          <w:rPr>
            <w:rStyle w:val="InternetLink"/>
          </w:rPr>
          <w:t>Choice of Law</w:t>
        </w:r>
      </w:hyperlink>
      <w:hyperlink w:anchor="i06b7cd4726b64f7c93228e635172bb86_7">
        <w:r>
          <w:rPr>
            <w:rStyle w:val="InternetLink"/>
          </w:rPr>
          <w:t>    </w:t>
        </w:r>
      </w:hyperlink>
      <w:hyperlink w:anchor="i06b7cd4726b64f7c93228e635172bb86_7">
        <w:r>
          <w:rPr>
            <w:rStyle w:val="InternetLink"/>
          </w:rPr>
          <w:t>35</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A-iii</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pPr>
      <w:r>
        <w:rPr>
          <w:rFonts w:ascii="Times New Roman;serif" w:hAnsi="Times New Roman;serif"/>
          <w:b/>
          <w:color w:val="000000"/>
          <w:sz w:val="20"/>
        </w:rPr>
        <w:t>QT Imaging Holdings, Inc</w:t>
      </w:r>
      <w:r>
        <w:rPr>
          <w:rFonts w:ascii="Times New Roman;serif" w:hAnsi="Times New Roman;serif"/>
          <w:b w:val="false"/>
          <w:color w:val="000000"/>
          <w:sz w:val="20"/>
        </w:rPr>
        <w: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Amended and Restated 2024 Equity Incentive Plan</w:t>
      </w:r>
    </w:p>
    <w:p>
      <w:pPr>
        <w:pStyle w:val="TextBody"/>
        <w:bidi w:val="0"/>
        <w:spacing w:lineRule="auto" w:line="288" w:before="0" w:after="180"/>
        <w:jc w:val="left"/>
        <w:rPr/>
      </w:pPr>
      <w:r>
        <w:rPr>
          <w:rFonts w:ascii="Times New Roman;serif" w:hAnsi="Times New Roman;serif"/>
          <w:b/>
          <w:color w:val="000000"/>
          <w:sz w:val="20"/>
        </w:rPr>
        <w:t>1.</w:t>
      </w:r>
      <w:r>
        <w:rPr>
          <w:rFonts w:ascii="Times New Roman;serif" w:hAnsi="Times New Roman;serif"/>
          <w:b/>
          <w:color w:val="000000"/>
          <w:sz w:val="20"/>
        </w:rPr>
        <w:t>ESTABLISHMENT, PURPOSE AND TERM OF PLAN</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1.1.</w:t>
      </w:r>
      <w:r>
        <w:rPr>
          <w:rFonts w:ascii="Times New Roman;serif" w:hAnsi="Times New Roman;serif"/>
          <w:b/>
          <w:color w:val="000000"/>
          <w:sz w:val="20"/>
        </w:rPr>
        <w:t>Establishment</w:t>
      </w:r>
      <w:r>
        <w:rPr>
          <w:rFonts w:ascii="Times New Roman;serif" w:hAnsi="Times New Roman;serif"/>
          <w:b w:val="false"/>
          <w:color w:val="000000"/>
          <w:sz w:val="20"/>
        </w:rPr>
        <w:t>. The QT Imaging Holdings, Inc. Amended and Restated 2024 Equity Incentive Plan (f/k/a the GigCapital5, Inc. 2024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was originally established effective as of March 4, 2024, the date of the closing of each of the transactions contemplated by that certain business combination agreement entered into by and between GigCapital5, Inc., QTI Merger Sub, Inc., and QT Imaging, Inc., following the Plan’s approval by the stockholders of the Company (the “</w:t>
      </w:r>
      <w:r>
        <w:rPr>
          <w:rFonts w:ascii="Times New Roman;serif" w:hAnsi="Times New Roman;serif"/>
          <w:b/>
          <w:i/>
          <w:color w:val="000000"/>
          <w:sz w:val="20"/>
        </w:rPr>
        <w:t>Effective Date</w:t>
      </w:r>
      <w:r>
        <w:rPr>
          <w:color w:val="000000"/>
        </w:rPr>
        <w:t>”</w:t>
      </w:r>
      <w:r>
        <w:rPr>
          <w:rFonts w:ascii="Times New Roman;serif" w:hAnsi="Times New Roman;serif"/>
          <w:b w:val="false"/>
          <w:color w:val="000000"/>
          <w:sz w:val="20"/>
        </w:rPr>
        <w:t>). The Plan is hereby amended and restated effective as of the date on which this Plan is approved by the stockholders of the Company (the “</w:t>
      </w:r>
      <w:r>
        <w:rPr>
          <w:rFonts w:ascii="Times New Roman;serif" w:hAnsi="Times New Roman;serif"/>
          <w:b/>
          <w:i/>
          <w:color w:val="000000"/>
          <w:sz w:val="20"/>
        </w:rPr>
        <w:t>Amended and Restated Effective Date</w:t>
      </w:r>
      <w:r>
        <w:rPr>
          <w:color w:val="000000"/>
        </w:rPr>
        <w:t>”</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1.2.</w:t>
      </w:r>
      <w:r>
        <w:rPr>
          <w:rFonts w:ascii="Times New Roman;serif" w:hAnsi="Times New Roman;serif"/>
          <w:b/>
          <w:color w:val="000000"/>
          <w:sz w:val="20"/>
        </w:rPr>
        <w:t>Purpose</w:t>
      </w:r>
      <w:r>
        <w:rPr>
          <w:rFonts w:ascii="Times New Roman;serif" w:hAnsi="Times New Roman;serif"/>
          <w:b w:val="false"/>
          <w:color w:val="000000"/>
          <w:sz w:val="20"/>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lineRule="auto" w:line="288" w:before="0" w:after="180"/>
        <w:jc w:val="left"/>
        <w:rPr/>
      </w:pPr>
      <w:r>
        <w:rPr>
          <w:rFonts w:ascii="Times New Roman;serif" w:hAnsi="Times New Roman;serif"/>
          <w:b w:val="false"/>
          <w:color w:val="000000"/>
          <w:sz w:val="20"/>
        </w:rPr>
        <w:t>1.3.</w:t>
      </w:r>
      <w:r>
        <w:rPr>
          <w:rFonts w:ascii="Times New Roman;serif" w:hAnsi="Times New Roman;serif"/>
          <w:b/>
          <w:color w:val="000000"/>
          <w:sz w:val="20"/>
        </w:rPr>
        <w:t>Term of Plan</w:t>
      </w:r>
      <w:r>
        <w:rPr>
          <w:rFonts w:ascii="Times New Roman;serif" w:hAnsi="Times New Roman;serif"/>
          <w:b w:val="false"/>
          <w:color w:val="000000"/>
          <w:sz w:val="20"/>
        </w:rPr>
        <w:t>. The Plan shall continue in effect until its termination by the Committee; provided, however, that all Awards shall be granted, if at all, within ten (10) years from the earlier of the date that the Plan was approved by the Board or the stockholders of the Company.</w:t>
      </w:r>
    </w:p>
    <w:p>
      <w:pPr>
        <w:pStyle w:val="TextBody"/>
        <w:bidi w:val="0"/>
        <w:spacing w:lineRule="auto" w:line="288" w:before="0" w:after="180"/>
        <w:jc w:val="left"/>
        <w:rPr/>
      </w:pPr>
      <w:r>
        <w:rPr>
          <w:rFonts w:ascii="Times New Roman;serif" w:hAnsi="Times New Roman;serif"/>
          <w:b/>
          <w:color w:val="000000"/>
          <w:sz w:val="20"/>
        </w:rPr>
        <w:t>2.</w:t>
      </w:r>
      <w:r>
        <w:rPr>
          <w:rFonts w:ascii="Times New Roman;serif" w:hAnsi="Times New Roman;serif"/>
          <w:b/>
          <w:color w:val="000000"/>
          <w:sz w:val="20"/>
        </w:rPr>
        <w:t>DEFINITIONS AND CONSTRUCTION</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2.1.</w:t>
      </w:r>
      <w:r>
        <w:rPr>
          <w:rFonts w:ascii="Times New Roman;serif" w:hAnsi="Times New Roman;serif"/>
          <w:b/>
          <w:color w:val="000000"/>
          <w:sz w:val="20"/>
        </w:rPr>
        <w:t>Definitions</w:t>
      </w:r>
      <w:r>
        <w:rPr>
          <w:rFonts w:ascii="Times New Roman;serif" w:hAnsi="Times New Roman;serif"/>
          <w:b w:val="false"/>
          <w:color w:val="000000"/>
          <w:sz w:val="20"/>
        </w:rPr>
        <w:t>. Whenever used herein, the following terms shall have their respective meanings set forth below:</w:t>
      </w:r>
    </w:p>
    <w:p>
      <w:pPr>
        <w:pStyle w:val="TextBody"/>
        <w:bidi w:val="0"/>
        <w:spacing w:lineRule="auto" w:line="288" w:before="0" w:after="180"/>
        <w:jc w:val="both"/>
        <w:rPr/>
      </w:pPr>
      <w:r>
        <w:rPr>
          <w:color w:val="000000"/>
        </w:rPr>
        <w:t>“</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pStyle w:val="TextBody"/>
        <w:bidi w:val="0"/>
        <w:spacing w:lineRule="auto" w:line="288" w:before="0" w:after="180"/>
        <w:jc w:val="both"/>
        <w:rPr/>
      </w:pPr>
      <w:r>
        <w:rPr>
          <w:color w:val="000000"/>
        </w:rPr>
        <w:t>“</w:t>
      </w:r>
      <w:r>
        <w:rPr>
          <w:rFonts w:ascii="Times New Roman;serif" w:hAnsi="Times New Roman;serif"/>
          <w:b/>
          <w:i/>
          <w:color w:val="000000"/>
          <w:sz w:val="20"/>
        </w:rPr>
        <w:t>Award</w:t>
      </w:r>
      <w:r>
        <w:rPr>
          <w:color w:val="000000"/>
        </w:rPr>
        <w:t xml:space="preserve">” </w:t>
      </w:r>
      <w:r>
        <w:rPr>
          <w:rFonts w:ascii="Times New Roman;serif" w:hAnsi="Times New Roman;serif"/>
          <w:b w:val="false"/>
          <w:color w:val="000000"/>
          <w:sz w:val="20"/>
        </w:rPr>
        <w:t>means any Option, Stock Appreciation Right, Restricted Stock Purchase Right, Restricted Stock Bonus, Restricted Stock Unit, Performance Share, Performance Unit, Cash-Based Award or Other Stock-Based Award granted under the Plan.</w:t>
      </w:r>
    </w:p>
    <w:p>
      <w:pPr>
        <w:pStyle w:val="TextBody"/>
        <w:bidi w:val="0"/>
        <w:spacing w:lineRule="auto" w:line="288" w:before="0" w:after="180"/>
        <w:jc w:val="both"/>
        <w:rPr/>
      </w:pPr>
      <w:r>
        <w:rPr>
          <w:color w:val="000000"/>
        </w:rPr>
        <w:t>“</w:t>
      </w:r>
      <w:r>
        <w:rPr>
          <w:rFonts w:ascii="Times New Roman;serif" w:hAnsi="Times New Roman;serif"/>
          <w:b/>
          <w:i/>
          <w:color w:val="000000"/>
          <w:sz w:val="20"/>
        </w:rPr>
        <w:t>Award Agreement</w:t>
      </w:r>
      <w:r>
        <w:rPr>
          <w:color w:val="000000"/>
        </w:rPr>
        <w:t xml:space="preserve">” </w:t>
      </w:r>
      <w:r>
        <w:rPr>
          <w:rFonts w:ascii="Times New Roman;serif" w:hAnsi="Times New Roman;serif"/>
          <w:b w:val="false"/>
          <w:color w:val="000000"/>
          <w:sz w:val="20"/>
        </w:rPr>
        <w:t>means a written or electronic agreement between the Company and a Participant setting forth the terms, conditions and restrictions applicable to an Award.</w:t>
      </w:r>
    </w:p>
    <w:p>
      <w:pPr>
        <w:pStyle w:val="TextBody"/>
        <w:bidi w:val="0"/>
        <w:spacing w:lineRule="auto" w:line="288" w:before="0" w:after="180"/>
        <w:jc w:val="both"/>
        <w:rPr/>
      </w:pPr>
      <w:r>
        <w:rPr>
          <w:color w:val="000000"/>
        </w:rPr>
        <w:t>“</w:t>
      </w:r>
      <w:r>
        <w:rPr>
          <w:rFonts w:ascii="Times New Roman;serif" w:hAnsi="Times New Roman;serif"/>
          <w:b/>
          <w:i/>
          <w:color w:val="000000"/>
          <w:sz w:val="20"/>
        </w:rPr>
        <w:t>Board</w:t>
      </w:r>
      <w:r>
        <w:rPr>
          <w:color w:val="000000"/>
        </w:rPr>
        <w:t xml:space="preserve">” </w:t>
      </w:r>
      <w:r>
        <w:rPr>
          <w:rFonts w:ascii="Times New Roman;serif" w:hAnsi="Times New Roman;serif"/>
          <w:b w:val="false"/>
          <w:color w:val="000000"/>
          <w:sz w:val="20"/>
        </w:rPr>
        <w:t>means the Board of Directors of the Company.</w:t>
      </w:r>
    </w:p>
    <w:p>
      <w:pPr>
        <w:pStyle w:val="TextBody"/>
        <w:bidi w:val="0"/>
        <w:spacing w:lineRule="auto" w:line="288" w:before="0" w:after="180"/>
        <w:jc w:val="both"/>
        <w:rPr/>
      </w:pPr>
      <w:r>
        <w:rPr>
          <w:color w:val="000000"/>
        </w:rPr>
        <w:t>“</w:t>
      </w:r>
      <w:r>
        <w:rPr>
          <w:rFonts w:ascii="Times New Roman;serif" w:hAnsi="Times New Roman;serif"/>
          <w:b/>
          <w:i/>
          <w:color w:val="000000"/>
          <w:sz w:val="20"/>
        </w:rPr>
        <w:t>Cash-Based Award</w:t>
      </w:r>
      <w:r>
        <w:rPr>
          <w:color w:val="000000"/>
        </w:rPr>
        <w:t xml:space="preserve">” </w:t>
      </w:r>
      <w:r>
        <w:rPr>
          <w:rFonts w:ascii="Times New Roman;serif" w:hAnsi="Times New Roman;serif"/>
          <w:b w:val="false"/>
          <w:color w:val="000000"/>
          <w:sz w:val="20"/>
        </w:rPr>
        <w:t>means an Award denominated in cash and granted pursuant to Section 11.</w:t>
      </w:r>
    </w:p>
    <w:p>
      <w:pPr>
        <w:pStyle w:val="TextBody"/>
        <w:bidi w:val="0"/>
        <w:spacing w:lineRule="auto" w:line="288" w:before="0" w:after="180"/>
        <w:jc w:val="both"/>
        <w:rPr/>
      </w:pPr>
      <w:r>
        <w:rPr>
          <w:color w:val="000000"/>
        </w:rPr>
        <w:t>“</w:t>
      </w:r>
      <w:r>
        <w:rPr>
          <w:rFonts w:ascii="Times New Roman;serif" w:hAnsi="Times New Roman;serif"/>
          <w:b/>
          <w:i/>
          <w:color w:val="000000"/>
          <w:sz w:val="20"/>
        </w:rPr>
        <w:t>Cashless Exercise</w:t>
      </w:r>
      <w:r>
        <w:rPr>
          <w:color w:val="000000"/>
        </w:rPr>
        <w:t xml:space="preserve">” </w:t>
      </w:r>
      <w:r>
        <w:rPr>
          <w:rFonts w:ascii="Times New Roman;serif" w:hAnsi="Times New Roman;serif"/>
          <w:b w:val="false"/>
          <w:color w:val="000000"/>
          <w:sz w:val="20"/>
        </w:rPr>
        <w:t>means a Cashless Exercise as defined in Section 6.3(b)(i).</w:t>
      </w:r>
    </w:p>
    <w:p>
      <w:pPr>
        <w:pStyle w:val="TextBody"/>
        <w:bidi w:val="0"/>
        <w:spacing w:lineRule="auto" w:line="288" w:before="0" w:after="180"/>
        <w:jc w:val="both"/>
        <w:rPr/>
      </w:pPr>
      <w:r>
        <w:rPr>
          <w:color w:val="000000"/>
        </w:rPr>
        <w:t>“</w:t>
      </w:r>
      <w:r>
        <w:rPr>
          <w:rFonts w:ascii="Times New Roman;serif" w:hAnsi="Times New Roman;serif"/>
          <w:b/>
          <w:i/>
          <w:color w:val="000000"/>
          <w:sz w:val="20"/>
        </w:rPr>
        <w:t>Cause</w:t>
      </w:r>
      <w:r>
        <w:rPr>
          <w:color w:val="000000"/>
        </w:rPr>
        <w:t xml:space="preserve">” </w:t>
      </w:r>
      <w:r>
        <w:rPr>
          <w:rFonts w:ascii="Times New Roman;serif" w:hAnsi="Times New Roman;serif"/>
          <w:b w:val="false"/>
          <w:color w:val="000000"/>
          <w:sz w:val="20"/>
        </w:rPr>
        <w:t xml:space="preserve">means, unless such term or an equivalent term is otherwise defined by the applicable Award Agreement or other written agreement between the Participant and a Participating Company applicable to an Award and which is in effect as of the date of grant of such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Times New Roman;serif" w:hAnsi="Times New Roman;serif"/>
          <w:b w:val="false"/>
          <w:i/>
          <w:color w:val="000000"/>
          <w:sz w:val="20"/>
        </w:rPr>
        <w:t>nolo contendere</w:t>
      </w:r>
      <w:r>
        <w:rPr>
          <w:rFonts w:ascii="Times New Roman;serif" w:hAnsi="Times New Roman;serif"/>
          <w:b w:val="false"/>
          <w:color w:val="000000"/>
          <w:sz w:val="20"/>
        </w:rPr>
        <w:t>) of any criminal act involving fraud, dishonesty, misappropriation or moral turpitude, or which impairs the Participant’s ability to perform his or her duties with a Participating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pPr>
      <w:r>
        <w:rPr>
          <w:color w:val="000000"/>
        </w:rPr>
        <w:t>“</w:t>
      </w:r>
      <w:r>
        <w:rPr>
          <w:rFonts w:ascii="Times New Roman;serif" w:hAnsi="Times New Roman;serif"/>
          <w:b/>
          <w:i/>
          <w:color w:val="000000"/>
          <w:sz w:val="20"/>
        </w:rPr>
        <w:t>Change in Control</w:t>
      </w:r>
      <w:r>
        <w:rPr>
          <w:color w:val="000000"/>
        </w:rPr>
        <w:t xml:space="preserve">” </w:t>
      </w:r>
      <w:r>
        <w:rPr>
          <w:rFonts w:ascii="Times New Roman;serif" w:hAnsi="Times New Roman;serif"/>
          <w:b w:val="false"/>
          <w:color w:val="000000"/>
          <w:sz w:val="20"/>
        </w:rPr>
        <w:t>means the occurrence of any one or a combination of the following: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pStyle w:val="TextBody"/>
        <w:bidi w:val="0"/>
        <w:spacing w:lineRule="auto" w:line="288" w:before="0" w:after="180"/>
        <w:ind w:left="0" w:right="0" w:firstLine="720"/>
        <w:jc w:val="left"/>
        <w:rPr/>
      </w:pPr>
      <w:r>
        <w:rPr>
          <w:rFonts w:ascii="Times New Roman;serif" w:hAnsi="Times New Roman;serif"/>
          <w:b w:val="false"/>
          <w:color w:val="000000"/>
          <w:sz w:val="20"/>
        </w:rPr>
        <w:t>(b) an Ownership Change Event or series of related Ownership Change Events (collectively, a “</w:t>
      </w:r>
      <w:r>
        <w:rPr>
          <w:rFonts w:ascii="Times New Roman;serif" w:hAnsi="Times New Roman;serif"/>
          <w:b/>
          <w:color w:val="000000"/>
          <w:sz w:val="20"/>
        </w:rPr>
        <w:t>Transaction</w:t>
      </w:r>
      <w:r>
        <w:rPr>
          <w:color w:val="000000"/>
        </w:rPr>
        <w:t>”</w:t>
      </w:r>
      <w:r>
        <w:rPr>
          <w:rFonts w:ascii="Times New Roman;serif" w:hAnsi="Times New Roman;serif"/>
          <w:b w:val="false"/>
          <w:color w:val="000000"/>
          <w:sz w:val="20"/>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Times New Roman;serif" w:hAnsi="Times New Roman;serif"/>
          <w:b/>
          <w:color w:val="000000"/>
          <w:sz w:val="20"/>
        </w:rPr>
        <w:t>Transferee</w:t>
      </w:r>
      <w:r>
        <w:rPr>
          <w:color w:val="000000"/>
        </w:rPr>
        <w:t>”</w:t>
      </w:r>
      <w:r>
        <w:rPr>
          <w:rFonts w:ascii="Times New Roman;serif" w:hAnsi="Times New Roman;serif"/>
          <w:b w:val="false"/>
          <w:color w:val="000000"/>
          <w:sz w:val="20"/>
        </w:rPr>
        <w:t>), as the case may be; or</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a date specified by the Committee following approval by the stockholders of a plan of complete liquidation or dissolution of the Company; 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 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lineRule="auto" w:line="288" w:before="0" w:after="180"/>
        <w:jc w:val="both"/>
        <w:rPr/>
      </w:pPr>
      <w:r>
        <w:rPr>
          <w:color w:val="000000"/>
        </w:rPr>
        <w:t>“</w:t>
      </w:r>
      <w:r>
        <w:rPr>
          <w:rFonts w:ascii="Times New Roman;serif" w:hAnsi="Times New Roman;serif"/>
          <w:b/>
          <w:i/>
          <w:color w:val="000000"/>
          <w:sz w:val="20"/>
        </w:rPr>
        <w:t>Code</w:t>
      </w:r>
      <w:r>
        <w:rPr>
          <w:color w:val="000000"/>
        </w:rPr>
        <w:t xml:space="preserve">” </w:t>
      </w:r>
      <w:r>
        <w:rPr>
          <w:rFonts w:ascii="Times New Roman;serif" w:hAnsi="Times New Roman;serif"/>
          <w:b w:val="false"/>
          <w:color w:val="000000"/>
          <w:sz w:val="20"/>
        </w:rPr>
        <w:t>means the Internal Revenue Code of 1986, as amended, and any applicable regulations and administrative guidelines promulgated thereunder.</w:t>
      </w:r>
    </w:p>
    <w:p>
      <w:pPr>
        <w:pStyle w:val="TextBody"/>
        <w:bidi w:val="0"/>
        <w:spacing w:lineRule="auto" w:line="288" w:before="0" w:after="180"/>
        <w:jc w:val="both"/>
        <w:rPr/>
      </w:pPr>
      <w:r>
        <w:rPr>
          <w:color w:val="000000"/>
        </w:rPr>
        <w:t>“</w:t>
      </w:r>
      <w:r>
        <w:rPr>
          <w:rFonts w:ascii="Times New Roman;serif" w:hAnsi="Times New Roman;serif"/>
          <w:b/>
          <w:i/>
          <w:color w:val="000000"/>
          <w:sz w:val="20"/>
        </w:rPr>
        <w:t>Committee</w:t>
      </w:r>
      <w:r>
        <w:rPr>
          <w:color w:val="000000"/>
        </w:rPr>
        <w:t xml:space="preserve">” </w:t>
      </w:r>
      <w:r>
        <w:rPr>
          <w:rFonts w:ascii="Times New Roman;serif" w:hAnsi="Times New Roman;serif"/>
          <w:b w:val="false"/>
          <w:color w:val="000000"/>
          <w:sz w:val="20"/>
        </w:rPr>
        <w:t>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pStyle w:val="TextBody"/>
        <w:bidi w:val="0"/>
        <w:spacing w:lineRule="auto" w:line="288" w:before="0" w:after="180"/>
        <w:jc w:val="both"/>
        <w:rPr/>
      </w:pPr>
      <w:r>
        <w:rPr>
          <w:color w:val="000000"/>
        </w:rPr>
        <w:t>“</w:t>
      </w:r>
      <w:r>
        <w:rPr>
          <w:rFonts w:ascii="Times New Roman;serif" w:hAnsi="Times New Roman;serif"/>
          <w:b/>
          <w:i/>
          <w:color w:val="000000"/>
          <w:sz w:val="20"/>
        </w:rPr>
        <w:t>Company</w:t>
      </w:r>
      <w:r>
        <w:rPr>
          <w:color w:val="000000"/>
        </w:rPr>
        <w:t xml:space="preserve">” </w:t>
      </w:r>
      <w:r>
        <w:rPr>
          <w:rFonts w:ascii="Times New Roman;serif" w:hAnsi="Times New Roman;serif"/>
          <w:b w:val="false"/>
          <w:color w:val="000000"/>
          <w:sz w:val="20"/>
        </w:rPr>
        <w:t>means QT Imaging Holdings, Inc. (f/k/a GigCapital5, Inc.), a Delaware corporation, and any successor corporation thereto.</w:t>
      </w:r>
    </w:p>
    <w:p>
      <w:pPr>
        <w:pStyle w:val="TextBody"/>
        <w:bidi w:val="0"/>
        <w:spacing w:lineRule="auto" w:line="288" w:before="0" w:after="180"/>
        <w:jc w:val="both"/>
        <w:rPr/>
      </w:pPr>
      <w:r>
        <w:rPr>
          <w:color w:val="000000"/>
        </w:rPr>
        <w:t>“</w:t>
      </w:r>
      <w:r>
        <w:rPr>
          <w:rFonts w:ascii="Times New Roman;serif" w:hAnsi="Times New Roman;serif"/>
          <w:b/>
          <w:i/>
          <w:color w:val="000000"/>
          <w:sz w:val="20"/>
        </w:rPr>
        <w:t>Consultant</w:t>
      </w:r>
      <w:r>
        <w:rPr>
          <w:color w:val="000000"/>
        </w:rPr>
        <w:t xml:space="preserve">” </w:t>
      </w:r>
      <w:r>
        <w:rPr>
          <w:rFonts w:ascii="Times New Roman;serif" w:hAnsi="Times New Roman;serif"/>
          <w:b w:val="false"/>
          <w:color w:val="000000"/>
          <w:sz w:val="20"/>
        </w:rPr>
        <w:t xml:space="preserve">means a person engaged to provide consulting or advisory services (other than as an Employee or a Director) to a Participating Company, provided that the identity of such person, the nature of such services or the entity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which such services are provided would not preclude the Company from offering or selling securities to such person pursuant to the Plan in reliance on registration on Form S-8 under the Securities Act.</w:t>
      </w:r>
    </w:p>
    <w:p>
      <w:pPr>
        <w:pStyle w:val="TextBody"/>
        <w:bidi w:val="0"/>
        <w:spacing w:lineRule="auto" w:line="288" w:before="0" w:after="180"/>
        <w:jc w:val="both"/>
        <w:rPr/>
      </w:pPr>
      <w:r>
        <w:rPr>
          <w:color w:val="000000"/>
        </w:rPr>
        <w:t>“</w:t>
      </w:r>
      <w:r>
        <w:rPr>
          <w:rFonts w:ascii="Times New Roman;serif" w:hAnsi="Times New Roman;serif"/>
          <w:b/>
          <w:i/>
          <w:color w:val="000000"/>
          <w:sz w:val="20"/>
        </w:rPr>
        <w:t>Director</w:t>
      </w:r>
      <w:r>
        <w:rPr>
          <w:color w:val="000000"/>
        </w:rPr>
        <w:t xml:space="preserve">” </w:t>
      </w:r>
      <w:r>
        <w:rPr>
          <w:rFonts w:ascii="Times New Roman;serif" w:hAnsi="Times New Roman;serif"/>
          <w:b w:val="false"/>
          <w:color w:val="000000"/>
          <w:sz w:val="20"/>
        </w:rPr>
        <w:t>means a member of the Board.</w:t>
      </w:r>
    </w:p>
    <w:p>
      <w:pPr>
        <w:pStyle w:val="TextBody"/>
        <w:bidi w:val="0"/>
        <w:spacing w:lineRule="auto" w:line="288" w:before="0" w:after="180"/>
        <w:jc w:val="both"/>
        <w:rPr/>
      </w:pPr>
      <w:r>
        <w:rPr>
          <w:color w:val="000000"/>
        </w:rPr>
        <w:t>“</w:t>
      </w:r>
      <w:r>
        <w:rPr>
          <w:rFonts w:ascii="Times New Roman;serif" w:hAnsi="Times New Roman;serif"/>
          <w:b/>
          <w:i/>
          <w:color w:val="000000"/>
          <w:sz w:val="20"/>
        </w:rPr>
        <w:t>Disability</w:t>
      </w:r>
      <w:r>
        <w:rPr>
          <w:color w:val="000000"/>
        </w:rPr>
        <w:t xml:space="preserve">” </w:t>
      </w:r>
      <w:r>
        <w:rPr>
          <w:rFonts w:ascii="Times New Roman;serif" w:hAnsi="Times New Roman;serif"/>
          <w:b w:val="false"/>
          <w:color w:val="000000"/>
          <w:sz w:val="20"/>
        </w:rPr>
        <w:t>means, unless such term or an equivalent term is otherwise defined by the applicable Award Agreement or other written agreement between the Participant and a Participating Company applicable to an Award and which is in effect as of the date of grant of such Award, the permanent and total disability of the Participant, within the meaning of Section 22(e)(3) of the Code.</w:t>
      </w:r>
    </w:p>
    <w:p>
      <w:pPr>
        <w:pStyle w:val="TextBody"/>
        <w:bidi w:val="0"/>
        <w:spacing w:lineRule="auto" w:line="288" w:before="0" w:after="180"/>
        <w:jc w:val="both"/>
        <w:rPr/>
      </w:pPr>
      <w:r>
        <w:rPr>
          <w:color w:val="000000"/>
        </w:rPr>
        <w:t>“</w:t>
      </w:r>
      <w:r>
        <w:rPr>
          <w:rFonts w:ascii="Times New Roman;serif" w:hAnsi="Times New Roman;serif"/>
          <w:b/>
          <w:i/>
          <w:color w:val="000000"/>
          <w:sz w:val="20"/>
        </w:rPr>
        <w:t>Dividend Equivalent Right</w:t>
      </w:r>
      <w:r>
        <w:rPr>
          <w:color w:val="000000"/>
        </w:rPr>
        <w:t xml:space="preserve">” </w:t>
      </w:r>
      <w:r>
        <w:rPr>
          <w:rFonts w:ascii="Times New Roman;serif" w:hAnsi="Times New Roman;serif"/>
          <w:b w:val="false"/>
          <w:color w:val="000000"/>
          <w:sz w:val="20"/>
        </w:rPr>
        <w:t>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w:t>
      </w:r>
    </w:p>
    <w:p>
      <w:pPr>
        <w:pStyle w:val="TextBody"/>
        <w:bidi w:val="0"/>
        <w:spacing w:lineRule="auto" w:line="288" w:before="0" w:after="180"/>
        <w:jc w:val="both"/>
        <w:rPr/>
      </w:pPr>
      <w:r>
        <w:rPr>
          <w:color w:val="000000"/>
        </w:rPr>
        <w:t>“</w:t>
      </w:r>
      <w:r>
        <w:rPr>
          <w:rFonts w:ascii="Times New Roman;serif" w:hAnsi="Times New Roman;serif"/>
          <w:b/>
          <w:i/>
          <w:color w:val="000000"/>
          <w:sz w:val="20"/>
        </w:rPr>
        <w:t>Employee</w:t>
      </w:r>
      <w:r>
        <w:rPr>
          <w:color w:val="000000"/>
        </w:rPr>
        <w:t xml:space="preserve">” </w:t>
      </w:r>
      <w:r>
        <w:rPr>
          <w:rFonts w:ascii="Times New Roman;serif" w:hAnsi="Times New Roman;serif"/>
          <w:b w:val="false"/>
          <w:color w:val="000000"/>
          <w:sz w:val="20"/>
        </w:rPr>
        <w:t>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pStyle w:val="TextBody"/>
        <w:bidi w:val="0"/>
        <w:spacing w:lineRule="auto" w:line="288" w:before="0" w:after="180"/>
        <w:jc w:val="both"/>
        <w:rPr/>
      </w:pPr>
      <w:r>
        <w:rPr>
          <w:color w:val="000000"/>
        </w:rPr>
        <w:t>“</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180"/>
        <w:jc w:val="both"/>
        <w:rPr/>
      </w:pPr>
      <w:r>
        <w:rPr>
          <w:color w:val="000000"/>
        </w:rPr>
        <w:t>“</w:t>
      </w:r>
      <w:r>
        <w:rPr>
          <w:rFonts w:ascii="Times New Roman;serif" w:hAnsi="Times New Roman;serif"/>
          <w:b/>
          <w:i/>
          <w:color w:val="000000"/>
          <w:sz w:val="20"/>
        </w:rPr>
        <w:t>Fair Market Value</w:t>
      </w:r>
      <w:r>
        <w:rPr>
          <w:color w:val="000000"/>
        </w:rPr>
        <w:t xml:space="preserve">” </w:t>
      </w:r>
      <w:r>
        <w:rPr>
          <w:rFonts w:ascii="Times New Roman;serif" w:hAnsi="Times New Roman;serif"/>
          <w:b w:val="false"/>
          <w:color w:val="000000"/>
          <w:sz w:val="20"/>
        </w:rPr>
        <w:t>means, as of any date, the value of a share of Stock or other property as determined by the Committee, in its discretion, or by the Company, in its discretion, if such determination is expressly allocated to the Company herein, subject to the following: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The Wall Street Journal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w:t>
      </w:r>
    </w:p>
    <w:p>
      <w:pPr>
        <w:pStyle w:val="TextBody"/>
        <w:bidi w:val="0"/>
        <w:spacing w:lineRule="auto" w:line="288" w:before="0" w:after="180"/>
        <w:jc w:val="both"/>
        <w:rPr/>
      </w:pPr>
      <w:r>
        <w:rPr>
          <w:color w:val="000000"/>
        </w:rPr>
        <w:t>“</w:t>
      </w:r>
      <w:r>
        <w:rPr>
          <w:rFonts w:ascii="Times New Roman;serif" w:hAnsi="Times New Roman;serif"/>
          <w:b/>
          <w:i/>
          <w:color w:val="000000"/>
          <w:sz w:val="20"/>
        </w:rPr>
        <w:t>Full Value Award</w:t>
      </w:r>
      <w:r>
        <w:rPr>
          <w:color w:val="000000"/>
        </w:rPr>
        <w:t xml:space="preserve">” </w:t>
      </w:r>
      <w:r>
        <w:rPr>
          <w:rFonts w:ascii="Times New Roman;serif" w:hAnsi="Times New Roman;serif"/>
          <w:b w:val="false"/>
          <w:color w:val="000000"/>
          <w:sz w:val="20"/>
        </w:rPr>
        <w:t>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pStyle w:val="TextBody"/>
        <w:bidi w:val="0"/>
        <w:spacing w:lineRule="auto" w:line="288" w:before="0" w:after="180"/>
        <w:jc w:val="both"/>
        <w:rPr/>
      </w:pPr>
      <w:r>
        <w:rPr>
          <w:color w:val="000000"/>
        </w:rPr>
        <w:t>“</w:t>
      </w:r>
      <w:r>
        <w:rPr>
          <w:rFonts w:ascii="Times New Roman;serif" w:hAnsi="Times New Roman;serif"/>
          <w:b/>
          <w:i/>
          <w:color w:val="000000"/>
          <w:sz w:val="20"/>
        </w:rPr>
        <w:t>Incentive Stock Option</w:t>
      </w:r>
      <w:r>
        <w:rPr>
          <w:color w:val="000000"/>
        </w:rPr>
        <w:t xml:space="preserve">” </w:t>
      </w:r>
      <w:r>
        <w:rPr>
          <w:rFonts w:ascii="Times New Roman;serif" w:hAnsi="Times New Roman;serif"/>
          <w:b w:val="false"/>
          <w:color w:val="000000"/>
          <w:sz w:val="20"/>
        </w:rPr>
        <w:t>means an Option intended to be (as set forth in the Award Agreement) and which qualifies as an incentive stock option within the meaning of Section 422(b) of the Code.</w:t>
      </w:r>
    </w:p>
    <w:p>
      <w:pPr>
        <w:pStyle w:val="TextBody"/>
        <w:bidi w:val="0"/>
        <w:spacing w:lineRule="auto" w:line="288" w:before="0" w:after="180"/>
        <w:jc w:val="both"/>
        <w:rPr/>
      </w:pPr>
      <w:r>
        <w:rPr>
          <w:color w:val="000000"/>
        </w:rPr>
        <w:t>“</w:t>
      </w:r>
      <w:r>
        <w:rPr>
          <w:rFonts w:ascii="Times New Roman;serif" w:hAnsi="Times New Roman;serif"/>
          <w:b/>
          <w:i/>
          <w:color w:val="000000"/>
          <w:sz w:val="20"/>
        </w:rPr>
        <w:t>Incumbent Director</w:t>
      </w:r>
      <w:r>
        <w:rPr>
          <w:color w:val="000000"/>
        </w:rPr>
        <w:t xml:space="preserve">” </w:t>
      </w:r>
      <w:r>
        <w:rPr>
          <w:rFonts w:ascii="Times New Roman;serif" w:hAnsi="Times New Roman;serif"/>
          <w:b w:val="false"/>
          <w:color w:val="000000"/>
          <w:sz w:val="20"/>
        </w:rPr>
        <w:t>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pStyle w:val="TextBody"/>
        <w:bidi w:val="0"/>
        <w:spacing w:lineRule="auto" w:line="288" w:before="0" w:after="180"/>
        <w:jc w:val="both"/>
        <w:rPr/>
      </w:pPr>
      <w:r>
        <w:rPr>
          <w:color w:val="000000"/>
        </w:rPr>
        <w:t>“</w:t>
      </w:r>
      <w:r>
        <w:rPr>
          <w:rFonts w:ascii="Times New Roman;serif" w:hAnsi="Times New Roman;serif"/>
          <w:b/>
          <w:i/>
          <w:color w:val="000000"/>
          <w:sz w:val="20"/>
        </w:rPr>
        <w:t>Insider</w:t>
      </w:r>
      <w:r>
        <w:rPr>
          <w:color w:val="000000"/>
        </w:rPr>
        <w:t xml:space="preserve">” </w:t>
      </w:r>
      <w:r>
        <w:rPr>
          <w:rFonts w:ascii="Times New Roman;serif" w:hAnsi="Times New Roman;serif"/>
          <w:b w:val="false"/>
          <w:color w:val="000000"/>
          <w:sz w:val="20"/>
        </w:rPr>
        <w:t>means an Officer, a Director or other person whose transactions in Stock are subject to Section 16 of the Exchange Act.</w:t>
      </w:r>
    </w:p>
    <w:p>
      <w:pPr>
        <w:pStyle w:val="TextBody"/>
        <w:bidi w:val="0"/>
        <w:spacing w:lineRule="auto" w:line="288" w:before="0" w:after="180"/>
        <w:jc w:val="both"/>
        <w:rPr/>
      </w:pPr>
      <w:r>
        <w:rPr>
          <w:color w:val="000000"/>
        </w:rPr>
        <w:t>“</w:t>
      </w:r>
      <w:r>
        <w:rPr>
          <w:rFonts w:ascii="Times New Roman;serif" w:hAnsi="Times New Roman;serif"/>
          <w:b/>
          <w:i/>
          <w:color w:val="000000"/>
          <w:sz w:val="20"/>
        </w:rPr>
        <w:t>Materially Impair</w:t>
      </w:r>
      <w:r>
        <w:rPr>
          <w:color w:val="000000"/>
        </w:rPr>
        <w:t xml:space="preserve">” </w:t>
      </w:r>
      <w:r>
        <w:rPr>
          <w:rFonts w:ascii="Times New Roman;serif" w:hAnsi="Times New Roman;serif"/>
          <w:b w:val="false"/>
          <w:color w:val="000000"/>
          <w:sz w:val="20"/>
        </w:rPr>
        <w:t xml:space="preserve">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TextBody"/>
        <w:bidi w:val="0"/>
        <w:spacing w:lineRule="auto" w:line="288" w:before="0" w:after="180"/>
        <w:jc w:val="both"/>
        <w:rPr/>
      </w:pPr>
      <w:r>
        <w:rPr>
          <w:color w:val="000000"/>
        </w:rPr>
        <w:t>“</w:t>
      </w:r>
      <w:r>
        <w:rPr>
          <w:rFonts w:ascii="Times New Roman;serif" w:hAnsi="Times New Roman;serif"/>
          <w:b/>
          <w:i/>
          <w:color w:val="000000"/>
          <w:sz w:val="20"/>
        </w:rPr>
        <w:t>Net Exercise</w:t>
      </w:r>
      <w:r>
        <w:rPr>
          <w:color w:val="000000"/>
        </w:rPr>
        <w:t xml:space="preserve">” </w:t>
      </w:r>
      <w:r>
        <w:rPr>
          <w:rFonts w:ascii="Times New Roman;serif" w:hAnsi="Times New Roman;serif"/>
          <w:b w:val="false"/>
          <w:color w:val="000000"/>
          <w:sz w:val="20"/>
        </w:rPr>
        <w:t>means a Net Exercise as defined in Section 6.3(b)(iii).</w:t>
      </w:r>
    </w:p>
    <w:p>
      <w:pPr>
        <w:pStyle w:val="TextBody"/>
        <w:bidi w:val="0"/>
        <w:spacing w:lineRule="auto" w:line="288" w:before="0" w:after="180"/>
        <w:jc w:val="both"/>
        <w:rPr/>
      </w:pPr>
      <w:r>
        <w:rPr>
          <w:color w:val="000000"/>
        </w:rPr>
        <w:t>“</w:t>
      </w:r>
      <w:r>
        <w:rPr>
          <w:rFonts w:ascii="Times New Roman;serif" w:hAnsi="Times New Roman;serif"/>
          <w:b/>
          <w:i/>
          <w:color w:val="000000"/>
          <w:sz w:val="20"/>
        </w:rPr>
        <w:t>Nonemployee Director</w:t>
      </w:r>
      <w:r>
        <w:rPr>
          <w:color w:val="000000"/>
        </w:rPr>
        <w:t xml:space="preserve">” </w:t>
      </w:r>
      <w:r>
        <w:rPr>
          <w:rFonts w:ascii="Times New Roman;serif" w:hAnsi="Times New Roman;serif"/>
          <w:b w:val="false"/>
          <w:color w:val="000000"/>
          <w:sz w:val="20"/>
        </w:rPr>
        <w:t>means a Director who is not an Employee.</w:t>
      </w:r>
    </w:p>
    <w:p>
      <w:pPr>
        <w:pStyle w:val="TextBody"/>
        <w:bidi w:val="0"/>
        <w:spacing w:lineRule="auto" w:line="288" w:before="0" w:after="180"/>
        <w:jc w:val="both"/>
        <w:rPr/>
      </w:pPr>
      <w:r>
        <w:rPr>
          <w:color w:val="000000"/>
        </w:rPr>
        <w:t>“</w:t>
      </w:r>
      <w:r>
        <w:rPr>
          <w:rFonts w:ascii="Times New Roman;serif" w:hAnsi="Times New Roman;serif"/>
          <w:b/>
          <w:i/>
          <w:color w:val="000000"/>
          <w:sz w:val="20"/>
        </w:rPr>
        <w:t>Nonemployee Director Award</w:t>
      </w:r>
      <w:r>
        <w:rPr>
          <w:color w:val="000000"/>
        </w:rPr>
        <w:t xml:space="preserve">” </w:t>
      </w:r>
      <w:r>
        <w:rPr>
          <w:rFonts w:ascii="Times New Roman;serif" w:hAnsi="Times New Roman;serif"/>
          <w:b w:val="false"/>
          <w:color w:val="000000"/>
          <w:sz w:val="20"/>
        </w:rPr>
        <w:t>means any Award granted to a Nonemployee Director.</w:t>
      </w:r>
    </w:p>
    <w:p>
      <w:pPr>
        <w:pStyle w:val="TextBody"/>
        <w:bidi w:val="0"/>
        <w:spacing w:lineRule="auto" w:line="288" w:before="0" w:after="180"/>
        <w:jc w:val="both"/>
        <w:rPr/>
      </w:pPr>
      <w:r>
        <w:rPr>
          <w:color w:val="000000"/>
        </w:rPr>
        <w:t>“</w:t>
      </w:r>
      <w:r>
        <w:rPr>
          <w:rFonts w:ascii="Times New Roman;serif" w:hAnsi="Times New Roman;serif"/>
          <w:b/>
          <w:i/>
          <w:color w:val="000000"/>
          <w:sz w:val="20"/>
        </w:rPr>
        <w:t>Nonstatutory Stock Option</w:t>
      </w:r>
      <w:r>
        <w:rPr>
          <w:color w:val="000000"/>
        </w:rPr>
        <w:t xml:space="preserve">” </w:t>
      </w:r>
      <w:r>
        <w:rPr>
          <w:rFonts w:ascii="Times New Roman;serif" w:hAnsi="Times New Roman;serif"/>
          <w:b w:val="false"/>
          <w:color w:val="000000"/>
          <w:sz w:val="20"/>
        </w:rPr>
        <w:t>means an Option not intended to be (as set forth in the Award Agreement) or which does not qualify as an incentive stock option within the meaning of Section 422(b) of the Code.</w:t>
      </w:r>
    </w:p>
    <w:p>
      <w:pPr>
        <w:pStyle w:val="TextBody"/>
        <w:bidi w:val="0"/>
        <w:spacing w:lineRule="auto" w:line="288" w:before="0" w:after="180"/>
        <w:jc w:val="both"/>
        <w:rPr/>
      </w:pPr>
      <w:r>
        <w:rPr>
          <w:color w:val="000000"/>
        </w:rPr>
        <w:t>“</w:t>
      </w:r>
      <w:r>
        <w:rPr>
          <w:rFonts w:ascii="Times New Roman;serif" w:hAnsi="Times New Roman;serif"/>
          <w:b/>
          <w:i/>
          <w:color w:val="000000"/>
          <w:sz w:val="20"/>
        </w:rPr>
        <w:t>Officer</w:t>
      </w:r>
      <w:r>
        <w:rPr>
          <w:color w:val="000000"/>
        </w:rPr>
        <w:t xml:space="preserve">” </w:t>
      </w:r>
      <w:r>
        <w:rPr>
          <w:rFonts w:ascii="Times New Roman;serif" w:hAnsi="Times New Roman;serif"/>
          <w:b w:val="false"/>
          <w:color w:val="000000"/>
          <w:sz w:val="20"/>
        </w:rPr>
        <w:t>means any person designated by the Board as an officer of the Company.</w:t>
      </w:r>
    </w:p>
    <w:p>
      <w:pPr>
        <w:pStyle w:val="TextBody"/>
        <w:bidi w:val="0"/>
        <w:spacing w:lineRule="auto" w:line="288" w:before="0" w:after="180"/>
        <w:jc w:val="both"/>
        <w:rPr/>
      </w:pPr>
      <w:r>
        <w:rPr>
          <w:color w:val="000000"/>
        </w:rPr>
        <w:t>“</w:t>
      </w:r>
      <w:r>
        <w:rPr>
          <w:rFonts w:ascii="Times New Roman;serif" w:hAnsi="Times New Roman;serif"/>
          <w:b/>
          <w:i/>
          <w:color w:val="000000"/>
          <w:sz w:val="20"/>
        </w:rPr>
        <w:t>Option</w:t>
      </w:r>
      <w:r>
        <w:rPr>
          <w:color w:val="000000"/>
        </w:rPr>
        <w:t xml:space="preserve">” </w:t>
      </w:r>
      <w:r>
        <w:rPr>
          <w:rFonts w:ascii="Times New Roman;serif" w:hAnsi="Times New Roman;serif"/>
          <w:b w:val="false"/>
          <w:color w:val="000000"/>
          <w:sz w:val="20"/>
        </w:rPr>
        <w:t>means an Incentive Stock Option or a Nonstatutory Stock Option granted pursuant to the Plan.</w:t>
      </w:r>
    </w:p>
    <w:p>
      <w:pPr>
        <w:pStyle w:val="TextBody"/>
        <w:bidi w:val="0"/>
        <w:spacing w:lineRule="auto" w:line="288" w:before="0" w:after="180"/>
        <w:jc w:val="both"/>
        <w:rPr/>
      </w:pPr>
      <w:r>
        <w:rPr>
          <w:color w:val="000000"/>
        </w:rPr>
        <w:t>“</w:t>
      </w:r>
      <w:r>
        <w:rPr>
          <w:rFonts w:ascii="Times New Roman;serif" w:hAnsi="Times New Roman;serif"/>
          <w:b/>
          <w:i/>
          <w:color w:val="000000"/>
          <w:sz w:val="20"/>
        </w:rPr>
        <w:t>Other Stock-Based Award</w:t>
      </w:r>
      <w:r>
        <w:rPr>
          <w:color w:val="000000"/>
        </w:rPr>
        <w:t xml:space="preserve">” </w:t>
      </w:r>
      <w:r>
        <w:rPr>
          <w:rFonts w:ascii="Times New Roman;serif" w:hAnsi="Times New Roman;serif"/>
          <w:b w:val="false"/>
          <w:color w:val="000000"/>
          <w:sz w:val="20"/>
        </w:rPr>
        <w:t>means an Award denominated in shares of Stock and granted pursuant to Section 11.</w:t>
      </w:r>
    </w:p>
    <w:p>
      <w:pPr>
        <w:pStyle w:val="TextBody"/>
        <w:bidi w:val="0"/>
        <w:spacing w:lineRule="auto" w:line="288" w:before="0" w:after="180"/>
        <w:jc w:val="both"/>
        <w:rPr/>
      </w:pPr>
      <w:r>
        <w:rPr>
          <w:color w:val="000000"/>
        </w:rPr>
        <w:t>“</w:t>
      </w:r>
      <w:r>
        <w:rPr>
          <w:rFonts w:ascii="Times New Roman;serif" w:hAnsi="Times New Roman;serif"/>
          <w:b/>
          <w:i/>
          <w:color w:val="000000"/>
          <w:sz w:val="20"/>
        </w:rPr>
        <w:t>Ownership Change Event</w:t>
      </w:r>
      <w:r>
        <w:rPr>
          <w:color w:val="000000"/>
        </w:rPr>
        <w:t xml:space="preserve">” </w:t>
      </w:r>
      <w:r>
        <w:rPr>
          <w:rFonts w:ascii="Times New Roman;serif" w:hAnsi="Times New Roman;serif"/>
          <w:b w:val="false"/>
          <w:color w:val="000000"/>
          <w:sz w:val="20"/>
        </w:rPr>
        <w:t>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pStyle w:val="TextBody"/>
        <w:bidi w:val="0"/>
        <w:spacing w:lineRule="auto" w:line="288" w:before="0" w:after="180"/>
        <w:jc w:val="both"/>
        <w:rPr/>
      </w:pPr>
      <w:r>
        <w:rPr>
          <w:color w:val="000000"/>
        </w:rPr>
        <w:t>“</w:t>
      </w:r>
      <w:r>
        <w:rPr>
          <w:rFonts w:ascii="Times New Roman;serif" w:hAnsi="Times New Roman;serif"/>
          <w:b/>
          <w:i/>
          <w:color w:val="000000"/>
          <w:sz w:val="20"/>
        </w:rPr>
        <w:t>Parent Corporation</w:t>
      </w:r>
      <w:r>
        <w:rPr>
          <w:color w:val="000000"/>
        </w:rPr>
        <w:t xml:space="preserve">” </w:t>
      </w:r>
      <w:r>
        <w:rPr>
          <w:rFonts w:ascii="Times New Roman;serif" w:hAnsi="Times New Roman;serif"/>
          <w:b w:val="false"/>
          <w:color w:val="000000"/>
          <w:sz w:val="20"/>
        </w:rPr>
        <w:t>means any present or future “parent corporation” of the Company, as defined in Section 424(e) of the Code.</w:t>
      </w:r>
    </w:p>
    <w:p>
      <w:pPr>
        <w:pStyle w:val="TextBody"/>
        <w:bidi w:val="0"/>
        <w:spacing w:lineRule="auto" w:line="288" w:before="0" w:after="180"/>
        <w:jc w:val="both"/>
        <w:rPr/>
      </w:pPr>
      <w:r>
        <w:rPr>
          <w:color w:val="000000"/>
        </w:rPr>
        <w:t>“</w:t>
      </w:r>
      <w:r>
        <w:rPr>
          <w:rFonts w:ascii="Times New Roman;serif" w:hAnsi="Times New Roman;serif"/>
          <w:b/>
          <w:i/>
          <w:color w:val="000000"/>
          <w:sz w:val="20"/>
        </w:rPr>
        <w:t>Participant</w:t>
      </w:r>
      <w:r>
        <w:rPr>
          <w:color w:val="000000"/>
        </w:rPr>
        <w:t xml:space="preserve">” </w:t>
      </w:r>
      <w:r>
        <w:rPr>
          <w:rFonts w:ascii="Times New Roman;serif" w:hAnsi="Times New Roman;serif"/>
          <w:b w:val="false"/>
          <w:color w:val="000000"/>
          <w:sz w:val="20"/>
        </w:rPr>
        <w:t>means any eligible person who has been granted one or more Awards.</w:t>
      </w:r>
    </w:p>
    <w:p>
      <w:pPr>
        <w:pStyle w:val="TextBody"/>
        <w:bidi w:val="0"/>
        <w:spacing w:lineRule="auto" w:line="288" w:before="0" w:after="180"/>
        <w:jc w:val="both"/>
        <w:rPr/>
      </w:pPr>
      <w:r>
        <w:rPr>
          <w:color w:val="000000"/>
        </w:rPr>
        <w:t>“</w:t>
      </w:r>
      <w:r>
        <w:rPr>
          <w:rFonts w:ascii="Times New Roman;serif" w:hAnsi="Times New Roman;serif"/>
          <w:b/>
          <w:i/>
          <w:color w:val="000000"/>
          <w:sz w:val="20"/>
        </w:rPr>
        <w:t>Participating Company</w:t>
      </w:r>
      <w:r>
        <w:rPr>
          <w:color w:val="000000"/>
        </w:rPr>
        <w:t xml:space="preserve">” </w:t>
      </w:r>
      <w:r>
        <w:rPr>
          <w:rFonts w:ascii="Times New Roman;serif" w:hAnsi="Times New Roman;serif"/>
          <w:b w:val="false"/>
          <w:color w:val="000000"/>
          <w:sz w:val="20"/>
        </w:rPr>
        <w:t>means the Company or any Parent Corporation, Subsidiary Corporation or Affiliate.</w:t>
      </w:r>
    </w:p>
    <w:p>
      <w:pPr>
        <w:pStyle w:val="TextBody"/>
        <w:bidi w:val="0"/>
        <w:spacing w:lineRule="auto" w:line="288" w:before="0" w:after="180"/>
        <w:jc w:val="both"/>
        <w:rPr/>
      </w:pPr>
      <w:r>
        <w:rPr>
          <w:color w:val="000000"/>
        </w:rPr>
        <w:t>“</w:t>
      </w:r>
      <w:r>
        <w:rPr>
          <w:rFonts w:ascii="Times New Roman;serif" w:hAnsi="Times New Roman;serif"/>
          <w:b/>
          <w:i/>
          <w:color w:val="000000"/>
          <w:sz w:val="20"/>
        </w:rPr>
        <w:t>Participating Company Group</w:t>
      </w:r>
      <w:r>
        <w:rPr>
          <w:color w:val="000000"/>
        </w:rPr>
        <w:t xml:space="preserve">” </w:t>
      </w:r>
      <w:r>
        <w:rPr>
          <w:rFonts w:ascii="Times New Roman;serif" w:hAnsi="Times New Roman;serif"/>
          <w:b w:val="false"/>
          <w:color w:val="000000"/>
          <w:sz w:val="20"/>
        </w:rPr>
        <w:t>means, at any point in time, the Company and all other entities collectively which are then Participating Companies.</w:t>
      </w:r>
    </w:p>
    <w:p>
      <w:pPr>
        <w:pStyle w:val="TextBody"/>
        <w:bidi w:val="0"/>
        <w:spacing w:lineRule="auto" w:line="288" w:before="0" w:after="180"/>
        <w:jc w:val="both"/>
        <w:rPr/>
      </w:pPr>
      <w:r>
        <w:rPr>
          <w:color w:val="000000"/>
        </w:rPr>
        <w:t>“</w:t>
      </w:r>
      <w:r>
        <w:rPr>
          <w:rFonts w:ascii="Times New Roman;serif" w:hAnsi="Times New Roman;serif"/>
          <w:b/>
          <w:i/>
          <w:color w:val="000000"/>
          <w:sz w:val="20"/>
        </w:rPr>
        <w:t>Performance Award</w:t>
      </w:r>
      <w:r>
        <w:rPr>
          <w:color w:val="000000"/>
        </w:rPr>
        <w:t xml:space="preserve">” </w:t>
      </w:r>
      <w:r>
        <w:rPr>
          <w:rFonts w:ascii="Times New Roman;serif" w:hAnsi="Times New Roman;serif"/>
          <w:b w:val="false"/>
          <w:color w:val="000000"/>
          <w:sz w:val="20"/>
        </w:rPr>
        <w:t>means an Award of Performance Shares or Performance Units.</w:t>
      </w:r>
    </w:p>
    <w:p>
      <w:pPr>
        <w:pStyle w:val="TextBody"/>
        <w:bidi w:val="0"/>
        <w:spacing w:lineRule="auto" w:line="288" w:before="0" w:after="180"/>
        <w:jc w:val="both"/>
        <w:rPr/>
      </w:pPr>
      <w:r>
        <w:rPr>
          <w:color w:val="000000"/>
        </w:rPr>
        <w:t>“</w:t>
      </w:r>
      <w:r>
        <w:rPr>
          <w:rFonts w:ascii="Times New Roman;serif" w:hAnsi="Times New Roman;serif"/>
          <w:b/>
          <w:i/>
          <w:color w:val="000000"/>
          <w:sz w:val="20"/>
        </w:rPr>
        <w:t>Performance Award Formula</w:t>
      </w:r>
      <w:r>
        <w:rPr>
          <w:color w:val="000000"/>
        </w:rPr>
        <w:t xml:space="preserve">” </w:t>
      </w:r>
      <w:r>
        <w:rPr>
          <w:rFonts w:ascii="Times New Roman;serif" w:hAnsi="Times New Roman;serif"/>
          <w:b w:val="false"/>
          <w:color w:val="000000"/>
          <w:sz w:val="20"/>
        </w:rPr>
        <w:t>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pStyle w:val="TextBody"/>
        <w:bidi w:val="0"/>
        <w:spacing w:lineRule="auto" w:line="288" w:before="0" w:after="180"/>
        <w:jc w:val="both"/>
        <w:rPr/>
      </w:pPr>
      <w:r>
        <w:rPr>
          <w:color w:val="000000"/>
        </w:rPr>
        <w:t>“</w:t>
      </w:r>
      <w:r>
        <w:rPr>
          <w:rFonts w:ascii="Times New Roman;serif" w:hAnsi="Times New Roman;serif"/>
          <w:b/>
          <w:i/>
          <w:color w:val="000000"/>
          <w:sz w:val="20"/>
        </w:rPr>
        <w:t>Performance Goal</w:t>
      </w:r>
      <w:r>
        <w:rPr>
          <w:color w:val="000000"/>
        </w:rPr>
        <w:t xml:space="preserve">” </w:t>
      </w:r>
      <w:r>
        <w:rPr>
          <w:rFonts w:ascii="Times New Roman;serif" w:hAnsi="Times New Roman;serif"/>
          <w:b w:val="false"/>
          <w:color w:val="000000"/>
          <w:sz w:val="20"/>
        </w:rPr>
        <w:t>means a performance goal established by the Committee pursuant to Section 10.3.</w:t>
      </w:r>
    </w:p>
    <w:p>
      <w:pPr>
        <w:pStyle w:val="TextBody"/>
        <w:bidi w:val="0"/>
        <w:spacing w:lineRule="auto" w:line="288" w:before="0" w:after="180"/>
        <w:jc w:val="both"/>
        <w:rPr/>
      </w:pPr>
      <w:r>
        <w:rPr>
          <w:color w:val="000000"/>
        </w:rPr>
        <w:t>“</w:t>
      </w:r>
      <w:r>
        <w:rPr>
          <w:rFonts w:ascii="Times New Roman;serif" w:hAnsi="Times New Roman;serif"/>
          <w:b/>
          <w:i/>
          <w:color w:val="000000"/>
          <w:sz w:val="20"/>
        </w:rPr>
        <w:t>Performance Period</w:t>
      </w:r>
      <w:r>
        <w:rPr>
          <w:color w:val="000000"/>
        </w:rPr>
        <w:t xml:space="preserve">” </w:t>
      </w:r>
      <w:r>
        <w:rPr>
          <w:rFonts w:ascii="Times New Roman;serif" w:hAnsi="Times New Roman;serif"/>
          <w:b w:val="false"/>
          <w:color w:val="000000"/>
          <w:sz w:val="20"/>
        </w:rPr>
        <w:t>means a period established by the Committee pursuant to Section 10.3 at the end of which one or more Performance Goals are to be measured.</w:t>
      </w:r>
    </w:p>
    <w:p>
      <w:pPr>
        <w:pStyle w:val="TextBody"/>
        <w:bidi w:val="0"/>
        <w:spacing w:lineRule="auto" w:line="288" w:before="0" w:after="180"/>
        <w:jc w:val="both"/>
        <w:rPr/>
      </w:pPr>
      <w:r>
        <w:rPr>
          <w:color w:val="000000"/>
        </w:rPr>
        <w:t>“</w:t>
      </w:r>
      <w:r>
        <w:rPr>
          <w:rFonts w:ascii="Times New Roman;serif" w:hAnsi="Times New Roman;serif"/>
          <w:b/>
          <w:i/>
          <w:color w:val="000000"/>
          <w:sz w:val="20"/>
        </w:rPr>
        <w:t>Performance Share</w:t>
      </w:r>
      <w:r>
        <w:rPr>
          <w:color w:val="000000"/>
        </w:rPr>
        <w:t xml:space="preserve">” </w:t>
      </w:r>
      <w:r>
        <w:rPr>
          <w:rFonts w:ascii="Times New Roman;serif" w:hAnsi="Times New Roman;serif"/>
          <w:b w:val="false"/>
          <w:color w:val="000000"/>
          <w:sz w:val="20"/>
        </w:rPr>
        <w:t>means a right granted to a Participant pursuant to Section 10 to receive a payment equal to the value of a Performance Share, as determined by the Committee, based upon attainment of applicable Performance Goal(s).</w:t>
      </w:r>
    </w:p>
    <w:p>
      <w:pPr>
        <w:pStyle w:val="TextBody"/>
        <w:bidi w:val="0"/>
        <w:spacing w:lineRule="auto" w:line="288" w:before="0" w:after="180"/>
        <w:jc w:val="both"/>
        <w:rPr/>
      </w:pPr>
      <w:r>
        <w:rPr>
          <w:color w:val="000000"/>
        </w:rPr>
        <w:t>“</w:t>
      </w:r>
      <w:r>
        <w:rPr>
          <w:rFonts w:ascii="Times New Roman;serif" w:hAnsi="Times New Roman;serif"/>
          <w:b/>
          <w:i/>
          <w:color w:val="000000"/>
          <w:sz w:val="20"/>
        </w:rPr>
        <w:t>Performance Unit</w:t>
      </w:r>
      <w:r>
        <w:rPr>
          <w:color w:val="000000"/>
        </w:rPr>
        <w:t xml:space="preserve">” </w:t>
      </w:r>
      <w:r>
        <w:rPr>
          <w:rFonts w:ascii="Times New Roman;serif" w:hAnsi="Times New Roman;serif"/>
          <w:b w:val="false"/>
          <w:color w:val="000000"/>
          <w:sz w:val="20"/>
        </w:rPr>
        <w:t>means a right granted to a Participant pursuant to Section 10 to receive a payment equal to the value of a Performance Unit, as determined by the Committee, based upon attainment of applicable Performance Goal(s).</w:t>
      </w:r>
    </w:p>
    <w:p>
      <w:pPr>
        <w:pStyle w:val="TextBody"/>
        <w:bidi w:val="0"/>
        <w:spacing w:lineRule="auto" w:line="288" w:before="0" w:after="180"/>
        <w:jc w:val="both"/>
        <w:rPr/>
      </w:pPr>
      <w:r>
        <w:rPr>
          <w:color w:val="000000"/>
        </w:rPr>
        <w:t>“</w:t>
      </w:r>
      <w:r>
        <w:rPr>
          <w:rFonts w:ascii="Times New Roman;serif" w:hAnsi="Times New Roman;serif"/>
          <w:b/>
          <w:i/>
          <w:color w:val="000000"/>
          <w:sz w:val="20"/>
        </w:rPr>
        <w:t>Plan Administrator</w:t>
      </w:r>
      <w:r>
        <w:rPr>
          <w:color w:val="000000"/>
        </w:rPr>
        <w:t xml:space="preserve">” </w:t>
      </w:r>
      <w:r>
        <w:rPr>
          <w:rFonts w:ascii="Times New Roman;serif" w:hAnsi="Times New Roman;serif"/>
          <w:b w:val="false"/>
          <w:color w:val="000000"/>
          <w:sz w:val="20"/>
        </w:rPr>
        <w:t>means the person, persons, and/or third-party administrator designated by the Company to administer the day to day operations of the Plan and the Company’s other equity incentive programs.</w:t>
      </w:r>
    </w:p>
    <w:p>
      <w:pPr>
        <w:pStyle w:val="TextBody"/>
        <w:bidi w:val="0"/>
        <w:spacing w:lineRule="auto" w:line="288" w:before="0" w:after="180"/>
        <w:jc w:val="both"/>
        <w:rPr/>
      </w:pPr>
      <w:r>
        <w:rPr>
          <w:color w:val="000000"/>
        </w:rPr>
        <w:t>“</w:t>
      </w:r>
      <w:r>
        <w:rPr>
          <w:rFonts w:ascii="Times New Roman;serif" w:hAnsi="Times New Roman;serif"/>
          <w:b/>
          <w:i/>
          <w:color w:val="000000"/>
          <w:sz w:val="20"/>
        </w:rPr>
        <w:t>Post-Termination Exercise Period</w:t>
      </w:r>
      <w:r>
        <w:rPr>
          <w:color w:val="000000"/>
        </w:rPr>
        <w:t xml:space="preserve">” </w:t>
      </w:r>
      <w:r>
        <w:rPr>
          <w:rFonts w:ascii="Times New Roman;serif" w:hAnsi="Times New Roman;serif"/>
          <w:b w:val="false"/>
          <w:color w:val="000000"/>
          <w:sz w:val="20"/>
        </w:rPr>
        <w:t>means the period following termination of a Participant’s Continuous Service within which an Option or SAR is exercisable, as specified in Section 6.4(a).</w:t>
      </w:r>
    </w:p>
    <w:p>
      <w:pPr>
        <w:pStyle w:val="TextBody"/>
        <w:bidi w:val="0"/>
        <w:spacing w:lineRule="auto" w:line="288" w:before="0" w:after="180"/>
        <w:jc w:val="both"/>
        <w:rPr/>
      </w:pPr>
      <w:r>
        <w:rPr>
          <w:color w:val="000000"/>
        </w:rPr>
        <w:t>“</w:t>
      </w:r>
      <w:r>
        <w:rPr>
          <w:rFonts w:ascii="Times New Roman;serif" w:hAnsi="Times New Roman;serif"/>
          <w:b/>
          <w:i/>
          <w:color w:val="000000"/>
          <w:sz w:val="20"/>
        </w:rPr>
        <w:t>Restricted Stock Award</w:t>
      </w:r>
      <w:r>
        <w:rPr>
          <w:color w:val="000000"/>
        </w:rPr>
        <w:t xml:space="preserve">” </w:t>
      </w:r>
      <w:r>
        <w:rPr>
          <w:rFonts w:ascii="Times New Roman;serif" w:hAnsi="Times New Roman;serif"/>
          <w:b w:val="false"/>
          <w:color w:val="000000"/>
          <w:sz w:val="20"/>
        </w:rPr>
        <w:t>means an Award of a Restricted Stock Bonus or a Restricted Stock Purchase Right.</w:t>
      </w:r>
    </w:p>
    <w:p>
      <w:pPr>
        <w:pStyle w:val="TextBody"/>
        <w:bidi w:val="0"/>
        <w:spacing w:lineRule="auto" w:line="288" w:before="0" w:after="180"/>
        <w:jc w:val="both"/>
        <w:rPr/>
      </w:pPr>
      <w:r>
        <w:rPr>
          <w:color w:val="000000"/>
        </w:rPr>
        <w:t>“</w:t>
      </w:r>
      <w:r>
        <w:rPr>
          <w:rFonts w:ascii="Times New Roman;serif" w:hAnsi="Times New Roman;serif"/>
          <w:b/>
          <w:i/>
          <w:color w:val="000000"/>
          <w:sz w:val="20"/>
        </w:rPr>
        <w:t>Restricted Stock Bonus</w:t>
      </w:r>
      <w:r>
        <w:rPr>
          <w:color w:val="000000"/>
        </w:rPr>
        <w:t xml:space="preserve">” </w:t>
      </w:r>
      <w:r>
        <w:rPr>
          <w:rFonts w:ascii="Times New Roman;serif" w:hAnsi="Times New Roman;serif"/>
          <w:b w:val="false"/>
          <w:color w:val="000000"/>
          <w:sz w:val="20"/>
        </w:rPr>
        <w:t>means Stock granted to a Participant pursuant to Section 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both"/>
        <w:rPr/>
      </w:pPr>
      <w:r>
        <w:rPr>
          <w:color w:val="000000"/>
        </w:rPr>
        <w:t>“</w:t>
      </w:r>
      <w:r>
        <w:rPr>
          <w:rFonts w:ascii="Times New Roman;serif" w:hAnsi="Times New Roman;serif"/>
          <w:b/>
          <w:i/>
          <w:color w:val="000000"/>
          <w:sz w:val="20"/>
        </w:rPr>
        <w:t>Restricted Stock Purchase Right</w:t>
      </w:r>
      <w:r>
        <w:rPr>
          <w:color w:val="000000"/>
        </w:rPr>
        <w:t xml:space="preserve">” </w:t>
      </w:r>
      <w:r>
        <w:rPr>
          <w:rFonts w:ascii="Times New Roman;serif" w:hAnsi="Times New Roman;serif"/>
          <w:b w:val="false"/>
          <w:color w:val="000000"/>
          <w:sz w:val="20"/>
        </w:rPr>
        <w:t>means a right to purchase Stock granted to a Participant pursuant to Section 8.</w:t>
      </w:r>
    </w:p>
    <w:p>
      <w:pPr>
        <w:pStyle w:val="TextBody"/>
        <w:bidi w:val="0"/>
        <w:spacing w:lineRule="auto" w:line="288" w:before="0" w:after="180"/>
        <w:jc w:val="both"/>
        <w:rPr/>
      </w:pPr>
      <w:r>
        <w:rPr>
          <w:color w:val="000000"/>
        </w:rPr>
        <w:t>“</w:t>
      </w:r>
      <w:r>
        <w:rPr>
          <w:rFonts w:ascii="Times New Roman;serif" w:hAnsi="Times New Roman;serif"/>
          <w:b/>
          <w:i/>
          <w:color w:val="000000"/>
          <w:sz w:val="20"/>
        </w:rPr>
        <w:t>Restricted Stock Unit</w:t>
      </w:r>
      <w:r>
        <w:rPr>
          <w:color w:val="000000"/>
        </w:rPr>
        <w:t xml:space="preserve">” </w:t>
      </w:r>
      <w:r>
        <w:rPr>
          <w:rFonts w:ascii="Times New Roman;serif" w:hAnsi="Times New Roman;serif"/>
          <w:b w:val="false"/>
          <w:color w:val="000000"/>
          <w:sz w:val="20"/>
        </w:rPr>
        <w:t>means a right granted to a Participant pursuant to Section 9 to receive on a future date or occurrence of a future event a share of Stock or cash in lieu thereof, as determined by the Committee.</w:t>
      </w:r>
    </w:p>
    <w:p>
      <w:pPr>
        <w:pStyle w:val="TextBody"/>
        <w:bidi w:val="0"/>
        <w:spacing w:lineRule="auto" w:line="288" w:before="0" w:after="180"/>
        <w:jc w:val="both"/>
        <w:rPr/>
      </w:pPr>
      <w:r>
        <w:rPr>
          <w:color w:val="000000"/>
        </w:rPr>
        <w:t>“</w:t>
      </w:r>
      <w:r>
        <w:rPr>
          <w:rFonts w:ascii="Times New Roman;serif" w:hAnsi="Times New Roman;serif"/>
          <w:b/>
          <w:i/>
          <w:color w:val="000000"/>
          <w:sz w:val="20"/>
        </w:rPr>
        <w:t>Rule 16b-3</w:t>
      </w:r>
      <w:r>
        <w:rPr>
          <w:color w:val="000000"/>
        </w:rPr>
        <w:t xml:space="preserve">” </w:t>
      </w:r>
      <w:r>
        <w:rPr>
          <w:rFonts w:ascii="Times New Roman;serif" w:hAnsi="Times New Roman;serif"/>
          <w:b w:val="false"/>
          <w:color w:val="000000"/>
          <w:sz w:val="20"/>
        </w:rPr>
        <w:t>means Rule 16b-3 under the Exchange Act, as amended from time to time, or any successor rule or regulation.</w:t>
      </w:r>
    </w:p>
    <w:p>
      <w:pPr>
        <w:pStyle w:val="TextBody"/>
        <w:bidi w:val="0"/>
        <w:spacing w:lineRule="auto" w:line="288" w:before="0" w:after="180"/>
        <w:jc w:val="both"/>
        <w:rPr/>
      </w:pPr>
      <w:r>
        <w:rPr>
          <w:color w:val="000000"/>
        </w:rPr>
        <w:t>“</w:t>
      </w:r>
      <w:r>
        <w:rPr>
          <w:rFonts w:ascii="Times New Roman;serif" w:hAnsi="Times New Roman;serif"/>
          <w:b/>
          <w:i/>
          <w:color w:val="000000"/>
          <w:sz w:val="20"/>
        </w:rPr>
        <w:t>SAR</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Stock Appreciation Right</w:t>
      </w:r>
      <w:r>
        <w:rPr>
          <w:color w:val="000000"/>
        </w:rPr>
        <w:t xml:space="preserve">” </w:t>
      </w:r>
      <w:r>
        <w:rPr>
          <w:rFonts w:ascii="Times New Roman;serif" w:hAnsi="Times New Roman;serif"/>
          <w:b w:val="false"/>
          <w:color w:val="000000"/>
          <w:sz w:val="20"/>
        </w:rPr>
        <w:t>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pStyle w:val="TextBody"/>
        <w:bidi w:val="0"/>
        <w:spacing w:lineRule="auto" w:line="288" w:before="0" w:after="180"/>
        <w:jc w:val="both"/>
        <w:rPr/>
      </w:pPr>
      <w:r>
        <w:rPr>
          <w:color w:val="000000"/>
        </w:rPr>
        <w:t>“</w:t>
      </w:r>
      <w:r>
        <w:rPr>
          <w:rFonts w:ascii="Times New Roman;serif" w:hAnsi="Times New Roman;serif"/>
          <w:b/>
          <w:i/>
          <w:color w:val="000000"/>
          <w:sz w:val="20"/>
        </w:rPr>
        <w:t>Section 409A</w:t>
      </w:r>
      <w:r>
        <w:rPr>
          <w:color w:val="000000"/>
        </w:rPr>
        <w:t xml:space="preserve">” </w:t>
      </w:r>
      <w:r>
        <w:rPr>
          <w:rFonts w:ascii="Times New Roman;serif" w:hAnsi="Times New Roman;serif"/>
          <w:b w:val="false"/>
          <w:color w:val="000000"/>
          <w:sz w:val="20"/>
        </w:rPr>
        <w:t>means Section 409A of the Code.</w:t>
      </w:r>
    </w:p>
    <w:p>
      <w:pPr>
        <w:pStyle w:val="TextBody"/>
        <w:bidi w:val="0"/>
        <w:spacing w:lineRule="auto" w:line="288" w:before="0" w:after="180"/>
        <w:jc w:val="both"/>
        <w:rPr/>
      </w:pPr>
      <w:r>
        <w:rPr>
          <w:color w:val="000000"/>
        </w:rPr>
        <w:t>“</w:t>
      </w:r>
      <w:r>
        <w:rPr>
          <w:rFonts w:ascii="Times New Roman;serif" w:hAnsi="Times New Roman;serif"/>
          <w:b/>
          <w:i/>
          <w:color w:val="000000"/>
          <w:sz w:val="20"/>
        </w:rPr>
        <w:t>Section 409A Deferred Compensation</w:t>
      </w:r>
      <w:r>
        <w:rPr>
          <w:color w:val="000000"/>
        </w:rPr>
        <w:t xml:space="preserve">” </w:t>
      </w:r>
      <w:r>
        <w:rPr>
          <w:rFonts w:ascii="Times New Roman;serif" w:hAnsi="Times New Roman;serif"/>
          <w:b w:val="false"/>
          <w:color w:val="000000"/>
          <w:sz w:val="20"/>
        </w:rPr>
        <w:t>means compensation provided pursuant to an Award that constitutes nonqualified deferred compensation within the meaning of Section 409A.</w:t>
      </w:r>
    </w:p>
    <w:p>
      <w:pPr>
        <w:pStyle w:val="TextBody"/>
        <w:bidi w:val="0"/>
        <w:spacing w:lineRule="auto" w:line="288" w:before="0" w:after="180"/>
        <w:jc w:val="both"/>
        <w:rPr/>
      </w:pPr>
      <w:r>
        <w:rPr>
          <w:color w:val="000000"/>
        </w:rPr>
        <w:t>“</w:t>
      </w:r>
      <w:r>
        <w:rPr>
          <w:rFonts w:ascii="Times New Roman;serif" w:hAnsi="Times New Roman;serif"/>
          <w:b/>
          <w:i/>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88" w:before="0" w:after="180"/>
        <w:jc w:val="both"/>
        <w:rPr/>
      </w:pPr>
      <w:r>
        <w:rPr>
          <w:color w:val="000000"/>
        </w:rPr>
        <w:t>“</w:t>
      </w:r>
      <w:r>
        <w:rPr>
          <w:rFonts w:ascii="Times New Roman;serif" w:hAnsi="Times New Roman;serif"/>
          <w:b/>
          <w:i/>
          <w:color w:val="000000"/>
          <w:sz w:val="20"/>
        </w:rPr>
        <w:t>Service</w:t>
      </w:r>
      <w:r>
        <w:rPr>
          <w:color w:val="000000"/>
        </w:rPr>
        <w:t xml:space="preserve">” </w:t>
      </w:r>
      <w:r>
        <w:rPr>
          <w:rFonts w:ascii="Times New Roman;serif" w:hAnsi="Times New Roman;serif"/>
          <w:b w:val="false"/>
          <w:color w:val="000000"/>
          <w:sz w:val="20"/>
        </w:rPr>
        <w:t>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pStyle w:val="TextBody"/>
        <w:bidi w:val="0"/>
        <w:spacing w:lineRule="auto" w:line="288" w:before="0" w:after="180"/>
        <w:jc w:val="both"/>
        <w:rPr/>
      </w:pPr>
      <w:r>
        <w:rPr>
          <w:color w:val="000000"/>
        </w:rPr>
        <w:t>“</w:t>
      </w:r>
      <w:r>
        <w:rPr>
          <w:rFonts w:ascii="Times New Roman;serif" w:hAnsi="Times New Roman;serif"/>
          <w:b/>
          <w:i/>
          <w:color w:val="000000"/>
          <w:sz w:val="20"/>
        </w:rPr>
        <w:t>Stock</w:t>
      </w:r>
      <w:r>
        <w:rPr>
          <w:color w:val="000000"/>
        </w:rPr>
        <w:t xml:space="preserve">” </w:t>
      </w:r>
      <w:r>
        <w:rPr>
          <w:rFonts w:ascii="Times New Roman;serif" w:hAnsi="Times New Roman;serif"/>
          <w:b w:val="false"/>
          <w:color w:val="000000"/>
          <w:sz w:val="20"/>
        </w:rPr>
        <w:t>means the common stock of the Company, as adjusted from time to time in accordance with Section 4.</w:t>
      </w:r>
    </w:p>
    <w:p>
      <w:pPr>
        <w:pStyle w:val="TextBody"/>
        <w:bidi w:val="0"/>
        <w:spacing w:lineRule="auto" w:line="288" w:before="0" w:after="180"/>
        <w:jc w:val="both"/>
        <w:rPr/>
      </w:pPr>
      <w:r>
        <w:rPr>
          <w:color w:val="000000"/>
        </w:rPr>
        <w:t>“</w:t>
      </w:r>
      <w:r>
        <w:rPr>
          <w:rFonts w:ascii="Times New Roman;serif" w:hAnsi="Times New Roman;serif"/>
          <w:b/>
          <w:i/>
          <w:color w:val="000000"/>
          <w:sz w:val="20"/>
        </w:rPr>
        <w:t>Stock Tender Exercise</w:t>
      </w:r>
      <w:r>
        <w:rPr>
          <w:color w:val="000000"/>
        </w:rPr>
        <w:t xml:space="preserve">” </w:t>
      </w:r>
      <w:r>
        <w:rPr>
          <w:rFonts w:ascii="Times New Roman;serif" w:hAnsi="Times New Roman;serif"/>
          <w:b w:val="false"/>
          <w:color w:val="000000"/>
          <w:sz w:val="20"/>
        </w:rPr>
        <w:t>means a Stock Tender Exercise as defined in Section 6.3(b)(ii).</w:t>
      </w:r>
    </w:p>
    <w:p>
      <w:pPr>
        <w:pStyle w:val="TextBody"/>
        <w:bidi w:val="0"/>
        <w:spacing w:lineRule="auto" w:line="288" w:before="0" w:after="180"/>
        <w:jc w:val="both"/>
        <w:rPr/>
      </w:pPr>
      <w:r>
        <w:rPr>
          <w:color w:val="000000"/>
        </w:rPr>
        <w:t>“</w:t>
      </w:r>
      <w:r>
        <w:rPr>
          <w:rFonts w:ascii="Times New Roman;serif" w:hAnsi="Times New Roman;serif"/>
          <w:b/>
          <w:i/>
          <w:color w:val="000000"/>
          <w:sz w:val="20"/>
        </w:rPr>
        <w:t>Subsidiary Corporation</w:t>
      </w:r>
      <w:r>
        <w:rPr>
          <w:color w:val="000000"/>
        </w:rPr>
        <w:t xml:space="preserve">” </w:t>
      </w:r>
      <w:r>
        <w:rPr>
          <w:rFonts w:ascii="Times New Roman;serif" w:hAnsi="Times New Roman;serif"/>
          <w:b w:val="false"/>
          <w:color w:val="000000"/>
          <w:sz w:val="20"/>
        </w:rPr>
        <w:t>means any present or future “subsidiary corporation” of the Company, as defined in Section 424(f) of the Code.</w:t>
      </w:r>
    </w:p>
    <w:p>
      <w:pPr>
        <w:pStyle w:val="TextBody"/>
        <w:bidi w:val="0"/>
        <w:spacing w:lineRule="auto" w:line="288" w:before="0" w:after="180"/>
        <w:jc w:val="both"/>
        <w:rPr/>
      </w:pPr>
      <w:r>
        <w:rPr>
          <w:color w:val="000000"/>
        </w:rPr>
        <w:t>“</w:t>
      </w:r>
      <w:r>
        <w:rPr>
          <w:rFonts w:ascii="Times New Roman;serif" w:hAnsi="Times New Roman;serif"/>
          <w:b/>
          <w:i/>
          <w:color w:val="000000"/>
          <w:sz w:val="20"/>
        </w:rPr>
        <w:t>Ten Percent Owner</w:t>
      </w:r>
      <w:r>
        <w:rPr>
          <w:color w:val="000000"/>
        </w:rPr>
        <w:t xml:space="preserve">” </w:t>
      </w:r>
      <w:r>
        <w:rPr>
          <w:rFonts w:ascii="Times New Roman;serif" w:hAnsi="Times New Roman;serif"/>
          <w:b w:val="false"/>
          <w:color w:val="000000"/>
          <w:sz w:val="20"/>
        </w:rPr>
        <w:t>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pStyle w:val="TextBody"/>
        <w:bidi w:val="0"/>
        <w:spacing w:lineRule="auto" w:line="288" w:before="0" w:after="180"/>
        <w:jc w:val="both"/>
        <w:rPr/>
      </w:pPr>
      <w:r>
        <w:rPr>
          <w:color w:val="000000"/>
        </w:rPr>
        <w:t>“</w:t>
      </w:r>
      <w:r>
        <w:rPr>
          <w:rFonts w:ascii="Times New Roman;serif" w:hAnsi="Times New Roman;serif"/>
          <w:b/>
          <w:i/>
          <w:color w:val="000000"/>
          <w:sz w:val="20"/>
        </w:rPr>
        <w:t>Trading Compliance Policy</w:t>
      </w:r>
      <w:r>
        <w:rPr>
          <w:color w:val="000000"/>
        </w:rPr>
        <w:t xml:space="preserve">” </w:t>
      </w:r>
      <w:r>
        <w:rPr>
          <w:rFonts w:ascii="Times New Roman;serif" w:hAnsi="Times New Roman;serif"/>
          <w:b w:val="false"/>
          <w:color w:val="000000"/>
          <w:sz w:val="20"/>
        </w:rPr>
        <w:t>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pStyle w:val="TextBody"/>
        <w:bidi w:val="0"/>
        <w:spacing w:lineRule="auto" w:line="288" w:before="0" w:after="180"/>
        <w:jc w:val="both"/>
        <w:rPr/>
      </w:pPr>
      <w:r>
        <w:rPr>
          <w:color w:val="000000"/>
        </w:rPr>
        <w:t>“</w:t>
      </w:r>
      <w:r>
        <w:rPr>
          <w:rFonts w:ascii="Times New Roman;serif" w:hAnsi="Times New Roman;serif"/>
          <w:b/>
          <w:i/>
          <w:color w:val="000000"/>
          <w:sz w:val="20"/>
        </w:rPr>
        <w:t>Vesting Conditions</w:t>
      </w:r>
      <w:r>
        <w:rPr>
          <w:color w:val="000000"/>
        </w:rPr>
        <w:t xml:space="preserve">” </w:t>
      </w:r>
      <w:r>
        <w:rPr>
          <w:rFonts w:ascii="Times New Roman;serif" w:hAnsi="Times New Roman;serif"/>
          <w:b w:val="false"/>
          <w:color w:val="000000"/>
          <w:sz w:val="20"/>
        </w:rPr>
        <w:t>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pStyle w:val="TextBody"/>
        <w:bidi w:val="0"/>
        <w:spacing w:lineRule="auto" w:line="288" w:before="0" w:after="180"/>
        <w:jc w:val="left"/>
        <w:rPr/>
      </w:pPr>
      <w:r>
        <w:rPr>
          <w:rFonts w:ascii="Times New Roman;serif" w:hAnsi="Times New Roman;serif"/>
          <w:b w:val="false"/>
          <w:color w:val="000000"/>
          <w:sz w:val="20"/>
        </w:rPr>
        <w:t>2.2.</w:t>
      </w:r>
      <w:r>
        <w:rPr>
          <w:rFonts w:ascii="Times New Roman;serif" w:hAnsi="Times New Roman;serif"/>
          <w:b/>
          <w:color w:val="000000"/>
          <w:sz w:val="20"/>
        </w:rPr>
        <w:t>Construction</w:t>
      </w:r>
      <w:r>
        <w:rPr>
          <w:rFonts w:ascii="Times New Roman;serif" w:hAnsi="Times New Roman;serif"/>
          <w:b w:val="false"/>
          <w:color w:val="000000"/>
          <w:sz w:val="20"/>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88" w:before="0" w:after="180"/>
        <w:jc w:val="left"/>
        <w:rPr/>
      </w:pPr>
      <w:r>
        <w:rPr>
          <w:rFonts w:ascii="Times New Roman;serif" w:hAnsi="Times New Roman;serif"/>
          <w:b/>
          <w:color w:val="000000"/>
          <w:sz w:val="20"/>
        </w:rPr>
        <w:t>3.</w:t>
      </w:r>
      <w:r>
        <w:rPr>
          <w:rFonts w:ascii="Times New Roman;serif" w:hAnsi="Times New Roman;serif"/>
          <w:b/>
          <w:color w:val="000000"/>
          <w:sz w:val="20"/>
        </w:rPr>
        <w:t>ADMINISTRATION</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3.1.</w:t>
      </w:r>
      <w:r>
        <w:rPr>
          <w:rFonts w:ascii="Times New Roman;serif" w:hAnsi="Times New Roman;serif"/>
          <w:b/>
          <w:color w:val="000000"/>
          <w:sz w:val="20"/>
        </w:rPr>
        <w:t>Administration by the Committee</w:t>
      </w:r>
      <w:r>
        <w:rPr>
          <w:rFonts w:ascii="Times New Roman;serif" w:hAnsi="Times New Roman;serif"/>
          <w:b w:val="false"/>
          <w:color w:val="000000"/>
          <w:sz w:val="20"/>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pStyle w:val="TextBody"/>
        <w:bidi w:val="0"/>
        <w:spacing w:lineRule="auto" w:line="288" w:before="0" w:after="180"/>
        <w:jc w:val="left"/>
        <w:rPr/>
      </w:pPr>
      <w:r>
        <w:rPr>
          <w:rFonts w:ascii="Times New Roman;serif" w:hAnsi="Times New Roman;serif"/>
          <w:b w:val="false"/>
          <w:color w:val="000000"/>
          <w:sz w:val="20"/>
        </w:rPr>
        <w:t>3.2.</w:t>
      </w:r>
      <w:r>
        <w:rPr>
          <w:rFonts w:ascii="Times New Roman;serif" w:hAnsi="Times New Roman;serif"/>
          <w:b/>
          <w:color w:val="000000"/>
          <w:sz w:val="20"/>
        </w:rPr>
        <w:t>Authority of Officers</w:t>
      </w:r>
      <w:r>
        <w:rPr>
          <w:rFonts w:ascii="Times New Roman;serif" w:hAnsi="Times New Roman;serif"/>
          <w:b w:val="false"/>
          <w:color w:val="000000"/>
          <w:sz w:val="20"/>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(a) the Committee shall fix the maximum number of shares subject to Awards that may be granted by such Officers, (b) each such Award shall be subject to the terms and conditions of the appropriate standard form of Award Agreement approved by the Board or the Committee and shall conform to the provisions of the Plan, and (c) each such Award shall conform to such other limits and guidelines as may be established from time to time by the Committee.</w:t>
      </w:r>
    </w:p>
    <w:p>
      <w:pPr>
        <w:pStyle w:val="TextBody"/>
        <w:bidi w:val="0"/>
        <w:spacing w:lineRule="auto" w:line="288" w:before="0" w:after="180"/>
        <w:jc w:val="left"/>
        <w:rPr/>
      </w:pPr>
      <w:r>
        <w:rPr>
          <w:rFonts w:ascii="Times New Roman;serif" w:hAnsi="Times New Roman;serif"/>
          <w:b w:val="false"/>
          <w:color w:val="000000"/>
          <w:sz w:val="20"/>
        </w:rPr>
        <w:t>3.3.</w:t>
      </w:r>
      <w:r>
        <w:rPr>
          <w:rFonts w:ascii="Times New Roman;serif" w:hAnsi="Times New Roman;serif"/>
          <w:b/>
          <w:color w:val="000000"/>
          <w:sz w:val="20"/>
        </w:rPr>
        <w:t>Administration with Respect to Insiders</w:t>
      </w:r>
      <w:r>
        <w:rPr>
          <w:rFonts w:ascii="Times New Roman;serif" w:hAnsi="Times New Roman;serif"/>
          <w:b w:val="false"/>
          <w:color w:val="000000"/>
          <w:sz w:val="20"/>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pStyle w:val="TextBody"/>
        <w:bidi w:val="0"/>
        <w:spacing w:lineRule="auto" w:line="288" w:before="0" w:after="180"/>
        <w:jc w:val="left"/>
        <w:rPr/>
      </w:pPr>
      <w:r>
        <w:rPr>
          <w:rFonts w:ascii="Times New Roman;serif" w:hAnsi="Times New Roman;serif"/>
          <w:b w:val="false"/>
          <w:color w:val="000000"/>
          <w:sz w:val="20"/>
        </w:rPr>
        <w:t>3.4.</w:t>
      </w:r>
      <w:r>
        <w:rPr>
          <w:rFonts w:ascii="Times New Roman;serif" w:hAnsi="Times New Roman;serif"/>
          <w:b/>
          <w:color w:val="000000"/>
          <w:sz w:val="20"/>
        </w:rPr>
        <w:t>Powers of the Committee</w:t>
      </w:r>
      <w:r>
        <w:rPr>
          <w:rFonts w:ascii="Times New Roman;serif" w:hAnsi="Times New Roman;serif"/>
          <w:b w:val="false"/>
          <w:color w:val="000000"/>
          <w:sz w:val="20"/>
        </w:rPr>
        <w:t>. In addition to any other powers set forth in the Plan and subject to the provisions of the Plan, the Committee shall have the full and final power and authority, in its discretion: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to determine the persons to whom, and the time or times at which, Awards shall be granted and the number of shares of Stock, units or monetary value to be subject to each Award;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to determine the type of Award granted;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to determine the Fair Market Value of shares of Stock or other property;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to determine whether an Award will be settled in shares of Stock, cash, other property or in any combination thereof;</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to approve one or more forms of Award Agreement;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to amend, modify, extend, cancel or renew any Award or to waive any restrictions or conditions applicable to any Award or any shares acquired pursuant thereto; provided however, that, a Participant’s rights under any Award will not be Materially Impaired by any such amendment unless (i) the Company requests the consent of the affected Participant, and (ii) such Participant consents in writing;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 to accelerate, continue, extend or defer the exercisability or vesting of any Award or any shares acquired pursuant thereto, including with respect to the period following a Participant’s termination of Service; provided however, that, a Participant’s rights under any Award will not be Materially Impaired by any such action unless (i) the Company requests the consent of the affected Participant, and (ii) such Participant consents in writing;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(j)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affecting the shares of Stock or the share price of the Stock including any Change in Control, for reasons of administrative convenience;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 to effect, at any time and from time to time, subject to the consent of any Participant whose Award is Materially Impaired by such action, (i) the reduction of the exercise price (or strike price) of any outstanding Option or SAR; (i) the cancellation of any outstanding Option or SAR and the grant in substitution therefor of (A) a new Option, SAR, Restricted Stock Award, RSU Award or Other Award, under the Plan or another equity plan of the Company, covering the same or a different number of shares of Stock, (B) cash and/or (C) other valuable consideration (as determined by the Board); or (iii) any other action that is treated as a repricing under generally accepted accounting principles; and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 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pStyle w:val="TextBody"/>
        <w:bidi w:val="0"/>
        <w:spacing w:lineRule="auto" w:line="288" w:before="0" w:after="180"/>
        <w:jc w:val="left"/>
        <w:rPr/>
      </w:pPr>
      <w:r>
        <w:rPr>
          <w:rFonts w:ascii="Times New Roman;serif" w:hAnsi="Times New Roman;serif"/>
          <w:b w:val="false"/>
          <w:color w:val="000000"/>
          <w:sz w:val="20"/>
        </w:rPr>
        <w:t>3.5.</w:t>
      </w:r>
      <w:r>
        <w:rPr>
          <w:rFonts w:ascii="Times New Roman;serif" w:hAnsi="Times New Roman;serif"/>
          <w:b/>
          <w:color w:val="000000"/>
          <w:sz w:val="20"/>
        </w:rPr>
        <w:t>Option or SAR Repricing</w:t>
      </w:r>
      <w:r>
        <w:rPr>
          <w:rFonts w:ascii="Times New Roman;serif" w:hAnsi="Times New Roman;serif"/>
          <w:b w:val="false"/>
          <w:color w:val="000000"/>
          <w:sz w:val="20"/>
        </w:rPr>
        <w:t>. The Committee shall have the authority, without additional approval by the stockholders of the Company, to approve a program providing for either (a) the cancellation of outstanding Options or SARs having exercise prices per share greater than the then Fair Market Value of a share of Stock (“</w:t>
      </w:r>
      <w:r>
        <w:rPr>
          <w:rFonts w:ascii="Times New Roman;serif" w:hAnsi="Times New Roman;serif"/>
          <w:b/>
          <w:color w:val="000000"/>
          <w:sz w:val="20"/>
        </w:rPr>
        <w:t>Underwater Awards</w:t>
      </w:r>
      <w:r>
        <w:rPr>
          <w:color w:val="000000"/>
        </w:rPr>
        <w:t>”</w:t>
      </w:r>
      <w:r>
        <w:rPr>
          <w:rFonts w:ascii="Times New Roman;serif" w:hAnsi="Times New Roman;serif"/>
          <w:b w:val="false"/>
          <w:color w:val="000000"/>
          <w:sz w:val="20"/>
        </w:rPr>
        <w:t>) and the grant in substitution therefor of new Options or SARs covering the same or a different number of shares but with an exercise price per share equal to the Fair Market Value per share on the new grant date, Full Value Awards, or payments in cash, or (b) the amendment of outstanding Underwater Awards to reduce the exercise price thereof to the Fair Market Value per share on the date of amendment.</w:t>
      </w:r>
    </w:p>
    <w:p>
      <w:pPr>
        <w:pStyle w:val="TextBody"/>
        <w:bidi w:val="0"/>
        <w:spacing w:lineRule="auto" w:line="288" w:before="0" w:after="180"/>
        <w:jc w:val="left"/>
        <w:rPr/>
      </w:pPr>
      <w:r>
        <w:rPr>
          <w:rFonts w:ascii="Times New Roman;serif" w:hAnsi="Times New Roman;serif"/>
          <w:b w:val="false"/>
          <w:color w:val="000000"/>
          <w:sz w:val="20"/>
        </w:rPr>
        <w:t>3.6.</w:t>
      </w:r>
      <w:r>
        <w:rPr>
          <w:rFonts w:ascii="Times New Roman;serif" w:hAnsi="Times New Roman;serif"/>
          <w:b/>
          <w:color w:val="000000"/>
          <w:sz w:val="20"/>
        </w:rPr>
        <w:t>Indemnification</w:t>
      </w:r>
      <w:r>
        <w:rPr>
          <w:rFonts w:ascii="Times New Roman;serif" w:hAnsi="Times New Roman;serif"/>
          <w:b w:val="false"/>
          <w:color w:val="000000"/>
          <w:sz w:val="20"/>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pStyle w:val="TextBody"/>
        <w:bidi w:val="0"/>
        <w:spacing w:lineRule="auto" w:line="288" w:before="0" w:after="180"/>
        <w:jc w:val="left"/>
        <w:rPr/>
      </w:pPr>
      <w:r>
        <w:rPr>
          <w:rFonts w:ascii="Times New Roman;serif" w:hAnsi="Times New Roman;serif"/>
          <w:b/>
          <w:color w:val="000000"/>
          <w:sz w:val="20"/>
        </w:rPr>
        <w:t>4.</w:t>
      </w:r>
      <w:r>
        <w:rPr>
          <w:rFonts w:ascii="Times New Roman;serif" w:hAnsi="Times New Roman;serif"/>
          <w:b/>
          <w:color w:val="000000"/>
          <w:sz w:val="20"/>
        </w:rPr>
        <w:t>SHARES SUBJECT TO PLAN</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4.1.</w:t>
      </w:r>
      <w:r>
        <w:rPr>
          <w:rFonts w:ascii="Times New Roman;serif" w:hAnsi="Times New Roman;serif"/>
          <w:b/>
          <w:color w:val="000000"/>
          <w:sz w:val="20"/>
        </w:rPr>
        <w:t>Maximum Number of Shares Issuable</w:t>
      </w:r>
      <w:r>
        <w:rPr>
          <w:rFonts w:ascii="Times New Roman;serif" w:hAnsi="Times New Roman;serif"/>
          <w:b w:val="false"/>
          <w:color w:val="000000"/>
          <w:sz w:val="20"/>
        </w:rPr>
        <w:t>. Subject to adjustment as provided in Sections 4.2 and 4.3, the maximum aggregate number of shares of Stock that may be issued under the Plan as of July 28, 2026 shall be equal to (a) 2,378,178 shares, which includes an increase under clause (B) below made on the first day of the Company’s 2025 and 2026 fiscal years, plus (B) an annual increase, effective as of the first day of the Company’s fiscal year beginning in 2027 and the first day of each subsequent fiscal year through and including the first day of the Company’s fiscal year beginning on the ninth (9th) anniversary of the commencement on the first day of the Company’s 2025 fiscal year of such annual increase, equal to the lesser of (i) 5%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pStyle w:val="TextBody"/>
        <w:bidi w:val="0"/>
        <w:spacing w:lineRule="auto" w:line="288" w:before="0" w:after="180"/>
        <w:jc w:val="left"/>
        <w:rPr/>
      </w:pPr>
      <w:r>
        <w:rPr>
          <w:rFonts w:ascii="Times New Roman;serif" w:hAnsi="Times New Roman;serif"/>
          <w:b w:val="false"/>
          <w:color w:val="000000"/>
          <w:sz w:val="20"/>
        </w:rPr>
        <w:t>4.2.</w:t>
      </w:r>
      <w:r>
        <w:rPr>
          <w:rFonts w:ascii="Times New Roman;serif" w:hAnsi="Times New Roman;serif"/>
          <w:b/>
          <w:color w:val="000000"/>
          <w:sz w:val="20"/>
        </w:rPr>
        <w:t>Share Counting</w:t>
      </w:r>
      <w:r>
        <w:rPr>
          <w:rFonts w:ascii="Times New Roman;serif" w:hAnsi="Times New Roman;serif"/>
          <w:b w:val="false"/>
          <w:color w:val="000000"/>
          <w:sz w:val="20"/>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and Shares withheld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reacquired by the Company in satisfaction of tax withholding obligations pursuant to the vesting or settlement of Full Value Awards pursuant to Section 16.2 shall again become available for issuance under the Plan.</w:t>
      </w:r>
    </w:p>
    <w:p>
      <w:pPr>
        <w:pStyle w:val="TextBody"/>
        <w:bidi w:val="0"/>
        <w:spacing w:lineRule="auto" w:line="288" w:before="0" w:after="180"/>
        <w:jc w:val="left"/>
        <w:rPr/>
      </w:pPr>
      <w:r>
        <w:rPr>
          <w:rFonts w:ascii="Times New Roman;serif" w:hAnsi="Times New Roman;serif"/>
          <w:b w:val="false"/>
          <w:color w:val="000000"/>
          <w:sz w:val="20"/>
        </w:rPr>
        <w:t>4.3.</w:t>
      </w:r>
      <w:r>
        <w:rPr>
          <w:rFonts w:ascii="Times New Roman;serif" w:hAnsi="Times New Roman;serif"/>
          <w:b/>
          <w:color w:val="000000"/>
          <w:sz w:val="20"/>
        </w:rPr>
        <w:t>Adjustments for Changes in Capital Structure</w:t>
      </w:r>
      <w:r>
        <w:rPr>
          <w:rFonts w:ascii="Times New Roman;serif" w:hAnsi="Times New Roman;serif"/>
          <w:b w:val="false"/>
          <w:color w:val="000000"/>
          <w:sz w:val="20"/>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Section 4.1,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serif" w:hAnsi="Times New Roman;serif"/>
          <w:b/>
          <w:color w:val="000000"/>
          <w:sz w:val="20"/>
        </w:rPr>
        <w:t>New Shares</w:t>
      </w:r>
      <w:r>
        <w:rPr>
          <w:color w:val="000000"/>
        </w:rPr>
        <w:t>”</w:t>
      </w:r>
      <w:r>
        <w:rPr>
          <w:rFonts w:ascii="Times New Roman;serif" w:hAnsi="Times New Roman;serif"/>
          <w:b w:val="false"/>
          <w:color w:val="000000"/>
          <w:sz w:val="20"/>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pStyle w:val="TextBody"/>
        <w:bidi w:val="0"/>
        <w:spacing w:lineRule="auto" w:line="288" w:before="0" w:after="180"/>
        <w:jc w:val="left"/>
        <w:rPr/>
      </w:pPr>
      <w:r>
        <w:rPr>
          <w:rFonts w:ascii="Times New Roman;serif" w:hAnsi="Times New Roman;serif"/>
          <w:b w:val="false"/>
          <w:color w:val="000000"/>
          <w:sz w:val="20"/>
        </w:rPr>
        <w:t>4.4.</w:t>
      </w:r>
      <w:r>
        <w:rPr>
          <w:rFonts w:ascii="Times New Roman;serif" w:hAnsi="Times New Roman;serif"/>
          <w:b/>
          <w:color w:val="000000"/>
          <w:sz w:val="20"/>
        </w:rPr>
        <w:t>Assumption or Substitution of Awards</w:t>
      </w:r>
      <w:r>
        <w:rPr>
          <w:rFonts w:ascii="Times New Roman;serif" w:hAnsi="Times New Roman;serif"/>
          <w:b w:val="false"/>
          <w:color w:val="000000"/>
          <w:sz w:val="20"/>
        </w:rPr>
        <w:t>. The Committee may, without reducing or otherwise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pStyle w:val="TextBody"/>
        <w:bidi w:val="0"/>
        <w:spacing w:lineRule="auto" w:line="288" w:before="0" w:after="180"/>
        <w:jc w:val="left"/>
        <w:rPr/>
      </w:pPr>
      <w:r>
        <w:rPr>
          <w:rFonts w:ascii="Times New Roman;serif" w:hAnsi="Times New Roman;serif"/>
          <w:b/>
          <w:color w:val="000000"/>
          <w:sz w:val="20"/>
        </w:rPr>
        <w:t>5.</w:t>
      </w:r>
      <w:r>
        <w:rPr>
          <w:rFonts w:ascii="Times New Roman;serif" w:hAnsi="Times New Roman;serif"/>
          <w:b/>
          <w:color w:val="000000"/>
          <w:sz w:val="20"/>
        </w:rPr>
        <w:t>ELIGIBILITY, PARTICIPATION AND AWARD LIMITATIONS</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5.1.</w:t>
      </w:r>
      <w:r>
        <w:rPr>
          <w:rFonts w:ascii="Times New Roman;serif" w:hAnsi="Times New Roman;serif"/>
          <w:b/>
          <w:color w:val="000000"/>
          <w:sz w:val="20"/>
        </w:rPr>
        <w:t>Persons Eligible for Awards</w:t>
      </w:r>
      <w:r>
        <w:rPr>
          <w:rFonts w:ascii="Times New Roman;serif" w:hAnsi="Times New Roman;serif"/>
          <w:b w:val="false"/>
          <w:color w:val="000000"/>
          <w:sz w:val="20"/>
        </w:rPr>
        <w:t>. Awards may be granted only to Employees, Consultants and Directors.</w:t>
      </w:r>
    </w:p>
    <w:p>
      <w:pPr>
        <w:pStyle w:val="TextBody"/>
        <w:bidi w:val="0"/>
        <w:spacing w:lineRule="auto" w:line="288" w:before="0" w:after="180"/>
        <w:jc w:val="left"/>
        <w:rPr/>
      </w:pPr>
      <w:r>
        <w:rPr>
          <w:rFonts w:ascii="Times New Roman;serif" w:hAnsi="Times New Roman;serif"/>
          <w:b w:val="false"/>
          <w:color w:val="000000"/>
          <w:sz w:val="20"/>
        </w:rPr>
        <w:t>5.2.</w:t>
      </w:r>
      <w:r>
        <w:rPr>
          <w:rFonts w:ascii="Times New Roman;serif" w:hAnsi="Times New Roman;serif"/>
          <w:b/>
          <w:color w:val="000000"/>
          <w:sz w:val="20"/>
        </w:rPr>
        <w:t>Participation in the Plan</w:t>
      </w:r>
      <w:r>
        <w:rPr>
          <w:rFonts w:ascii="Times New Roman;serif" w:hAnsi="Times New Roman;serif"/>
          <w:b w:val="false"/>
          <w:color w:val="000000"/>
          <w:sz w:val="20"/>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pStyle w:val="TextBody"/>
        <w:bidi w:val="0"/>
        <w:spacing w:lineRule="auto" w:line="288" w:before="0" w:after="180"/>
        <w:jc w:val="left"/>
        <w:rPr/>
      </w:pPr>
      <w:r>
        <w:rPr>
          <w:rFonts w:ascii="Times New Roman;serif" w:hAnsi="Times New Roman;serif"/>
          <w:b w:val="false"/>
          <w:color w:val="000000"/>
          <w:sz w:val="20"/>
        </w:rPr>
        <w:t>5.3.</w:t>
      </w:r>
      <w:r>
        <w:rPr>
          <w:rFonts w:ascii="Times New Roman;serif" w:hAnsi="Times New Roman;serif"/>
          <w:b/>
          <w:color w:val="000000"/>
          <w:sz w:val="20"/>
        </w:rPr>
        <w:t>Incentive Stock Option Limitations</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color w:val="000000"/>
          <w:sz w:val="20"/>
        </w:rPr>
        <w:t>(a) Maximum Number of Shares Issuable Pursuant to Incentive Stock Options</w:t>
      </w:r>
      <w:r>
        <w:rPr>
          <w:rFonts w:ascii="Times New Roman;serif" w:hAnsi="Times New Roman;serif"/>
          <w:b w:val="false"/>
          <w:color w:val="000000"/>
          <w:sz w:val="20"/>
        </w:rPr>
        <w:t>. Subject to adjustment as provided in Section 4.3, the maximum aggregate number of shares of Stock that may be issued under the Plan pursuant to the exercise of Incentive Stock Options shall not exceed 2,378,178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pStyle w:val="TextBody"/>
        <w:bidi w:val="0"/>
        <w:spacing w:lineRule="auto" w:line="288" w:before="0" w:after="180"/>
        <w:ind w:left="0" w:right="0" w:firstLine="720"/>
        <w:jc w:val="left"/>
        <w:rPr/>
      </w:pPr>
      <w:r>
        <w:rPr>
          <w:rFonts w:ascii="Times New Roman;serif" w:hAnsi="Times New Roman;serif"/>
          <w:b/>
          <w:color w:val="000000"/>
          <w:sz w:val="20"/>
        </w:rPr>
        <w:t>(b) Persons Eligible</w:t>
      </w:r>
      <w:r>
        <w:rPr>
          <w:rFonts w:ascii="Times New Roman;serif" w:hAnsi="Times New Roman;serif"/>
          <w:b w:val="false"/>
          <w:color w:val="000000"/>
          <w:sz w:val="20"/>
        </w:rPr>
        <w:t>. An Incentive Stock Option may be granted only to a person who, on the effective date of grant, is an Employee of the Company, a Parent Corporation or a Subsidiary Corporation (each being an “</w:t>
      </w:r>
      <w:r>
        <w:rPr>
          <w:rFonts w:ascii="Times New Roman;serif" w:hAnsi="Times New Roman;serif"/>
          <w:b/>
          <w:color w:val="000000"/>
          <w:sz w:val="20"/>
        </w:rPr>
        <w:t>ISO-Qualifying Corporation</w:t>
      </w:r>
      <w:r>
        <w:rPr>
          <w:color w:val="000000"/>
        </w:rPr>
        <w:t>”</w:t>
      </w:r>
      <w:r>
        <w:rPr>
          <w:rFonts w:ascii="Times New Roman;serif" w:hAnsi="Times New Roman;serif"/>
          <w:b w:val="false"/>
          <w:color w:val="000000"/>
          <w:sz w:val="20"/>
        </w:rPr>
        <w:t>). Any person who is not an Employee of an ISO-Qualifying Corporation on the effective date of the grant of an Option to such person may be granted only a Nonstatutory Stock Option.</w:t>
      </w:r>
    </w:p>
    <w:p>
      <w:pPr>
        <w:pStyle w:val="TextBody"/>
        <w:bidi w:val="0"/>
        <w:spacing w:lineRule="auto" w:line="288" w:before="0" w:after="180"/>
        <w:ind w:left="0" w:right="0" w:firstLine="720"/>
        <w:jc w:val="left"/>
        <w:rPr/>
      </w:pPr>
      <w:r>
        <w:rPr>
          <w:rFonts w:ascii="Times New Roman;serif" w:hAnsi="Times New Roman;serif"/>
          <w:b/>
          <w:color w:val="000000"/>
          <w:sz w:val="20"/>
        </w:rPr>
        <w:t>(c) Fair Market Value Limitation</w:t>
      </w:r>
      <w:r>
        <w:rPr>
          <w:rFonts w:ascii="Times New Roman;serif" w:hAnsi="Times New Roman;serif"/>
          <w:b w:val="false"/>
          <w:color w:val="000000"/>
          <w:sz w:val="20"/>
        </w:rPr>
        <w:t xml:space="preserve">.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pStyle w:val="TextBody"/>
        <w:bidi w:val="0"/>
        <w:spacing w:lineRule="auto" w:line="288" w:before="0" w:after="180"/>
        <w:jc w:val="left"/>
        <w:rPr/>
      </w:pPr>
      <w:r>
        <w:rPr>
          <w:rFonts w:ascii="Times New Roman;serif" w:hAnsi="Times New Roman;serif"/>
          <w:b w:val="false"/>
          <w:color w:val="000000"/>
          <w:sz w:val="20"/>
        </w:rPr>
        <w:t>5.4.</w:t>
      </w:r>
      <w:r>
        <w:rPr>
          <w:rFonts w:ascii="Times New Roman;serif" w:hAnsi="Times New Roman;serif"/>
          <w:b/>
          <w:color w:val="000000"/>
          <w:sz w:val="20"/>
        </w:rPr>
        <w:t>Nonemployee Director Award Limit</w:t>
      </w:r>
      <w:r>
        <w:rPr>
          <w:rFonts w:ascii="Times New Roman;serif" w:hAnsi="Times New Roman;serif"/>
          <w:b w:val="false"/>
          <w:color w:val="000000"/>
          <w:sz w:val="20"/>
        </w:rPr>
        <w:t>. Annual compensation awarded to any Nonemployee Director during each calendar year, including both shares of Stock subject to Awards and any cash fees paid to such Nonemployee Director may not exceed $1,500,000 in total value, or $2,000,000 in the calendar year in which any Nonemployee Director is initially elected to the Board (calculating the value of any such Awards based on the grant date fair value of such Awards for financial reporting purposes).</w:t>
      </w:r>
    </w:p>
    <w:p>
      <w:pPr>
        <w:pStyle w:val="TextBody"/>
        <w:bidi w:val="0"/>
        <w:spacing w:lineRule="auto" w:line="288" w:before="0" w:after="180"/>
        <w:jc w:val="left"/>
        <w:rPr/>
      </w:pPr>
      <w:r>
        <w:rPr>
          <w:rFonts w:ascii="Times New Roman;serif" w:hAnsi="Times New Roman;serif"/>
          <w:b/>
          <w:color w:val="000000"/>
          <w:sz w:val="20"/>
        </w:rPr>
        <w:t>6.</w:t>
      </w:r>
      <w:r>
        <w:rPr>
          <w:rFonts w:ascii="Times New Roman;serif" w:hAnsi="Times New Roman;serif"/>
          <w:b/>
          <w:color w:val="000000"/>
          <w:sz w:val="20"/>
        </w:rPr>
        <w:t>STOCK OPTIONS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88" w:before="0" w:after="180"/>
        <w:jc w:val="left"/>
        <w:rPr/>
      </w:pPr>
      <w:r>
        <w:rPr>
          <w:rFonts w:ascii="Times New Roman;serif" w:hAnsi="Times New Roman;serif"/>
          <w:b w:val="false"/>
          <w:color w:val="000000"/>
          <w:sz w:val="20"/>
        </w:rPr>
        <w:t>6.1.</w:t>
      </w:r>
      <w:r>
        <w:rPr>
          <w:rFonts w:ascii="Times New Roman;serif" w:hAnsi="Times New Roman;serif"/>
          <w:b/>
          <w:color w:val="000000"/>
          <w:sz w:val="20"/>
        </w:rPr>
        <w:t>Exercise Price</w:t>
      </w:r>
      <w:r>
        <w:rPr>
          <w:rFonts w:ascii="Times New Roman;serif" w:hAnsi="Times New Roman;serif"/>
          <w:b w:val="false"/>
          <w:color w:val="000000"/>
          <w:sz w:val="20"/>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pStyle w:val="TextBody"/>
        <w:bidi w:val="0"/>
        <w:spacing w:lineRule="auto" w:line="288" w:before="0" w:after="180"/>
        <w:jc w:val="left"/>
        <w:rPr/>
      </w:pPr>
      <w:r>
        <w:rPr>
          <w:rFonts w:ascii="Times New Roman;serif" w:hAnsi="Times New Roman;serif"/>
          <w:b w:val="false"/>
          <w:color w:val="000000"/>
          <w:sz w:val="20"/>
        </w:rPr>
        <w:t>6.2.</w:t>
      </w:r>
      <w:r>
        <w:rPr>
          <w:rFonts w:ascii="Times New Roman;serif" w:hAnsi="Times New Roman;serif"/>
          <w:b/>
          <w:color w:val="000000"/>
          <w:sz w:val="20"/>
        </w:rPr>
        <w:t>Exercisability and Term of Options</w:t>
      </w:r>
      <w:r>
        <w:rPr>
          <w:rFonts w:ascii="Times New Roman;serif" w:hAnsi="Times New Roman;serif"/>
          <w:b w:val="false"/>
          <w:color w:val="000000"/>
          <w:sz w:val="20"/>
        </w:rPr>
        <w:t>.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pStyle w:val="TextBody"/>
        <w:bidi w:val="0"/>
        <w:spacing w:lineRule="auto" w:line="288" w:before="0" w:after="180"/>
        <w:jc w:val="left"/>
        <w:rPr/>
      </w:pPr>
      <w:r>
        <w:rPr>
          <w:rFonts w:ascii="Times New Roman;serif" w:hAnsi="Times New Roman;serif"/>
          <w:b w:val="false"/>
          <w:color w:val="000000"/>
          <w:sz w:val="20"/>
        </w:rPr>
        <w:t>6.3.</w:t>
      </w:r>
      <w:r>
        <w:rPr>
          <w:rFonts w:ascii="Times New Roman;serif" w:hAnsi="Times New Roman;serif"/>
          <w:b/>
          <w:color w:val="000000"/>
          <w:sz w:val="20"/>
        </w:rPr>
        <w:t>Payment of Exercise Price</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color w:val="000000"/>
          <w:sz w:val="20"/>
        </w:rPr>
        <w:t>(a) Forms of Consideration Authorized</w:t>
      </w:r>
      <w:r>
        <w:rPr>
          <w:rFonts w:ascii="Times New Roman;serif" w:hAnsi="Times New Roman;serif"/>
          <w:b w:val="false"/>
          <w:color w:val="000000"/>
          <w:sz w:val="20"/>
        </w:rPr>
        <w:t>. Except as otherwise provided below, payment of the 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pStyle w:val="TextBody"/>
        <w:bidi w:val="0"/>
        <w:spacing w:lineRule="auto" w:line="288" w:before="0" w:after="180"/>
        <w:ind w:left="0" w:right="0" w:firstLine="720"/>
        <w:jc w:val="left"/>
        <w:rPr/>
      </w:pPr>
      <w:r>
        <w:rPr>
          <w:rFonts w:ascii="Times New Roman;serif" w:hAnsi="Times New Roman;serif"/>
          <w:b/>
          <w:color w:val="000000"/>
          <w:sz w:val="20"/>
        </w:rPr>
        <w:t>(b) Limitations on Forms of Consideration</w:t>
      </w:r>
      <w:r>
        <w:rPr>
          <w:rFonts w:ascii="Times New Roman;serif" w:hAnsi="Times New Roman;serif"/>
          <w:b w:val="false"/>
          <w:color w:val="000000"/>
          <w:sz w:val="20"/>
        </w:rPr>
        <w:t>.</w:t>
      </w:r>
    </w:p>
    <w:p>
      <w:pPr>
        <w:pStyle w:val="TextBody"/>
        <w:bidi w:val="0"/>
        <w:spacing w:lineRule="auto" w:line="288" w:before="0" w:after="180"/>
        <w:ind w:left="0" w:right="0" w:firstLine="1440"/>
        <w:jc w:val="left"/>
        <w:rPr/>
      </w:pPr>
      <w:r>
        <w:rPr>
          <w:rFonts w:ascii="Times New Roman;serif" w:hAnsi="Times New Roman;serif"/>
          <w:b/>
          <w:color w:val="000000"/>
          <w:sz w:val="20"/>
        </w:rPr>
        <w:t>(i) Cashless Exercise</w:t>
      </w:r>
      <w:r>
        <w:rPr>
          <w:rFonts w:ascii="Times New Roman;serif" w:hAnsi="Times New Roman;serif"/>
          <w:b w:val="false"/>
          <w:color w:val="000000"/>
          <w:sz w:val="20"/>
        </w:rPr>
        <w:t>. A “</w:t>
      </w:r>
      <w:r>
        <w:rPr>
          <w:rFonts w:ascii="Times New Roman;serif" w:hAnsi="Times New Roman;serif"/>
          <w:b/>
          <w:color w:val="000000"/>
          <w:sz w:val="20"/>
        </w:rPr>
        <w:t>Cashless Exercise</w:t>
      </w:r>
      <w:r>
        <w:rPr>
          <w:color w:val="000000"/>
        </w:rPr>
        <w:t xml:space="preserve">” </w:t>
      </w:r>
      <w:r>
        <w:rPr>
          <w:rFonts w:ascii="Times New Roman;serif" w:hAnsi="Times New Roman;serif"/>
          <w:b w:val="false"/>
          <w:color w:val="000000"/>
          <w:sz w:val="20"/>
        </w:rPr>
        <w:t>means the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ind w:left="0" w:right="0" w:firstLine="1440"/>
        <w:jc w:val="left"/>
        <w:rPr/>
      </w:pPr>
      <w:r>
        <w:rPr>
          <w:rFonts w:ascii="Times New Roman;serif" w:hAnsi="Times New Roman;serif"/>
          <w:b/>
          <w:color w:val="000000"/>
          <w:sz w:val="20"/>
        </w:rPr>
        <w:t>(ii) Stock Tender Exercise</w:t>
      </w:r>
      <w:r>
        <w:rPr>
          <w:rFonts w:ascii="Times New Roman;serif" w:hAnsi="Times New Roman;serif"/>
          <w:b w:val="false"/>
          <w:color w:val="000000"/>
          <w:sz w:val="20"/>
        </w:rPr>
        <w:t>. A “</w:t>
      </w:r>
      <w:r>
        <w:rPr>
          <w:rFonts w:ascii="Times New Roman;serif" w:hAnsi="Times New Roman;serif"/>
          <w:b/>
          <w:color w:val="000000"/>
          <w:sz w:val="20"/>
        </w:rPr>
        <w:t>Stock Tender Exercise</w:t>
      </w:r>
      <w:r>
        <w:rPr>
          <w:color w:val="000000"/>
        </w:rPr>
        <w:t xml:space="preserve">” </w:t>
      </w:r>
      <w:r>
        <w:rPr>
          <w:rFonts w:ascii="Times New Roman;serif" w:hAnsi="Times New Roman;serif"/>
          <w:b w:val="false"/>
          <w:color w:val="000000"/>
          <w:sz w:val="20"/>
        </w:rPr>
        <w:t>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pStyle w:val="TextBody"/>
        <w:bidi w:val="0"/>
        <w:spacing w:lineRule="auto" w:line="288" w:before="0" w:after="180"/>
        <w:ind w:left="0" w:right="0" w:firstLine="1440"/>
        <w:jc w:val="left"/>
        <w:rPr/>
      </w:pPr>
      <w:r>
        <w:rPr>
          <w:rFonts w:ascii="Times New Roman;serif" w:hAnsi="Times New Roman;serif"/>
          <w:b/>
          <w:color w:val="000000"/>
          <w:sz w:val="20"/>
        </w:rPr>
        <w:t>(iii) Net Exercise</w:t>
      </w:r>
      <w:r>
        <w:rPr>
          <w:rFonts w:ascii="Times New Roman;serif" w:hAnsi="Times New Roman;serif"/>
          <w:b w:val="false"/>
          <w:color w:val="000000"/>
          <w:sz w:val="20"/>
        </w:rPr>
        <w:t>. A “</w:t>
      </w:r>
      <w:r>
        <w:rPr>
          <w:rFonts w:ascii="Times New Roman;serif" w:hAnsi="Times New Roman;serif"/>
          <w:b/>
          <w:color w:val="000000"/>
          <w:sz w:val="20"/>
        </w:rPr>
        <w:t>Net Exercise</w:t>
      </w:r>
      <w:r>
        <w:rPr>
          <w:color w:val="000000"/>
        </w:rPr>
        <w:t xml:space="preserve">” </w:t>
      </w:r>
      <w:r>
        <w:rPr>
          <w:rFonts w:ascii="Times New Roman;serif" w:hAnsi="Times New Roman;serif"/>
          <w:b w:val="false"/>
          <w:color w:val="000000"/>
          <w:sz w:val="20"/>
        </w:rPr>
        <w:t>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pStyle w:val="TextBody"/>
        <w:bidi w:val="0"/>
        <w:spacing w:lineRule="auto" w:line="288" w:before="0" w:after="180"/>
        <w:jc w:val="left"/>
        <w:rPr/>
      </w:pPr>
      <w:r>
        <w:rPr>
          <w:rFonts w:ascii="Times New Roman;serif" w:hAnsi="Times New Roman;serif"/>
          <w:b w:val="false"/>
          <w:color w:val="000000"/>
          <w:sz w:val="20"/>
        </w:rPr>
        <w:t>6.4.</w:t>
      </w:r>
      <w:r>
        <w:rPr>
          <w:rFonts w:ascii="Times New Roman;serif" w:hAnsi="Times New Roman;serif"/>
          <w:b/>
          <w:color w:val="000000"/>
          <w:sz w:val="20"/>
        </w:rPr>
        <w:t>Effect of Termination of Service</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color w:val="000000"/>
          <w:sz w:val="20"/>
        </w:rPr>
        <w:t>(a) Option Exercisability</w:t>
      </w:r>
      <w:r>
        <w:rPr>
          <w:rFonts w:ascii="Times New Roman;serif" w:hAnsi="Times New Roman;serif"/>
          <w:b w:val="false"/>
          <w:color w:val="000000"/>
          <w:sz w:val="20"/>
        </w:rPr>
        <w:t>. Subject to earlier termination of the Option as otherwise provided by this Plan and unless 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Times New Roman;serif" w:hAnsi="Times New Roman;serif"/>
          <w:b/>
          <w:color w:val="000000"/>
          <w:sz w:val="20"/>
        </w:rPr>
        <w:t>Option Expiration Date</w:t>
      </w:r>
      <w:r>
        <w:rPr>
          <w:color w:val="000000"/>
        </w:rPr>
        <w:t>”</w:t>
      </w:r>
      <w:r>
        <w:rPr>
          <w:rFonts w:ascii="Times New Roman;serif" w:hAnsi="Times New Roman;serif"/>
          <w:b w:val="false"/>
          <w:color w:val="000000"/>
          <w:sz w:val="20"/>
        </w:rPr>
        <w:t>), and thereafter shall terminate if not exercised during such period.</w:t>
      </w:r>
    </w:p>
    <w:p>
      <w:pPr>
        <w:pStyle w:val="TextBody"/>
        <w:bidi w:val="0"/>
        <w:spacing w:lineRule="auto" w:line="288" w:before="0" w:after="180"/>
        <w:ind w:left="0" w:right="0" w:firstLine="1440"/>
        <w:jc w:val="left"/>
        <w:rPr/>
      </w:pPr>
      <w:r>
        <w:rPr>
          <w:rFonts w:ascii="Times New Roman;serif" w:hAnsi="Times New Roman;serif"/>
          <w:b/>
          <w:color w:val="000000"/>
          <w:sz w:val="20"/>
        </w:rPr>
        <w:t>(i) Disability</w:t>
      </w:r>
      <w:r>
        <w:rPr>
          <w:rFonts w:ascii="Times New Roman;serif" w:hAnsi="Times New Roman;serif"/>
          <w:b w:val="false"/>
          <w:color w:val="000000"/>
          <w:sz w:val="20"/>
        </w:rPr>
        <w:t>.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pStyle w:val="TextBody"/>
        <w:bidi w:val="0"/>
        <w:spacing w:lineRule="auto" w:line="288" w:before="0" w:after="180"/>
        <w:ind w:left="0" w:right="0" w:firstLine="1440"/>
        <w:jc w:val="left"/>
        <w:rPr/>
      </w:pPr>
      <w:r>
        <w:rPr>
          <w:rFonts w:ascii="Times New Roman;serif" w:hAnsi="Times New Roman;serif"/>
          <w:b/>
          <w:color w:val="000000"/>
          <w:sz w:val="20"/>
        </w:rPr>
        <w:t>(ii) Death</w:t>
      </w:r>
      <w:r>
        <w:rPr>
          <w:rFonts w:ascii="Times New Roman;serif" w:hAnsi="Times New Roman;serif"/>
          <w:b w:val="false"/>
          <w:color w:val="000000"/>
          <w:sz w:val="20"/>
        </w:rPr>
        <w:t>.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pStyle w:val="TextBody"/>
        <w:bidi w:val="0"/>
        <w:spacing w:lineRule="auto" w:line="288" w:before="0" w:after="180"/>
        <w:ind w:left="0" w:right="0" w:firstLine="1440"/>
        <w:jc w:val="left"/>
        <w:rPr/>
      </w:pPr>
      <w:r>
        <w:rPr>
          <w:rFonts w:ascii="Times New Roman;serif" w:hAnsi="Times New Roman;serif"/>
          <w:b/>
          <w:color w:val="000000"/>
          <w:sz w:val="20"/>
        </w:rPr>
        <w:t>(iii) Termination for Cause</w:t>
      </w:r>
      <w:r>
        <w:rPr>
          <w:rFonts w:ascii="Times New Roman;serif" w:hAnsi="Times New Roman;serif"/>
          <w:b w:val="false"/>
          <w:color w:val="000000"/>
          <w:sz w:val="20"/>
        </w:rPr>
        <w:t>. Notwithstanding any other provision of the Plan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pStyle w:val="TextBody"/>
        <w:bidi w:val="0"/>
        <w:spacing w:lineRule="auto" w:line="288" w:before="0" w:after="180"/>
        <w:ind w:left="0" w:right="0" w:firstLine="1440"/>
        <w:jc w:val="left"/>
        <w:rPr/>
      </w:pPr>
      <w:r>
        <w:rPr>
          <w:rFonts w:ascii="Times New Roman;serif" w:hAnsi="Times New Roman;serif"/>
          <w:b/>
          <w:color w:val="000000"/>
          <w:sz w:val="20"/>
        </w:rPr>
        <w:t>(iv) Other Termination of Service</w:t>
      </w:r>
      <w:r>
        <w:rPr>
          <w:rFonts w:ascii="Times New Roman;serif" w:hAnsi="Times New Roman;serif"/>
          <w:b w:val="false"/>
          <w:color w:val="000000"/>
          <w:sz w:val="20"/>
        </w:rPr>
        <w:t>.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w:t>
      </w:r>
    </w:p>
    <w:p>
      <w:pPr>
        <w:pStyle w:val="TextBody"/>
        <w:bidi w:val="0"/>
        <w:spacing w:lineRule="auto" w:line="288" w:before="0" w:after="180"/>
        <w:ind w:left="0" w:right="0" w:firstLine="720"/>
        <w:jc w:val="left"/>
        <w:rPr/>
      </w:pPr>
      <w:r>
        <w:rPr>
          <w:rFonts w:ascii="Times New Roman;serif" w:hAnsi="Times New Roman;serif"/>
          <w:b/>
          <w:color w:val="000000"/>
          <w:sz w:val="20"/>
        </w:rPr>
        <w:t>(b) Extension if Exercise Prevented by Law</w:t>
      </w:r>
      <w:r>
        <w:rPr>
          <w:rFonts w:ascii="Times New Roman;serif" w:hAnsi="Times New Roman;serif"/>
          <w:b w:val="false"/>
          <w:color w:val="000000"/>
          <w:sz w:val="20"/>
        </w:rPr>
        <w:t>. Notwithstanding the foregoing, other than termination of Service for Cause, if the exercise of an Option within the Post-Termination Exercise Period is prevented by the provisions of Section 14 below or applicable law, the Option shall remain exercisable until the later of (i) thirty (30) days after the date such exercise first would no longer be prevented by such provisions or (ii) the end of the Post-Termination Exercise Period, but in any event no later than the Option Expiration Date.</w:t>
      </w:r>
    </w:p>
    <w:p>
      <w:pPr>
        <w:pStyle w:val="TextBody"/>
        <w:bidi w:val="0"/>
        <w:spacing w:lineRule="auto" w:line="288" w:before="0" w:after="180"/>
        <w:jc w:val="left"/>
        <w:rPr/>
      </w:pPr>
      <w:r>
        <w:rPr>
          <w:rFonts w:ascii="Times New Roman;serif" w:hAnsi="Times New Roman;serif"/>
          <w:b w:val="false"/>
          <w:color w:val="000000"/>
          <w:sz w:val="20"/>
        </w:rPr>
        <w:t>6.5.</w:t>
      </w:r>
      <w:r>
        <w:rPr>
          <w:rFonts w:ascii="Times New Roman;serif" w:hAnsi="Times New Roman;serif"/>
          <w:b/>
          <w:color w:val="000000"/>
          <w:sz w:val="20"/>
        </w:rPr>
        <w:t>Transferability of Options</w:t>
      </w:r>
      <w:r>
        <w:rPr>
          <w:rFonts w:ascii="Times New Roman;serif" w:hAnsi="Times New Roman;serif"/>
          <w:b w:val="false"/>
          <w:color w:val="000000"/>
          <w:sz w:val="20"/>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Option, only as permitted by applicable regulations under Section 421 of the Code in a manner that does not disqualify such Option as an Incentive Stock Option.</w:t>
      </w:r>
    </w:p>
    <w:p>
      <w:pPr>
        <w:pStyle w:val="TextBody"/>
        <w:bidi w:val="0"/>
        <w:spacing w:lineRule="auto" w:line="288" w:before="0" w:after="180"/>
        <w:jc w:val="left"/>
        <w:rPr/>
      </w:pPr>
      <w:r>
        <w:rPr>
          <w:rFonts w:ascii="Times New Roman;serif" w:hAnsi="Times New Roman;serif"/>
          <w:b/>
          <w:color w:val="000000"/>
          <w:sz w:val="20"/>
        </w:rPr>
        <w:t>7.</w:t>
      </w:r>
      <w:r>
        <w:rPr>
          <w:rFonts w:ascii="Times New Roman;serif" w:hAnsi="Times New Roman;serif"/>
          <w:b/>
          <w:color w:val="000000"/>
          <w:sz w:val="20"/>
        </w:rPr>
        <w:t>STOCK APPRECIATION RIGHTS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88" w:before="0" w:after="180"/>
        <w:jc w:val="left"/>
        <w:rPr/>
      </w:pPr>
      <w:r>
        <w:rPr>
          <w:rFonts w:ascii="Times New Roman;serif" w:hAnsi="Times New Roman;serif"/>
          <w:b w:val="false"/>
          <w:color w:val="000000"/>
          <w:sz w:val="20"/>
        </w:rPr>
        <w:t>7.1.</w:t>
      </w:r>
      <w:r>
        <w:rPr>
          <w:rFonts w:ascii="Times New Roman;serif" w:hAnsi="Times New Roman;serif"/>
          <w:b/>
          <w:color w:val="000000"/>
          <w:sz w:val="20"/>
        </w:rPr>
        <w:t>Types of SARs Authorized</w:t>
      </w:r>
      <w:r>
        <w:rPr>
          <w:rFonts w:ascii="Times New Roman;serif" w:hAnsi="Times New Roman;serif"/>
          <w:b w:val="false"/>
          <w:color w:val="000000"/>
          <w:sz w:val="20"/>
        </w:rPr>
        <w:t>. SARs may be granted in tandem with all or any portion of a related Option (a “</w:t>
      </w:r>
      <w:r>
        <w:rPr>
          <w:rFonts w:ascii="Times New Roman;serif" w:hAnsi="Times New Roman;serif"/>
          <w:b/>
          <w:color w:val="000000"/>
          <w:sz w:val="20"/>
        </w:rPr>
        <w:t>Tandem SAR</w:t>
      </w:r>
      <w:r>
        <w:rPr>
          <w:color w:val="000000"/>
        </w:rPr>
        <w:t>”</w:t>
      </w:r>
      <w:r>
        <w:rPr>
          <w:rFonts w:ascii="Times New Roman;serif" w:hAnsi="Times New Roman;serif"/>
          <w:b w:val="false"/>
          <w:color w:val="000000"/>
          <w:sz w:val="20"/>
        </w:rPr>
        <w:t>) or may be granted independently of any Option (a “</w:t>
      </w:r>
      <w:r>
        <w:rPr>
          <w:rFonts w:ascii="Times New Roman;serif" w:hAnsi="Times New Roman;serif"/>
          <w:b/>
          <w:color w:val="000000"/>
          <w:sz w:val="20"/>
        </w:rPr>
        <w:t>Freestanding SAR</w:t>
      </w:r>
      <w:r>
        <w:rPr>
          <w:color w:val="000000"/>
        </w:rPr>
        <w:t>”</w:t>
      </w:r>
      <w:r>
        <w:rPr>
          <w:rFonts w:ascii="Times New Roman;serif" w:hAnsi="Times New Roman;serif"/>
          <w:b w:val="false"/>
          <w:color w:val="000000"/>
          <w:sz w:val="20"/>
        </w:rPr>
        <w:t>). A Tandem SAR may only be granted concurrently with the grant of the related Option.</w:t>
      </w:r>
    </w:p>
    <w:p>
      <w:pPr>
        <w:pStyle w:val="TextBody"/>
        <w:bidi w:val="0"/>
        <w:spacing w:lineRule="auto" w:line="288" w:before="0" w:after="180"/>
        <w:jc w:val="left"/>
        <w:rPr/>
      </w:pPr>
      <w:r>
        <w:rPr>
          <w:rFonts w:ascii="Times New Roman;serif" w:hAnsi="Times New Roman;serif"/>
          <w:b w:val="false"/>
          <w:color w:val="000000"/>
          <w:sz w:val="20"/>
        </w:rPr>
        <w:t>7.2.</w:t>
      </w:r>
      <w:r>
        <w:rPr>
          <w:rFonts w:ascii="Times New Roman;serif" w:hAnsi="Times New Roman;serif"/>
          <w:b/>
          <w:color w:val="000000"/>
          <w:sz w:val="20"/>
        </w:rPr>
        <w:t>Exercise Price</w:t>
      </w:r>
      <w:r>
        <w:rPr>
          <w:rFonts w:ascii="Times New Roman;serif" w:hAnsi="Times New Roman;serif"/>
          <w:b w:val="false"/>
          <w:color w:val="000000"/>
          <w:sz w:val="20"/>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pStyle w:val="TextBody"/>
        <w:bidi w:val="0"/>
        <w:spacing w:lineRule="auto" w:line="288" w:before="0" w:after="180"/>
        <w:jc w:val="left"/>
        <w:rPr/>
      </w:pPr>
      <w:r>
        <w:rPr>
          <w:rFonts w:ascii="Times New Roman;serif" w:hAnsi="Times New Roman;serif"/>
          <w:b w:val="false"/>
          <w:color w:val="000000"/>
          <w:sz w:val="20"/>
        </w:rPr>
        <w:t>7.3.</w:t>
      </w:r>
      <w:r>
        <w:rPr>
          <w:rFonts w:ascii="Times New Roman;serif" w:hAnsi="Times New Roman;serif"/>
          <w:b/>
          <w:color w:val="000000"/>
          <w:sz w:val="20"/>
        </w:rPr>
        <w:t>Exercisability and Term of SARs</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color w:val="000000"/>
          <w:sz w:val="20"/>
        </w:rPr>
        <w:t>(a) Tandem SARs</w:t>
      </w:r>
      <w:r>
        <w:rPr>
          <w:rFonts w:ascii="Times New Roman;serif" w:hAnsi="Times New Roman;serif"/>
          <w:b w:val="false"/>
          <w:color w:val="000000"/>
          <w:sz w:val="20"/>
        </w:rPr>
        <w:t>. 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pStyle w:val="TextBody"/>
        <w:bidi w:val="0"/>
        <w:spacing w:lineRule="auto" w:line="288" w:before="0" w:after="180"/>
        <w:ind w:left="0" w:right="0" w:firstLine="720"/>
        <w:jc w:val="left"/>
        <w:rPr/>
      </w:pPr>
      <w:r>
        <w:rPr>
          <w:rFonts w:ascii="Times New Roman;serif" w:hAnsi="Times New Roman;serif"/>
          <w:b/>
          <w:color w:val="000000"/>
          <w:sz w:val="20"/>
        </w:rPr>
        <w:t>(b) Freestanding SARs</w:t>
      </w:r>
      <w:r>
        <w:rPr>
          <w:rFonts w:ascii="Times New Roman;serif" w:hAnsi="Times New Roman;serif"/>
          <w:b w:val="false"/>
          <w:color w:val="000000"/>
          <w:sz w:val="20"/>
        </w:rPr>
        <w:t>. Freestanding 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to the foregoing, unless otherwise specified by the Committee in the grant of a Freestanding SAR, each Freestanding SAR shall terminate ten (10) years after the effective date of grant of the SAR, unless earlier terminated in accordance with its provisions.</w:t>
      </w:r>
    </w:p>
    <w:p>
      <w:pPr>
        <w:pStyle w:val="TextBody"/>
        <w:bidi w:val="0"/>
        <w:spacing w:lineRule="auto" w:line="288" w:before="0" w:after="180"/>
        <w:jc w:val="left"/>
        <w:rPr/>
      </w:pPr>
      <w:r>
        <w:rPr>
          <w:rFonts w:ascii="Times New Roman;serif" w:hAnsi="Times New Roman;serif"/>
          <w:b w:val="false"/>
          <w:color w:val="000000"/>
          <w:sz w:val="20"/>
        </w:rPr>
        <w:t>7.4.</w:t>
      </w:r>
      <w:r>
        <w:rPr>
          <w:rFonts w:ascii="Times New Roman;serif" w:hAnsi="Times New Roman;serif"/>
          <w:b/>
          <w:color w:val="000000"/>
          <w:sz w:val="20"/>
        </w:rPr>
        <w:t>Exercise of SARs</w:t>
      </w:r>
      <w:r>
        <w:rPr>
          <w:rFonts w:ascii="Times New Roman;serif" w:hAnsi="Times New Roman;serif"/>
          <w:b w:val="false"/>
          <w:color w:val="000000"/>
          <w:sz w:val="20"/>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pStyle w:val="TextBody"/>
        <w:bidi w:val="0"/>
        <w:spacing w:lineRule="auto" w:line="288" w:before="0" w:after="180"/>
        <w:jc w:val="left"/>
        <w:rPr/>
      </w:pPr>
      <w:r>
        <w:rPr>
          <w:rFonts w:ascii="Times New Roman;serif" w:hAnsi="Times New Roman;serif"/>
          <w:b w:val="false"/>
          <w:color w:val="000000"/>
          <w:sz w:val="20"/>
        </w:rPr>
        <w:t>7.5.</w:t>
      </w:r>
      <w:r>
        <w:rPr>
          <w:rFonts w:ascii="Times New Roman;serif" w:hAnsi="Times New Roman;serif"/>
          <w:b/>
          <w:color w:val="000000"/>
          <w:sz w:val="20"/>
        </w:rPr>
        <w:t>Deemed Exercise of SARs</w:t>
      </w:r>
      <w:r>
        <w:rPr>
          <w:rFonts w:ascii="Times New Roman;serif" w:hAnsi="Times New Roman;serif"/>
          <w:b w:val="false"/>
          <w:color w:val="000000"/>
          <w:sz w:val="20"/>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pStyle w:val="TextBody"/>
        <w:bidi w:val="0"/>
        <w:spacing w:lineRule="auto" w:line="288" w:before="0" w:after="180"/>
        <w:jc w:val="left"/>
        <w:rPr/>
      </w:pPr>
      <w:r>
        <w:rPr>
          <w:rFonts w:ascii="Times New Roman;serif" w:hAnsi="Times New Roman;serif"/>
          <w:b w:val="false"/>
          <w:color w:val="000000"/>
          <w:sz w:val="20"/>
        </w:rPr>
        <w:t>7.6.</w:t>
      </w:r>
      <w:r>
        <w:rPr>
          <w:rFonts w:ascii="Times New Roman;serif" w:hAnsi="Times New Roman;serif"/>
          <w:b/>
          <w:color w:val="000000"/>
          <w:sz w:val="20"/>
        </w:rPr>
        <w:t>Effect of Termination of Service</w:t>
      </w:r>
      <w:r>
        <w:rPr>
          <w:rFonts w:ascii="Times New Roman;serif" w:hAnsi="Times New Roman;serif"/>
          <w:b w:val="false"/>
          <w:color w:val="000000"/>
          <w:sz w:val="20"/>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pStyle w:val="TextBody"/>
        <w:bidi w:val="0"/>
        <w:spacing w:lineRule="auto" w:line="288" w:before="0" w:after="180"/>
        <w:jc w:val="left"/>
        <w:rPr/>
      </w:pPr>
      <w:r>
        <w:rPr>
          <w:rFonts w:ascii="Times New Roman;serif" w:hAnsi="Times New Roman;serif"/>
          <w:b w:val="false"/>
          <w:color w:val="000000"/>
          <w:sz w:val="20"/>
        </w:rPr>
        <w:t>7.7.</w:t>
      </w:r>
      <w:r>
        <w:rPr>
          <w:rFonts w:ascii="Times New Roman;serif" w:hAnsi="Times New Roman;serif"/>
          <w:b/>
          <w:color w:val="000000"/>
          <w:sz w:val="20"/>
        </w:rPr>
        <w:t>Transferability of SARs</w:t>
      </w:r>
      <w:r>
        <w:rPr>
          <w:rFonts w:ascii="Times New Roman;serif" w:hAnsi="Times New Roman;serif"/>
          <w:b w:val="false"/>
          <w:color w:val="000000"/>
          <w:sz w:val="20"/>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pStyle w:val="TextBody"/>
        <w:bidi w:val="0"/>
        <w:spacing w:lineRule="auto" w:line="288" w:before="0" w:after="180"/>
        <w:jc w:val="left"/>
        <w:rPr/>
      </w:pPr>
      <w:r>
        <w:rPr>
          <w:rFonts w:ascii="Times New Roman;serif" w:hAnsi="Times New Roman;serif"/>
          <w:b/>
          <w:color w:val="000000"/>
          <w:sz w:val="20"/>
        </w:rPr>
        <w:t>8.</w:t>
      </w:r>
      <w:r>
        <w:rPr>
          <w:rFonts w:ascii="Times New Roman;serif" w:hAnsi="Times New Roman;serif"/>
          <w:b/>
          <w:color w:val="000000"/>
          <w:sz w:val="20"/>
        </w:rPr>
        <w:t>RESTRICTED STOCK AWARDS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88" w:before="0" w:after="180"/>
        <w:jc w:val="left"/>
        <w:rPr/>
      </w:pPr>
      <w:r>
        <w:rPr>
          <w:rFonts w:ascii="Times New Roman;serif" w:hAnsi="Times New Roman;serif"/>
          <w:b w:val="false"/>
          <w:color w:val="000000"/>
          <w:sz w:val="20"/>
        </w:rPr>
        <w:t>8.1.</w:t>
      </w:r>
      <w:r>
        <w:rPr>
          <w:rFonts w:ascii="Times New Roman;serif" w:hAnsi="Times New Roman;serif"/>
          <w:b/>
          <w:color w:val="000000"/>
          <w:sz w:val="20"/>
        </w:rPr>
        <w:t>Types of Restricted Stock Awards Authorized</w:t>
      </w:r>
      <w:r>
        <w:rPr>
          <w:rFonts w:ascii="Times New Roman;serif" w:hAnsi="Times New Roman;serif"/>
          <w:b w:val="false"/>
          <w:color w:val="000000"/>
          <w:sz w:val="20"/>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pStyle w:val="TextBody"/>
        <w:bidi w:val="0"/>
        <w:spacing w:lineRule="auto" w:line="288" w:before="0" w:after="180"/>
        <w:jc w:val="left"/>
        <w:rPr/>
      </w:pPr>
      <w:r>
        <w:rPr>
          <w:rFonts w:ascii="Times New Roman;serif" w:hAnsi="Times New Roman;serif"/>
          <w:b w:val="false"/>
          <w:color w:val="000000"/>
          <w:sz w:val="20"/>
        </w:rPr>
        <w:t>8.2.</w:t>
      </w:r>
      <w:r>
        <w:rPr>
          <w:rFonts w:ascii="Times New Roman;serif" w:hAnsi="Times New Roman;serif"/>
          <w:b/>
          <w:color w:val="000000"/>
          <w:sz w:val="20"/>
        </w:rPr>
        <w:t>Purchase Price</w:t>
      </w:r>
      <w:r>
        <w:rPr>
          <w:rFonts w:ascii="Times New Roman;serif" w:hAnsi="Times New Roman;serif"/>
          <w:b w:val="false"/>
          <w:color w:val="000000"/>
          <w:sz w:val="20"/>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pStyle w:val="TextBody"/>
        <w:bidi w:val="0"/>
        <w:spacing w:lineRule="auto" w:line="288" w:before="0" w:after="180"/>
        <w:jc w:val="left"/>
        <w:rPr/>
      </w:pPr>
      <w:r>
        <w:rPr>
          <w:rFonts w:ascii="Times New Roman;serif" w:hAnsi="Times New Roman;serif"/>
          <w:b w:val="false"/>
          <w:color w:val="000000"/>
          <w:sz w:val="20"/>
        </w:rPr>
        <w:t>8.3.</w:t>
      </w:r>
      <w:r>
        <w:rPr>
          <w:rFonts w:ascii="Times New Roman;serif" w:hAnsi="Times New Roman;serif"/>
          <w:b/>
          <w:color w:val="000000"/>
          <w:sz w:val="20"/>
        </w:rPr>
        <w:t>Purchase Period</w:t>
      </w:r>
      <w:r>
        <w:rPr>
          <w:rFonts w:ascii="Times New Roman;serif" w:hAnsi="Times New Roman;serif"/>
          <w:b w:val="false"/>
          <w:color w:val="000000"/>
          <w:sz w:val="20"/>
        </w:rPr>
        <w:t>. A Restricted Stock Purchase Right shall be exercisable within a period established by the Committee, which shall in no event exceed thirty (30) days from the effective date of the grant of the Restricted Stock Purchase Right.</w:t>
      </w:r>
    </w:p>
    <w:p>
      <w:pPr>
        <w:pStyle w:val="TextBody"/>
        <w:bidi w:val="0"/>
        <w:spacing w:lineRule="auto" w:line="288" w:before="0" w:after="180"/>
        <w:jc w:val="left"/>
        <w:rPr/>
      </w:pPr>
      <w:r>
        <w:rPr>
          <w:rFonts w:ascii="Times New Roman;serif" w:hAnsi="Times New Roman;serif"/>
          <w:b w:val="false"/>
          <w:color w:val="000000"/>
          <w:sz w:val="20"/>
        </w:rPr>
        <w:t>8.4.</w:t>
      </w:r>
      <w:r>
        <w:rPr>
          <w:rFonts w:ascii="Times New Roman;serif" w:hAnsi="Times New Roman;serif"/>
          <w:b/>
          <w:color w:val="000000"/>
          <w:sz w:val="20"/>
        </w:rPr>
        <w:t>Payment of Purchase Price</w:t>
      </w:r>
      <w:r>
        <w:rPr>
          <w:rFonts w:ascii="Times New Roman;serif" w:hAnsi="Times New Roman;serif"/>
          <w:b w:val="false"/>
          <w:color w:val="000000"/>
          <w:sz w:val="20"/>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pStyle w:val="TextBody"/>
        <w:bidi w:val="0"/>
        <w:spacing w:lineRule="auto" w:line="288" w:before="0" w:after="180"/>
        <w:jc w:val="left"/>
        <w:rPr/>
      </w:pPr>
      <w:r>
        <w:rPr>
          <w:rFonts w:ascii="Times New Roman;serif" w:hAnsi="Times New Roman;serif"/>
          <w:b w:val="false"/>
          <w:color w:val="000000"/>
          <w:sz w:val="20"/>
        </w:rPr>
        <w:t>8.5.</w:t>
      </w:r>
      <w:r>
        <w:rPr>
          <w:rFonts w:ascii="Times New Roman;serif" w:hAnsi="Times New Roman;serif"/>
          <w:b/>
          <w:color w:val="000000"/>
          <w:sz w:val="20"/>
        </w:rPr>
        <w:t>Vesting and Restrictions on Transfer</w:t>
      </w:r>
      <w:r>
        <w:rPr>
          <w:rFonts w:ascii="Times New Roman;serif" w:hAnsi="Times New Roman;serif"/>
          <w:b w:val="false"/>
          <w:color w:val="000000"/>
          <w:sz w:val="20"/>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certificates representing shares of Stock acquired hereunder for the placement on such certificates of appropriate legends evidencing any such transfer restrictions.</w:t>
      </w:r>
    </w:p>
    <w:p>
      <w:pPr>
        <w:pStyle w:val="TextBody"/>
        <w:bidi w:val="0"/>
        <w:spacing w:lineRule="auto" w:line="288" w:before="0" w:after="180"/>
        <w:jc w:val="left"/>
        <w:rPr/>
      </w:pPr>
      <w:r>
        <w:rPr>
          <w:rFonts w:ascii="Times New Roman;serif" w:hAnsi="Times New Roman;serif"/>
          <w:b w:val="false"/>
          <w:color w:val="000000"/>
          <w:sz w:val="20"/>
        </w:rPr>
        <w:t>8.6.</w:t>
      </w:r>
      <w:r>
        <w:rPr>
          <w:rFonts w:ascii="Times New Roman;serif" w:hAnsi="Times New Roman;serif"/>
          <w:b/>
          <w:color w:val="000000"/>
          <w:sz w:val="20"/>
        </w:rPr>
        <w:t>Voting Rights; Dividends and Distributions</w:t>
      </w:r>
      <w:r>
        <w:rPr>
          <w:rFonts w:ascii="Times New Roman;serif" w:hAnsi="Times New Roman;serif"/>
          <w:b w:val="false"/>
          <w:color w:val="000000"/>
          <w:sz w:val="20"/>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if so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4.3,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pStyle w:val="TextBody"/>
        <w:bidi w:val="0"/>
        <w:spacing w:lineRule="auto" w:line="288" w:before="0" w:after="180"/>
        <w:jc w:val="left"/>
        <w:rPr/>
      </w:pPr>
      <w:r>
        <w:rPr>
          <w:rFonts w:ascii="Times New Roman;serif" w:hAnsi="Times New Roman;serif"/>
          <w:b w:val="false"/>
          <w:color w:val="000000"/>
          <w:sz w:val="20"/>
        </w:rPr>
        <w:t>8.7.</w:t>
      </w:r>
      <w:r>
        <w:rPr>
          <w:rFonts w:ascii="Times New Roman;serif" w:hAnsi="Times New Roman;serif"/>
          <w:b/>
          <w:color w:val="000000"/>
          <w:sz w:val="20"/>
        </w:rPr>
        <w:t>Effect of Termination of Service</w:t>
      </w:r>
      <w:r>
        <w:rPr>
          <w:rFonts w:ascii="Times New Roman;serif" w:hAnsi="Times New Roman;serif"/>
          <w:b w:val="false"/>
          <w:color w:val="000000"/>
          <w:sz w:val="20"/>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pStyle w:val="TextBody"/>
        <w:bidi w:val="0"/>
        <w:spacing w:lineRule="auto" w:line="288" w:before="0" w:after="180"/>
        <w:jc w:val="left"/>
        <w:rPr/>
      </w:pPr>
      <w:r>
        <w:rPr>
          <w:rFonts w:ascii="Times New Roman;serif" w:hAnsi="Times New Roman;serif"/>
          <w:b w:val="false"/>
          <w:color w:val="000000"/>
          <w:sz w:val="20"/>
        </w:rPr>
        <w:t>8.8.</w:t>
      </w:r>
      <w:r>
        <w:rPr>
          <w:rFonts w:ascii="Times New Roman;serif" w:hAnsi="Times New Roman;serif"/>
          <w:b/>
          <w:color w:val="000000"/>
          <w:sz w:val="20"/>
        </w:rPr>
        <w:t>Nontransferability of Restricted Stock Award Rights</w:t>
      </w:r>
      <w:r>
        <w:rPr>
          <w:rFonts w:ascii="Times New Roman;serif" w:hAnsi="Times New Roman;serif"/>
          <w:b w:val="false"/>
          <w:color w:val="000000"/>
          <w:sz w:val="20"/>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pStyle w:val="TextBody"/>
        <w:bidi w:val="0"/>
        <w:spacing w:lineRule="auto" w:line="288" w:before="0" w:after="180"/>
        <w:jc w:val="left"/>
        <w:rPr/>
      </w:pPr>
      <w:r>
        <w:rPr>
          <w:rFonts w:ascii="Times New Roman;serif" w:hAnsi="Times New Roman;serif"/>
          <w:b/>
          <w:color w:val="000000"/>
          <w:sz w:val="20"/>
        </w:rPr>
        <w:t>9.</w:t>
      </w:r>
      <w:r>
        <w:rPr>
          <w:rFonts w:ascii="Times New Roman;serif" w:hAnsi="Times New Roman;serif"/>
          <w:b/>
          <w:color w:val="000000"/>
          <w:sz w:val="20"/>
        </w:rPr>
        <w:t>RESTRICTED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88" w:before="0" w:after="180"/>
        <w:jc w:val="left"/>
        <w:rPr/>
      </w:pPr>
      <w:r>
        <w:rPr>
          <w:rFonts w:ascii="Times New Roman;serif" w:hAnsi="Times New Roman;serif"/>
          <w:b w:val="false"/>
          <w:color w:val="000000"/>
          <w:sz w:val="20"/>
        </w:rPr>
        <w:t>9.1.</w:t>
      </w:r>
      <w:r>
        <w:rPr>
          <w:rFonts w:ascii="Times New Roman;serif" w:hAnsi="Times New Roman;serif"/>
          <w:b/>
          <w:color w:val="000000"/>
          <w:sz w:val="20"/>
        </w:rPr>
        <w:t>Grant of Restricted Stock Unit Awards</w:t>
      </w:r>
      <w:r>
        <w:rPr>
          <w:rFonts w:ascii="Times New Roman;serif" w:hAnsi="Times New Roman;serif"/>
          <w:b w:val="false"/>
          <w:color w:val="000000"/>
          <w:sz w:val="20"/>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pStyle w:val="TextBody"/>
        <w:bidi w:val="0"/>
        <w:spacing w:lineRule="auto" w:line="288" w:before="0" w:after="180"/>
        <w:jc w:val="left"/>
        <w:rPr/>
      </w:pPr>
      <w:r>
        <w:rPr>
          <w:rFonts w:ascii="Times New Roman;serif" w:hAnsi="Times New Roman;serif"/>
          <w:b w:val="false"/>
          <w:color w:val="000000"/>
          <w:sz w:val="20"/>
        </w:rPr>
        <w:t>9.2.</w:t>
      </w:r>
      <w:r>
        <w:rPr>
          <w:rFonts w:ascii="Times New Roman;serif" w:hAnsi="Times New Roman;serif"/>
          <w:b/>
          <w:color w:val="000000"/>
          <w:sz w:val="20"/>
        </w:rPr>
        <w:t>Purchase Price</w:t>
      </w:r>
      <w:r>
        <w:rPr>
          <w:rFonts w:ascii="Times New Roman;serif" w:hAnsi="Times New Roman;serif"/>
          <w:b w:val="false"/>
          <w:color w:val="000000"/>
          <w:sz w:val="20"/>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pStyle w:val="TextBody"/>
        <w:bidi w:val="0"/>
        <w:spacing w:lineRule="auto" w:line="288" w:before="0" w:after="180"/>
        <w:jc w:val="left"/>
        <w:rPr/>
      </w:pPr>
      <w:r>
        <w:rPr>
          <w:rFonts w:ascii="Times New Roman;serif" w:hAnsi="Times New Roman;serif"/>
          <w:b w:val="false"/>
          <w:color w:val="000000"/>
          <w:sz w:val="20"/>
        </w:rPr>
        <w:t>9.3.</w:t>
      </w:r>
      <w:r>
        <w:rPr>
          <w:rFonts w:ascii="Times New Roman;serif" w:hAnsi="Times New Roman;serif"/>
          <w:b/>
          <w:color w:val="000000"/>
          <w:sz w:val="20"/>
        </w:rPr>
        <w:t>Vesting</w:t>
      </w:r>
      <w:r>
        <w:rPr>
          <w:rFonts w:ascii="Times New Roman;serif" w:hAnsi="Times New Roman;serif"/>
          <w:b w:val="false"/>
          <w:color w:val="000000"/>
          <w:sz w:val="20"/>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pStyle w:val="TextBody"/>
        <w:bidi w:val="0"/>
        <w:spacing w:lineRule="auto" w:line="288" w:before="0" w:after="180"/>
        <w:jc w:val="left"/>
        <w:rPr/>
      </w:pPr>
      <w:r>
        <w:rPr>
          <w:rFonts w:ascii="Times New Roman;serif" w:hAnsi="Times New Roman;serif"/>
          <w:b w:val="false"/>
          <w:color w:val="000000"/>
          <w:sz w:val="20"/>
        </w:rPr>
        <w:t>9.4.</w:t>
      </w:r>
      <w:r>
        <w:rPr>
          <w:rFonts w:ascii="Times New Roman;serif" w:hAnsi="Times New Roman;serif"/>
          <w:b/>
          <w:color w:val="000000"/>
          <w:sz w:val="20"/>
        </w:rPr>
        <w:t>Voting Rights, Dividend Equivalent Rights and Distributions</w:t>
      </w:r>
      <w:r>
        <w:rPr>
          <w:rFonts w:ascii="Times New Roman;serif" w:hAnsi="Times New Roman;serif"/>
          <w:b w:val="false"/>
          <w:color w:val="000000"/>
          <w:sz w:val="20"/>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If so determined by the Committee and provided by the Award Agreement, such cash amount or additional Restricted Stock Units shall be subject to the same terms and conditions (including vesting terms)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pStyle w:val="TextBody"/>
        <w:bidi w:val="0"/>
        <w:spacing w:lineRule="auto" w:line="288" w:before="0" w:after="180"/>
        <w:jc w:val="left"/>
        <w:rPr/>
      </w:pPr>
      <w:r>
        <w:rPr>
          <w:rFonts w:ascii="Times New Roman;serif" w:hAnsi="Times New Roman;serif"/>
          <w:b w:val="false"/>
          <w:color w:val="000000"/>
          <w:sz w:val="20"/>
        </w:rPr>
        <w:t>9.5.</w:t>
      </w:r>
      <w:r>
        <w:rPr>
          <w:rFonts w:ascii="Times New Roman;serif" w:hAnsi="Times New Roman;serif"/>
          <w:b/>
          <w:color w:val="000000"/>
          <w:sz w:val="20"/>
        </w:rPr>
        <w:t>Effect of Termination of Service</w:t>
      </w:r>
      <w:r>
        <w:rPr>
          <w:rFonts w:ascii="Times New Roman;serif" w:hAnsi="Times New Roman;serif"/>
          <w:b w:val="false"/>
          <w:color w:val="000000"/>
          <w:sz w:val="20"/>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pStyle w:val="TextBody"/>
        <w:bidi w:val="0"/>
        <w:spacing w:lineRule="auto" w:line="288" w:before="0" w:after="180"/>
        <w:jc w:val="left"/>
        <w:rPr/>
      </w:pPr>
      <w:r>
        <w:rPr>
          <w:rFonts w:ascii="Times New Roman;serif" w:hAnsi="Times New Roman;serif"/>
          <w:b w:val="false"/>
          <w:color w:val="000000"/>
          <w:sz w:val="20"/>
        </w:rPr>
        <w:t>9.6.</w:t>
      </w:r>
      <w:r>
        <w:rPr>
          <w:rFonts w:ascii="Times New Roman;serif" w:hAnsi="Times New Roman;serif"/>
          <w:b/>
          <w:color w:val="000000"/>
          <w:sz w:val="20"/>
        </w:rPr>
        <w:t>Settlement of Restricted Stock Unit Awards</w:t>
      </w:r>
      <w:r>
        <w:rPr>
          <w:rFonts w:ascii="Times New Roman;serif" w:hAnsi="Times New Roman;serif"/>
          <w:b w:val="false"/>
          <w:color w:val="000000"/>
          <w:sz w:val="20"/>
        </w:rPr>
        <w:t>.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15th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pStyle w:val="TextBody"/>
        <w:bidi w:val="0"/>
        <w:spacing w:lineRule="auto" w:line="288" w:before="0" w:after="180"/>
        <w:jc w:val="left"/>
        <w:rPr/>
      </w:pPr>
      <w:r>
        <w:rPr>
          <w:rFonts w:ascii="Times New Roman;serif" w:hAnsi="Times New Roman;serif"/>
          <w:b w:val="false"/>
          <w:color w:val="000000"/>
          <w:sz w:val="20"/>
        </w:rPr>
        <w:t>9.7.</w:t>
      </w:r>
      <w:r>
        <w:rPr>
          <w:rFonts w:ascii="Times New Roman;serif" w:hAnsi="Times New Roman;serif"/>
          <w:b/>
          <w:color w:val="000000"/>
          <w:sz w:val="20"/>
        </w:rPr>
        <w:t>Nontransferability of Restricted Stock Unit Awards</w:t>
      </w:r>
      <w:r>
        <w:rPr>
          <w:rFonts w:ascii="Times New Roman;serif" w:hAnsi="Times New Roman;serif"/>
          <w:b w:val="false"/>
          <w:color w:val="000000"/>
          <w:sz w:val="20"/>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pStyle w:val="TextBody"/>
        <w:bidi w:val="0"/>
        <w:spacing w:lineRule="auto" w:line="288" w:before="0" w:after="180"/>
        <w:jc w:val="left"/>
        <w:rPr/>
      </w:pPr>
      <w:r>
        <w:rPr>
          <w:rFonts w:ascii="Times New Roman;serif" w:hAnsi="Times New Roman;serif"/>
          <w:b/>
          <w:color w:val="000000"/>
          <w:sz w:val="20"/>
        </w:rPr>
        <w:t>10.</w:t>
      </w:r>
      <w:r>
        <w:rPr>
          <w:rFonts w:ascii="Times New Roman;serif" w:hAnsi="Times New Roman;serif"/>
          <w:b/>
          <w:color w:val="000000"/>
          <w:sz w:val="20"/>
        </w:rPr>
        <w:t>PERFORMANCE AWARDS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88" w:before="0" w:after="180"/>
        <w:jc w:val="left"/>
        <w:rPr/>
      </w:pPr>
      <w:r>
        <w:rPr>
          <w:rFonts w:ascii="Times New Roman;serif" w:hAnsi="Times New Roman;serif"/>
          <w:b w:val="false"/>
          <w:color w:val="000000"/>
          <w:sz w:val="20"/>
        </w:rPr>
        <w:t>10.1.</w:t>
      </w:r>
      <w:r>
        <w:rPr>
          <w:rFonts w:ascii="Times New Roman;serif" w:hAnsi="Times New Roman;serif"/>
          <w:b/>
          <w:color w:val="000000"/>
          <w:sz w:val="20"/>
        </w:rPr>
        <w:t>Types of Performance Awards Authorized</w:t>
      </w:r>
      <w:r>
        <w:rPr>
          <w:rFonts w:ascii="Times New Roman;serif" w:hAnsi="Times New Roman;serif"/>
          <w:b w:val="false"/>
          <w:color w:val="000000"/>
          <w:sz w:val="20"/>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pStyle w:val="TextBody"/>
        <w:bidi w:val="0"/>
        <w:spacing w:lineRule="auto" w:line="288" w:before="0" w:after="180"/>
        <w:jc w:val="left"/>
        <w:rPr/>
      </w:pPr>
      <w:r>
        <w:rPr>
          <w:rFonts w:ascii="Times New Roman;serif" w:hAnsi="Times New Roman;serif"/>
          <w:b w:val="false"/>
          <w:color w:val="000000"/>
          <w:sz w:val="20"/>
        </w:rPr>
        <w:t>10.2.</w:t>
      </w:r>
      <w:r>
        <w:rPr>
          <w:rFonts w:ascii="Times New Roman;serif" w:hAnsi="Times New Roman;serif"/>
          <w:b/>
          <w:color w:val="000000"/>
          <w:sz w:val="20"/>
        </w:rPr>
        <w:t>Initial Value of Performance Shares and Performance Units</w:t>
      </w:r>
      <w:r>
        <w:rPr>
          <w:rFonts w:ascii="Times New Roman;serif" w:hAnsi="Times New Roman;serif"/>
          <w:b w:val="false"/>
          <w:color w:val="000000"/>
          <w:sz w:val="20"/>
        </w:rPr>
        <w:t xml:space="preserve">. Unless otherwise provided by the Committee in granting a Performance Award, each Performance Share shall have an initial monetary value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pStyle w:val="TextBody"/>
        <w:bidi w:val="0"/>
        <w:spacing w:lineRule="auto" w:line="288" w:before="0" w:after="180"/>
        <w:jc w:val="left"/>
        <w:rPr/>
      </w:pPr>
      <w:r>
        <w:rPr>
          <w:rFonts w:ascii="Times New Roman;serif" w:hAnsi="Times New Roman;serif"/>
          <w:b w:val="false"/>
          <w:color w:val="000000"/>
          <w:sz w:val="20"/>
        </w:rPr>
        <w:t>10.3.</w:t>
      </w:r>
      <w:r>
        <w:rPr>
          <w:rFonts w:ascii="Times New Roman;serif" w:hAnsi="Times New Roman;serif"/>
          <w:b/>
          <w:color w:val="000000"/>
          <w:sz w:val="20"/>
        </w:rPr>
        <w:t>Establishment of Performance Period, Performance Goals and Performance Award Formula</w:t>
      </w:r>
      <w:r>
        <w:rPr>
          <w:rFonts w:ascii="Times New Roman;serif" w:hAnsi="Times New Roman;serif"/>
          <w:b w:val="false"/>
          <w:color w:val="000000"/>
          <w:sz w:val="20"/>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pStyle w:val="TextBody"/>
        <w:bidi w:val="0"/>
        <w:spacing w:lineRule="auto" w:line="288" w:before="0" w:after="180"/>
        <w:jc w:val="left"/>
        <w:rPr/>
      </w:pPr>
      <w:r>
        <w:rPr>
          <w:rFonts w:ascii="Times New Roman;serif" w:hAnsi="Times New Roman;serif"/>
          <w:b w:val="false"/>
          <w:color w:val="000000"/>
          <w:sz w:val="20"/>
        </w:rPr>
        <w:t>10.4.</w:t>
      </w:r>
      <w:r>
        <w:rPr>
          <w:rFonts w:ascii="Times New Roman;serif" w:hAnsi="Times New Roman;serif"/>
          <w:b/>
          <w:color w:val="000000"/>
          <w:sz w:val="20"/>
        </w:rPr>
        <w:t>Measurement of Performance Goals</w:t>
      </w:r>
      <w:r>
        <w:rPr>
          <w:rFonts w:ascii="Times New Roman;serif" w:hAnsi="Times New Roman;serif"/>
          <w:b w:val="false"/>
          <w:color w:val="000000"/>
          <w:sz w:val="20"/>
        </w:rPr>
        <w:t>. Performance Goals shall be established by the Committee on the basis of targets to be attained (“</w:t>
      </w:r>
      <w:r>
        <w:rPr>
          <w:rFonts w:ascii="Times New Roman;serif" w:hAnsi="Times New Roman;serif"/>
          <w:b/>
          <w:color w:val="000000"/>
          <w:sz w:val="20"/>
        </w:rPr>
        <w:t>Performance Targets</w:t>
      </w:r>
      <w:r>
        <w:rPr>
          <w:color w:val="000000"/>
        </w:rPr>
        <w:t>”</w:t>
      </w:r>
      <w:r>
        <w:rPr>
          <w:rFonts w:ascii="Times New Roman;serif" w:hAnsi="Times New Roman;serif"/>
          <w:b w:val="false"/>
          <w:color w:val="000000"/>
          <w:sz w:val="20"/>
        </w:rPr>
        <w:t>) with respect to one or more measures of objective or subjective business, financial or individual performance or other performance criteria established by the Committee in its discretion (each, a “</w:t>
      </w:r>
      <w:r>
        <w:rPr>
          <w:rFonts w:ascii="Times New Roman;serif" w:hAnsi="Times New Roman;serif"/>
          <w:b/>
          <w:color w:val="000000"/>
          <w:sz w:val="20"/>
        </w:rPr>
        <w:t>Performance Measure</w:t>
      </w:r>
      <w:r>
        <w:rPr>
          <w:color w:val="000000"/>
        </w:rPr>
        <w:t>”</w:t>
      </w:r>
      <w:r>
        <w:rPr>
          <w:rFonts w:ascii="Times New Roman;serif" w:hAnsi="Times New Roman;serif"/>
          <w:b w:val="false"/>
          <w:color w:val="000000"/>
          <w:sz w:val="20"/>
        </w:rPr>
        <w:t>), subject to the following:</w:t>
      </w:r>
    </w:p>
    <w:p>
      <w:pPr>
        <w:pStyle w:val="TextBody"/>
        <w:bidi w:val="0"/>
        <w:spacing w:lineRule="auto" w:line="288" w:before="0" w:after="180"/>
        <w:ind w:left="0" w:right="0" w:firstLine="720"/>
        <w:jc w:val="left"/>
        <w:rPr/>
      </w:pPr>
      <w:r>
        <w:rPr>
          <w:rFonts w:ascii="Times New Roman;serif" w:hAnsi="Times New Roman;serif"/>
          <w:b/>
          <w:color w:val="000000"/>
          <w:sz w:val="20"/>
        </w:rPr>
        <w:t>(a) Performance Measures</w:t>
      </w:r>
      <w:r>
        <w:rPr>
          <w:rFonts w:ascii="Times New Roman;serif" w:hAnsi="Times New Roman;serif"/>
          <w:b w:val="false"/>
          <w:color w:val="000000"/>
          <w:sz w:val="20"/>
        </w:rPr>
        <w:t>. Unless otherwise determined by the Committee no later than the grant of the Performance Award,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no later than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pStyle w:val="TextBody"/>
        <w:bidi w:val="0"/>
        <w:spacing w:lineRule="auto" w:line="288" w:before="0" w:after="180"/>
        <w:ind w:left="0" w:right="0" w:firstLine="720"/>
        <w:jc w:val="left"/>
        <w:rPr/>
      </w:pPr>
      <w:r>
        <w:rPr>
          <w:rFonts w:ascii="Times New Roman;serif" w:hAnsi="Times New Roman;serif"/>
          <w:b/>
          <w:color w:val="000000"/>
          <w:sz w:val="20"/>
        </w:rPr>
        <w:t>(b) Performance Targets</w:t>
      </w:r>
      <w:r>
        <w:rPr>
          <w:rFonts w:ascii="Times New Roman;serif" w:hAnsi="Times New Roman;serif"/>
          <w:b w:val="false"/>
          <w:color w:val="000000"/>
          <w:sz w:val="20"/>
        </w:rPr>
        <w:t>. 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pStyle w:val="TextBody"/>
        <w:bidi w:val="0"/>
        <w:spacing w:lineRule="auto" w:line="288" w:before="0" w:after="180"/>
        <w:jc w:val="left"/>
        <w:rPr/>
      </w:pPr>
      <w:r>
        <w:rPr>
          <w:rFonts w:ascii="Times New Roman;serif" w:hAnsi="Times New Roman;serif"/>
          <w:b w:val="false"/>
          <w:color w:val="000000"/>
          <w:sz w:val="20"/>
        </w:rPr>
        <w:t>10.5.</w:t>
      </w:r>
      <w:r>
        <w:rPr>
          <w:rFonts w:ascii="Times New Roman;serif" w:hAnsi="Times New Roman;serif"/>
          <w:b/>
          <w:color w:val="000000"/>
          <w:sz w:val="20"/>
        </w:rPr>
        <w:t>Settlement of Performance Awards</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color w:val="000000"/>
          <w:sz w:val="20"/>
        </w:rPr>
        <w:t>(a) Determination of Final Value</w:t>
      </w:r>
      <w:r>
        <w:rPr>
          <w:rFonts w:ascii="Times New Roman;serif" w:hAnsi="Times New Roman;serif"/>
          <w:b w:val="false"/>
          <w:color w:val="000000"/>
          <w:sz w:val="20"/>
        </w:rPr>
        <w:t>. 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pStyle w:val="TextBody"/>
        <w:bidi w:val="0"/>
        <w:spacing w:lineRule="auto" w:line="288" w:before="0" w:after="180"/>
        <w:ind w:left="0" w:right="0" w:firstLine="720"/>
        <w:jc w:val="left"/>
        <w:rPr/>
      </w:pPr>
      <w:r>
        <w:rPr>
          <w:rFonts w:ascii="Times New Roman;serif" w:hAnsi="Times New Roman;serif"/>
          <w:b/>
          <w:color w:val="000000"/>
          <w:sz w:val="20"/>
        </w:rPr>
        <w:t>(b) Discretionary Adjustment of Award Formula</w:t>
      </w:r>
      <w:r>
        <w:rPr>
          <w:rFonts w:ascii="Times New Roman;serif" w:hAnsi="Times New Roman;serif"/>
          <w:b w:val="false"/>
          <w:color w:val="000000"/>
          <w:sz w:val="20"/>
        </w:rPr>
        <w:t>. In its discretion, the Committee may, either at the time it grants a Performance Award 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w:t>
      </w:r>
    </w:p>
    <w:p>
      <w:pPr>
        <w:pStyle w:val="TextBody"/>
        <w:bidi w:val="0"/>
        <w:spacing w:lineRule="auto" w:line="288" w:before="0" w:after="180"/>
        <w:ind w:left="0" w:right="0" w:firstLine="720"/>
        <w:jc w:val="left"/>
        <w:rPr/>
      </w:pPr>
      <w:r>
        <w:rPr>
          <w:rFonts w:ascii="Times New Roman;serif" w:hAnsi="Times New Roman;serif"/>
          <w:b/>
          <w:color w:val="000000"/>
          <w:sz w:val="20"/>
        </w:rPr>
        <w:t>(c) Effect of Leaves of Absence</w:t>
      </w:r>
      <w:r>
        <w:rPr>
          <w:rFonts w:ascii="Times New Roman;serif" w:hAnsi="Times New Roman;serif"/>
          <w:b w:val="false"/>
          <w:color w:val="000000"/>
          <w:sz w:val="20"/>
        </w:rPr>
        <w:t xml:space="preserve">. Unless otherwise required by law or a Participant’s Award Agreement, payment of the final value, if any, of a Performance Award held by a Participant who has taken in excess of thirty (30) days in unpaid leaves of absence during a Performance Period shall be prorated on the basis of the number of days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Participant’s Service during the Performance Period during which the Participant was not on an unpaid leave of absence.</w:t>
      </w:r>
    </w:p>
    <w:p>
      <w:pPr>
        <w:pStyle w:val="TextBody"/>
        <w:bidi w:val="0"/>
        <w:spacing w:lineRule="auto" w:line="288" w:before="0" w:after="180"/>
        <w:ind w:left="0" w:right="0" w:firstLine="720"/>
        <w:jc w:val="left"/>
        <w:rPr/>
      </w:pPr>
      <w:r>
        <w:rPr>
          <w:rFonts w:ascii="Times New Roman;serif" w:hAnsi="Times New Roman;serif"/>
          <w:b/>
          <w:color w:val="000000"/>
          <w:sz w:val="20"/>
        </w:rPr>
        <w:t>(d) Notice to Participants</w:t>
      </w:r>
      <w:r>
        <w:rPr>
          <w:rFonts w:ascii="Times New Roman;serif" w:hAnsi="Times New Roman;serif"/>
          <w:b w:val="false"/>
          <w:color w:val="000000"/>
          <w:sz w:val="20"/>
        </w:rPr>
        <w:t>. As soon as practicable following the Committee’s determination in accordance with Sections 10.5(a) and (b), the Company shall notify each Participant of the determination of the Committee.</w:t>
      </w:r>
    </w:p>
    <w:p>
      <w:pPr>
        <w:pStyle w:val="TextBody"/>
        <w:bidi w:val="0"/>
        <w:spacing w:lineRule="auto" w:line="288" w:before="0" w:after="180"/>
        <w:ind w:left="0" w:right="0" w:firstLine="720"/>
        <w:jc w:val="left"/>
        <w:rPr/>
      </w:pPr>
      <w:r>
        <w:rPr>
          <w:rFonts w:ascii="Times New Roman;serif" w:hAnsi="Times New Roman;serif"/>
          <w:b/>
          <w:color w:val="000000"/>
          <w:sz w:val="20"/>
        </w:rPr>
        <w:t>(e) Payment in Settlement of Performance Awards</w:t>
      </w:r>
      <w:r>
        <w:rPr>
          <w:rFonts w:ascii="Times New Roman;serif" w:hAnsi="Times New Roman;serif"/>
          <w:b w:val="false"/>
          <w:color w:val="000000"/>
          <w:sz w:val="20"/>
        </w:rPr>
        <w:t>. As soon as practicable following the Committee’s determination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pStyle w:val="TextBody"/>
        <w:bidi w:val="0"/>
        <w:spacing w:lineRule="auto" w:line="288" w:before="0" w:after="180"/>
        <w:ind w:left="0" w:right="0" w:firstLine="720"/>
        <w:jc w:val="left"/>
        <w:rPr/>
      </w:pPr>
      <w:r>
        <w:rPr>
          <w:rFonts w:ascii="Times New Roman;serif" w:hAnsi="Times New Roman;serif"/>
          <w:b/>
          <w:color w:val="000000"/>
          <w:sz w:val="20"/>
        </w:rPr>
        <w:t>(f) Provisions Applicable to Payment in Shares</w:t>
      </w:r>
      <w:r>
        <w:rPr>
          <w:rFonts w:ascii="Times New Roman;serif" w:hAnsi="Times New Roman;serif"/>
          <w:b w:val="false"/>
          <w:color w:val="000000"/>
          <w:sz w:val="20"/>
        </w:rPr>
        <w:t>. 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pStyle w:val="TextBody"/>
        <w:bidi w:val="0"/>
        <w:spacing w:lineRule="auto" w:line="288" w:before="0" w:after="180"/>
        <w:jc w:val="left"/>
        <w:rPr/>
      </w:pPr>
      <w:r>
        <w:rPr>
          <w:rFonts w:ascii="Times New Roman;serif" w:hAnsi="Times New Roman;serif"/>
          <w:b w:val="false"/>
          <w:color w:val="000000"/>
          <w:sz w:val="20"/>
        </w:rPr>
        <w:t>10.6.</w:t>
      </w:r>
      <w:r>
        <w:rPr>
          <w:rFonts w:ascii="Times New Roman;serif" w:hAnsi="Times New Roman;serif"/>
          <w:b/>
          <w:color w:val="000000"/>
          <w:sz w:val="20"/>
        </w:rPr>
        <w:t>Voting Rights; Dividend Equivalent Rights and Distributions</w:t>
      </w:r>
      <w:r>
        <w:rPr>
          <w:rFonts w:ascii="Times New Roman;serif" w:hAnsi="Times New Roman;serif"/>
          <w:b w:val="false"/>
          <w:color w:val="000000"/>
          <w:sz w:val="20"/>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pStyle w:val="TextBody"/>
        <w:bidi w:val="0"/>
        <w:spacing w:lineRule="auto" w:line="288" w:before="0" w:after="180"/>
        <w:jc w:val="left"/>
        <w:rPr/>
      </w:pPr>
      <w:r>
        <w:rPr>
          <w:rFonts w:ascii="Times New Roman;serif" w:hAnsi="Times New Roman;serif"/>
          <w:b w:val="false"/>
          <w:color w:val="000000"/>
          <w:sz w:val="20"/>
        </w:rPr>
        <w:t>10.7.</w:t>
      </w:r>
      <w:r>
        <w:rPr>
          <w:rFonts w:ascii="Times New Roman;serif" w:hAnsi="Times New Roman;serif"/>
          <w:b/>
          <w:color w:val="000000"/>
          <w:sz w:val="20"/>
        </w:rPr>
        <w:t>Effect of Termination of Service</w:t>
      </w:r>
      <w:r>
        <w:rPr>
          <w:rFonts w:ascii="Times New Roman;serif" w:hAnsi="Times New Roman;serif"/>
          <w:b w:val="false"/>
          <w:color w:val="000000"/>
          <w:sz w:val="20"/>
        </w:rPr>
        <w:t>. Unless otherwise provided by the Committee and set forth in the Award Agreement evidencing a Performance Award, the effect of a Participant’s termination of Service on the Performance Award shall be as follows:</w:t>
      </w:r>
    </w:p>
    <w:p>
      <w:pPr>
        <w:pStyle w:val="TextBody"/>
        <w:bidi w:val="0"/>
        <w:spacing w:lineRule="auto" w:line="288" w:before="0" w:after="180"/>
        <w:ind w:left="0" w:right="0" w:firstLine="720"/>
        <w:jc w:val="left"/>
        <w:rPr/>
      </w:pPr>
      <w:r>
        <w:rPr>
          <w:rFonts w:ascii="Times New Roman;serif" w:hAnsi="Times New Roman;serif"/>
          <w:b/>
          <w:color w:val="000000"/>
          <w:sz w:val="20"/>
        </w:rPr>
        <w:t>(a) Death or Disability</w:t>
      </w:r>
      <w:r>
        <w:rPr>
          <w:rFonts w:ascii="Times New Roman;serif" w:hAnsi="Times New Roman;serif"/>
          <w:b w:val="false"/>
          <w:color w:val="000000"/>
          <w:sz w:val="20"/>
        </w:rPr>
        <w:t xml:space="preserve">. If the Participant’s Service terminates because of the death or Disability 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the Participant’s Service during the Performance Period. Payment shall be made following the end of the Performance Period in any manner permitted by Section 10.5.</w:t>
      </w:r>
    </w:p>
    <w:p>
      <w:pPr>
        <w:pStyle w:val="TextBody"/>
        <w:bidi w:val="0"/>
        <w:spacing w:lineRule="auto" w:line="288" w:before="0" w:after="180"/>
        <w:ind w:left="0" w:right="0" w:firstLine="720"/>
        <w:jc w:val="left"/>
        <w:rPr/>
      </w:pPr>
      <w:r>
        <w:rPr>
          <w:rFonts w:ascii="Times New Roman;serif" w:hAnsi="Times New Roman;serif"/>
          <w:b/>
          <w:color w:val="000000"/>
          <w:sz w:val="20"/>
        </w:rPr>
        <w:t>(b) Other Termination of Service</w:t>
      </w:r>
      <w:r>
        <w:rPr>
          <w:rFonts w:ascii="Times New Roman;serif" w:hAnsi="Times New Roman;serif"/>
          <w:b w:val="false"/>
          <w:color w:val="000000"/>
          <w:sz w:val="20"/>
        </w:rPr>
        <w:t>. If the Participant’s Service terminates for any reason except 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pStyle w:val="TextBody"/>
        <w:bidi w:val="0"/>
        <w:spacing w:lineRule="auto" w:line="288" w:before="0" w:after="180"/>
        <w:jc w:val="left"/>
        <w:rPr/>
      </w:pPr>
      <w:r>
        <w:rPr>
          <w:rFonts w:ascii="Times New Roman;serif" w:hAnsi="Times New Roman;serif"/>
          <w:b w:val="false"/>
          <w:color w:val="000000"/>
          <w:sz w:val="20"/>
        </w:rPr>
        <w:t>10.8.</w:t>
      </w:r>
      <w:r>
        <w:rPr>
          <w:rFonts w:ascii="Times New Roman;serif" w:hAnsi="Times New Roman;serif"/>
          <w:b/>
          <w:color w:val="000000"/>
          <w:sz w:val="20"/>
        </w:rPr>
        <w:t>Nontransferability of Performance Awards</w:t>
      </w:r>
      <w:r>
        <w:rPr>
          <w:rFonts w:ascii="Times New Roman;serif" w:hAnsi="Times New Roman;serif"/>
          <w:b w:val="false"/>
          <w:color w:val="000000"/>
          <w:sz w:val="20"/>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pStyle w:val="TextBody"/>
        <w:bidi w:val="0"/>
        <w:spacing w:lineRule="auto" w:line="288" w:before="0" w:after="180"/>
        <w:jc w:val="left"/>
        <w:rPr/>
      </w:pPr>
      <w:r>
        <w:rPr>
          <w:rFonts w:ascii="Times New Roman;serif" w:hAnsi="Times New Roman;serif"/>
          <w:b/>
          <w:color w:val="000000"/>
          <w:sz w:val="20"/>
        </w:rPr>
        <w:t>11.</w:t>
      </w:r>
      <w:r>
        <w:rPr>
          <w:rFonts w:ascii="Times New Roman;serif" w:hAnsi="Times New Roman;serif"/>
          <w:b/>
          <w:color w:val="000000"/>
          <w:sz w:val="20"/>
        </w:rPr>
        <w:t>CASH-BASED AWARDS AND OTHER STOCK-BASED AWARDS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88" w:before="0" w:after="180"/>
        <w:jc w:val="left"/>
        <w:rPr/>
      </w:pPr>
      <w:r>
        <w:rPr>
          <w:rFonts w:ascii="Times New Roman;serif" w:hAnsi="Times New Roman;serif"/>
          <w:b w:val="false"/>
          <w:color w:val="000000"/>
          <w:sz w:val="20"/>
        </w:rPr>
        <w:t>11.1.</w:t>
      </w:r>
      <w:r>
        <w:rPr>
          <w:rFonts w:ascii="Times New Roman;serif" w:hAnsi="Times New Roman;serif"/>
          <w:b/>
          <w:color w:val="000000"/>
          <w:sz w:val="20"/>
        </w:rPr>
        <w:t>Grant of Cash-Based Awards</w:t>
      </w:r>
      <w:r>
        <w:rPr>
          <w:rFonts w:ascii="Times New Roman;serif" w:hAnsi="Times New Roman;serif"/>
          <w:b w:val="false"/>
          <w:color w:val="000000"/>
          <w:sz w:val="20"/>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pStyle w:val="TextBody"/>
        <w:bidi w:val="0"/>
        <w:spacing w:lineRule="auto" w:line="288" w:before="0" w:after="180"/>
        <w:jc w:val="left"/>
        <w:rPr/>
      </w:pPr>
      <w:r>
        <w:rPr>
          <w:rFonts w:ascii="Times New Roman;serif" w:hAnsi="Times New Roman;serif"/>
          <w:b w:val="false"/>
          <w:color w:val="000000"/>
          <w:sz w:val="20"/>
        </w:rPr>
        <w:t>11.2.</w:t>
      </w:r>
      <w:r>
        <w:rPr>
          <w:rFonts w:ascii="Times New Roman;serif" w:hAnsi="Times New Roman;serif"/>
          <w:b/>
          <w:color w:val="000000"/>
          <w:sz w:val="20"/>
        </w:rPr>
        <w:t>Grant of Other Stock-Based Awards</w:t>
      </w:r>
      <w:r>
        <w:rPr>
          <w:rFonts w:ascii="Times New Roman;serif" w:hAnsi="Times New Roman;serif"/>
          <w:b w:val="false"/>
          <w:color w:val="000000"/>
          <w:sz w:val="20"/>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pStyle w:val="TextBody"/>
        <w:bidi w:val="0"/>
        <w:spacing w:lineRule="auto" w:line="288" w:before="0" w:after="180"/>
        <w:jc w:val="left"/>
        <w:rPr/>
      </w:pPr>
      <w:r>
        <w:rPr>
          <w:rFonts w:ascii="Times New Roman;serif" w:hAnsi="Times New Roman;serif"/>
          <w:b w:val="false"/>
          <w:color w:val="000000"/>
          <w:sz w:val="20"/>
        </w:rPr>
        <w:t>11.3.</w:t>
      </w:r>
      <w:r>
        <w:rPr>
          <w:rFonts w:ascii="Times New Roman;serif" w:hAnsi="Times New Roman;serif"/>
          <w:b/>
          <w:color w:val="000000"/>
          <w:sz w:val="20"/>
        </w:rPr>
        <w:t>Value of Cash-Based and Other Stock-Based Awards</w:t>
      </w:r>
      <w:r>
        <w:rPr>
          <w:rFonts w:ascii="Times New Roman;serif" w:hAnsi="Times New Roman;serif"/>
          <w:b w:val="false"/>
          <w:color w:val="000000"/>
          <w:sz w:val="20"/>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pStyle w:val="TextBody"/>
        <w:bidi w:val="0"/>
        <w:spacing w:lineRule="auto" w:line="288" w:before="0" w:after="180"/>
        <w:jc w:val="left"/>
        <w:rPr/>
      </w:pPr>
      <w:r>
        <w:rPr>
          <w:rFonts w:ascii="Times New Roman;serif" w:hAnsi="Times New Roman;serif"/>
          <w:b w:val="false"/>
          <w:color w:val="000000"/>
          <w:sz w:val="20"/>
        </w:rPr>
        <w:t>11.4.</w:t>
      </w:r>
      <w:r>
        <w:rPr>
          <w:rFonts w:ascii="Times New Roman;serif" w:hAnsi="Times New Roman;serif"/>
          <w:b/>
          <w:color w:val="000000"/>
          <w:sz w:val="20"/>
        </w:rPr>
        <w:t>Payment or Settlement of Cash-Based Awards and Other Stock-Based Awards</w:t>
      </w:r>
      <w:r>
        <w:rPr>
          <w:rFonts w:ascii="Times New Roman;serif" w:hAnsi="Times New Roman;serif"/>
          <w:b w:val="false"/>
          <w:color w:val="000000"/>
          <w:sz w:val="20"/>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pStyle w:val="TextBody"/>
        <w:bidi w:val="0"/>
        <w:spacing w:lineRule="auto" w:line="288" w:before="0" w:after="180"/>
        <w:jc w:val="left"/>
        <w:rPr/>
      </w:pPr>
      <w:r>
        <w:rPr>
          <w:rFonts w:ascii="Times New Roman;serif" w:hAnsi="Times New Roman;serif"/>
          <w:b w:val="false"/>
          <w:color w:val="000000"/>
          <w:sz w:val="20"/>
        </w:rPr>
        <w:t>11.5.</w:t>
      </w:r>
      <w:r>
        <w:rPr>
          <w:rFonts w:ascii="Times New Roman;serif" w:hAnsi="Times New Roman;serif"/>
          <w:b/>
          <w:color w:val="000000"/>
          <w:sz w:val="20"/>
        </w:rPr>
        <w:t>Voting Rights; Dividend Equivalent Rights and Distributions</w:t>
      </w:r>
      <w:r>
        <w:rPr>
          <w:rFonts w:ascii="Times New Roman;serif" w:hAnsi="Times New Roman;serif"/>
          <w:b w:val="false"/>
          <w:color w:val="000000"/>
          <w:sz w:val="20"/>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pStyle w:val="TextBody"/>
        <w:bidi w:val="0"/>
        <w:spacing w:lineRule="auto" w:line="288" w:before="0" w:after="180"/>
        <w:jc w:val="left"/>
        <w:rPr/>
      </w:pPr>
      <w:r>
        <w:rPr>
          <w:rFonts w:ascii="Times New Roman;serif" w:hAnsi="Times New Roman;serif"/>
          <w:b w:val="false"/>
          <w:color w:val="000000"/>
          <w:sz w:val="20"/>
        </w:rPr>
        <w:t>11.6.</w:t>
      </w:r>
      <w:r>
        <w:rPr>
          <w:rFonts w:ascii="Times New Roman;serif" w:hAnsi="Times New Roman;serif"/>
          <w:b/>
          <w:color w:val="000000"/>
          <w:sz w:val="20"/>
        </w:rPr>
        <w:t>Effect of Termination of Service</w:t>
      </w:r>
      <w:r>
        <w:rPr>
          <w:rFonts w:ascii="Times New Roman;serif" w:hAnsi="Times New Roman;serif"/>
          <w:b w:val="false"/>
          <w:color w:val="000000"/>
          <w:sz w:val="20"/>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pStyle w:val="TextBody"/>
        <w:bidi w:val="0"/>
        <w:spacing w:lineRule="auto" w:line="288" w:before="0" w:after="180"/>
        <w:jc w:val="left"/>
        <w:rPr/>
      </w:pPr>
      <w:r>
        <w:rPr>
          <w:rFonts w:ascii="Times New Roman;serif" w:hAnsi="Times New Roman;serif"/>
          <w:b w:val="false"/>
          <w:color w:val="000000"/>
          <w:sz w:val="20"/>
        </w:rPr>
        <w:t>11.7.</w:t>
      </w:r>
      <w:r>
        <w:rPr>
          <w:color w:val="000000"/>
        </w:rPr>
        <w:t> </w:t>
      </w:r>
      <w:r>
        <w:rPr>
          <w:rFonts w:ascii="Times New Roman;serif" w:hAnsi="Times New Roman;serif"/>
          <w:b/>
          <w:color w:val="000000"/>
          <w:sz w:val="20"/>
        </w:rPr>
        <w:t>Nontransferability of Cash-Based Awards and Other Stock-Based Awards</w:t>
      </w:r>
      <w:r>
        <w:rPr>
          <w:rFonts w:ascii="Times New Roman;serif" w:hAnsi="Times New Roman;serif"/>
          <w:b w:val="false"/>
          <w:color w:val="000000"/>
          <w:sz w:val="20"/>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pStyle w:val="TextBody"/>
        <w:bidi w:val="0"/>
        <w:spacing w:lineRule="auto" w:line="288" w:before="0" w:after="180"/>
        <w:jc w:val="left"/>
        <w:rPr/>
      </w:pPr>
      <w:r>
        <w:rPr>
          <w:rFonts w:ascii="Times New Roman;serif" w:hAnsi="Times New Roman;serif"/>
          <w:b/>
          <w:color w:val="000000"/>
          <w:sz w:val="20"/>
        </w:rPr>
        <w:t>12.</w:t>
      </w:r>
      <w:r>
        <w:rPr>
          <w:rFonts w:ascii="Times New Roman;serif" w:hAnsi="Times New Roman;serif"/>
          <w:b/>
          <w:color w:val="000000"/>
          <w:sz w:val="20"/>
        </w:rPr>
        <w:t>STANDARD FORMS OF AWARD AGREEMENT.</w:t>
      </w:r>
    </w:p>
    <w:p>
      <w:pPr>
        <w:pStyle w:val="TextBody"/>
        <w:bidi w:val="0"/>
        <w:spacing w:lineRule="auto" w:line="288" w:before="0" w:after="180"/>
        <w:jc w:val="left"/>
        <w:rPr/>
      </w:pPr>
      <w:r>
        <w:rPr>
          <w:rFonts w:ascii="Times New Roman;serif" w:hAnsi="Times New Roman;serif"/>
          <w:b w:val="false"/>
          <w:color w:val="000000"/>
          <w:sz w:val="20"/>
        </w:rPr>
        <w:t>12.1.</w:t>
      </w:r>
      <w:r>
        <w:rPr>
          <w:rFonts w:ascii="Times New Roman;serif" w:hAnsi="Times New Roman;serif"/>
          <w:b/>
          <w:color w:val="000000"/>
          <w:sz w:val="20"/>
        </w:rPr>
        <w:t>Award Agreements</w:t>
      </w:r>
      <w:r>
        <w:rPr>
          <w:rFonts w:ascii="Times New Roman;serif" w:hAnsi="Times New Roman;serif"/>
          <w:b w:val="false"/>
          <w:color w:val="000000"/>
          <w:sz w:val="20"/>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pStyle w:val="TextBody"/>
        <w:bidi w:val="0"/>
        <w:spacing w:lineRule="auto" w:line="288" w:before="0" w:after="180"/>
        <w:jc w:val="left"/>
        <w:rPr/>
      </w:pPr>
      <w:r>
        <w:rPr>
          <w:rFonts w:ascii="Times New Roman;serif" w:hAnsi="Times New Roman;serif"/>
          <w:b w:val="false"/>
          <w:color w:val="000000"/>
          <w:sz w:val="20"/>
        </w:rPr>
        <w:t>12.2.</w:t>
      </w:r>
      <w:r>
        <w:rPr>
          <w:rFonts w:ascii="Times New Roman;serif" w:hAnsi="Times New Roman;serif"/>
          <w:b/>
          <w:color w:val="000000"/>
          <w:sz w:val="20"/>
        </w:rPr>
        <w:t>Authority to Vary Terms</w:t>
      </w:r>
      <w:r>
        <w:rPr>
          <w:rFonts w:ascii="Times New Roman;serif" w:hAnsi="Times New Roman;serif"/>
          <w:b w:val="false"/>
          <w:color w:val="000000"/>
          <w:sz w:val="20"/>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pStyle w:val="TextBody"/>
        <w:bidi w:val="0"/>
        <w:spacing w:lineRule="auto" w:line="288" w:before="0" w:after="180"/>
        <w:jc w:val="left"/>
        <w:rPr/>
      </w:pPr>
      <w:r>
        <w:rPr>
          <w:rFonts w:ascii="Times New Roman;serif" w:hAnsi="Times New Roman;serif"/>
          <w:b/>
          <w:color w:val="000000"/>
          <w:sz w:val="20"/>
        </w:rPr>
        <w:t>13.</w:t>
      </w:r>
      <w:r>
        <w:rPr>
          <w:rFonts w:ascii="Times New Roman;serif" w:hAnsi="Times New Roman;serif"/>
          <w:b/>
          <w:color w:val="000000"/>
          <w:sz w:val="20"/>
        </w:rPr>
        <w:t>CHANGE IN CONTROL</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13.1.</w:t>
      </w:r>
      <w:r>
        <w:rPr>
          <w:rFonts w:ascii="Times New Roman;serif" w:hAnsi="Times New Roman;serif"/>
          <w:b/>
          <w:color w:val="000000"/>
          <w:sz w:val="20"/>
        </w:rPr>
        <w:t>Effect of Change in Control on Awards</w:t>
      </w:r>
      <w:r>
        <w:rPr>
          <w:rFonts w:ascii="Times New Roman;serif" w:hAnsi="Times New Roman;serif"/>
          <w:b w:val="false"/>
          <w:color w:val="000000"/>
          <w:sz w:val="20"/>
        </w:rPr>
        <w:t>.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pStyle w:val="TextBody"/>
        <w:bidi w:val="0"/>
        <w:spacing w:lineRule="auto" w:line="288" w:before="0" w:after="180"/>
        <w:ind w:left="0" w:right="0" w:firstLine="720"/>
        <w:jc w:val="left"/>
        <w:rPr/>
      </w:pPr>
      <w:r>
        <w:rPr>
          <w:rFonts w:ascii="Times New Roman;serif" w:hAnsi="Times New Roman;serif"/>
          <w:b/>
          <w:color w:val="000000"/>
          <w:sz w:val="20"/>
        </w:rPr>
        <w:t>(a) Accelerated Vesting</w:t>
      </w:r>
      <w:r>
        <w:rPr>
          <w:rFonts w:ascii="Times New Roman;serif" w:hAnsi="Times New Roman;serif"/>
          <w:b w:val="false"/>
          <w:color w:val="000000"/>
          <w:sz w:val="20"/>
        </w:rPr>
        <w:t>. The Committee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pStyle w:val="TextBody"/>
        <w:bidi w:val="0"/>
        <w:spacing w:lineRule="auto" w:line="288" w:before="0" w:after="180"/>
        <w:ind w:left="0" w:right="0" w:firstLine="720"/>
        <w:jc w:val="left"/>
        <w:rPr/>
      </w:pPr>
      <w:r>
        <w:rPr>
          <w:rFonts w:ascii="Times New Roman;serif" w:hAnsi="Times New Roman;serif"/>
          <w:b/>
          <w:color w:val="000000"/>
          <w:sz w:val="20"/>
        </w:rPr>
        <w:t>(b) Assumption, Continuation or Substitution</w:t>
      </w:r>
      <w:r>
        <w:rPr>
          <w:rFonts w:ascii="Times New Roman;serif" w:hAnsi="Times New Roman;serif"/>
          <w:b w:val="false"/>
          <w:color w:val="000000"/>
          <w:sz w:val="20"/>
        </w:rPr>
        <w:t>. The Committee may arrange for the surviving, continuing, successor, or purchasing corporation or other business entity or parent thereof, as the case may be (the “</w:t>
      </w:r>
      <w:r>
        <w:rPr>
          <w:rFonts w:ascii="Times New Roman;serif" w:hAnsi="Times New Roman;serif"/>
          <w:b/>
          <w:color w:val="000000"/>
          <w:sz w:val="20"/>
        </w:rPr>
        <w:t>Acquiror</w:t>
      </w:r>
      <w:r>
        <w:rPr>
          <w:color w:val="000000"/>
        </w:rPr>
        <w:t>”</w:t>
      </w:r>
      <w:r>
        <w:rPr>
          <w:rFonts w:ascii="Times New Roman;serif" w:hAnsi="Times New Roman;serif"/>
          <w:b w:val="false"/>
          <w:color w:val="000000"/>
          <w:sz w:val="20"/>
        </w:rPr>
        <w:t xml:space="preserve">)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or settled prior to the time of consummation of the Change in Control shall terminate and cease to be outstanding effective as of the time of consummation of the Change in Control.</w:t>
      </w:r>
    </w:p>
    <w:p>
      <w:pPr>
        <w:pStyle w:val="TextBody"/>
        <w:bidi w:val="0"/>
        <w:spacing w:lineRule="auto" w:line="288" w:before="0" w:after="180"/>
        <w:ind w:left="0" w:right="0" w:firstLine="720"/>
        <w:jc w:val="left"/>
        <w:rPr/>
      </w:pPr>
      <w:r>
        <w:rPr>
          <w:rFonts w:ascii="Times New Roman;serif" w:hAnsi="Times New Roman;serif"/>
          <w:b/>
          <w:color w:val="000000"/>
          <w:sz w:val="20"/>
        </w:rPr>
        <w:t>(c) Assignment or Lapse of Reacquisition or Repurchase Rights</w:t>
      </w:r>
      <w:r>
        <w:rPr>
          <w:rFonts w:ascii="Times New Roman;serif" w:hAnsi="Times New Roman;serif"/>
          <w:b w:val="false"/>
          <w:color w:val="000000"/>
          <w:sz w:val="20"/>
        </w:rPr>
        <w:t>. The Committee may arrange for the assignment of any reacquisition or repurchase rights held by the Company in respect of Stock issued pursuant to the Award to the Acquiror or arrange for the lapse, in whole or in part, of any reacquisition or repurchase rights held by the Company with respect to the Award.</w:t>
      </w:r>
    </w:p>
    <w:p>
      <w:pPr>
        <w:pStyle w:val="TextBody"/>
        <w:bidi w:val="0"/>
        <w:spacing w:lineRule="auto" w:line="288" w:before="0" w:after="180"/>
        <w:ind w:left="0" w:right="0" w:firstLine="720"/>
        <w:jc w:val="left"/>
        <w:rPr/>
      </w:pPr>
      <w:r>
        <w:rPr>
          <w:rFonts w:ascii="Times New Roman;serif" w:hAnsi="Times New Roman;serif"/>
          <w:b/>
          <w:color w:val="000000"/>
          <w:sz w:val="20"/>
        </w:rPr>
        <w:t>(d) Cancellation</w:t>
      </w:r>
      <w:r>
        <w:rPr>
          <w:rFonts w:ascii="Times New Roman;serif" w:hAnsi="Times New Roman;serif"/>
          <w:b w:val="false"/>
          <w:color w:val="000000"/>
          <w:sz w:val="20"/>
        </w:rPr>
        <w:t>. In its discretion, the Committee may cancel or arrange for the cancellation of the Award, to the extent not vested or not exercised prior to the effective time of the Change in Control, in exchange for no consideration ($0) or such consideration, if any, as determined by the Committee.</w:t>
      </w:r>
    </w:p>
    <w:p>
      <w:pPr>
        <w:pStyle w:val="TextBody"/>
        <w:bidi w:val="0"/>
        <w:spacing w:lineRule="auto" w:line="288" w:before="0" w:after="180"/>
        <w:ind w:left="0" w:right="0" w:firstLine="720"/>
        <w:jc w:val="left"/>
        <w:rPr/>
      </w:pPr>
      <w:r>
        <w:rPr>
          <w:rFonts w:ascii="Times New Roman;serif" w:hAnsi="Times New Roman;serif"/>
          <w:b/>
          <w:color w:val="000000"/>
          <w:sz w:val="20"/>
        </w:rPr>
        <w:t>(e) Cash-Out of Outstanding Stock-Based Awards</w:t>
      </w:r>
      <w:r>
        <w:rPr>
          <w:rFonts w:ascii="Times New Roman;serif" w:hAnsi="Times New Roman;serif"/>
          <w:b w:val="false"/>
          <w:color w:val="000000"/>
          <w:sz w:val="20"/>
        </w:rPr>
        <w:t>. The Committee may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pStyle w:val="TextBody"/>
        <w:bidi w:val="0"/>
        <w:spacing w:lineRule="auto" w:line="288" w:before="0" w:after="180"/>
        <w:ind w:left="0" w:right="0" w:firstLine="720"/>
        <w:jc w:val="left"/>
        <w:rPr/>
      </w:pPr>
      <w:r>
        <w:rPr>
          <w:rFonts w:ascii="Times New Roman;serif" w:hAnsi="Times New Roman;serif"/>
          <w:b/>
          <w:color w:val="000000"/>
          <w:sz w:val="20"/>
        </w:rPr>
        <w:t>(f) Adjustments and Earnouts</w:t>
      </w:r>
      <w:r>
        <w:rPr>
          <w:rFonts w:ascii="Times New Roman;serif" w:hAnsi="Times New Roman;serif"/>
          <w:b w:val="false"/>
          <w:color w:val="000000"/>
          <w:sz w:val="20"/>
        </w:rPr>
        <w:t>. In making any determination pursuant to this Section 13.1 in the event of a 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pStyle w:val="TextBody"/>
        <w:bidi w:val="0"/>
        <w:spacing w:lineRule="auto" w:line="288" w:before="0" w:after="180"/>
        <w:jc w:val="left"/>
        <w:rPr/>
      </w:pPr>
      <w:r>
        <w:rPr>
          <w:rFonts w:ascii="Times New Roman;serif" w:hAnsi="Times New Roman;serif"/>
          <w:b w:val="false"/>
          <w:color w:val="000000"/>
          <w:sz w:val="20"/>
        </w:rPr>
        <w:t>13.2.</w:t>
      </w:r>
      <w:r>
        <w:rPr>
          <w:rFonts w:ascii="Times New Roman;serif" w:hAnsi="Times New Roman;serif"/>
          <w:b/>
          <w:color w:val="000000"/>
          <w:sz w:val="20"/>
        </w:rPr>
        <w:t>Effect of Change in Control on Nonemployee Director Awards</w:t>
      </w:r>
      <w:r>
        <w:rPr>
          <w:rFonts w:ascii="Times New Roman;serif" w:hAnsi="Times New Roman;serif"/>
          <w:b w:val="false"/>
          <w:color w:val="000000"/>
          <w:sz w:val="20"/>
        </w:rPr>
        <w:t>.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Change in Control and, except to the extent assumed, continued or substituted for pursuant to Section 13.1(b) or otherwise restricted by Section 409A, shall be settled effective immediately prior to the time of consummation of the Change in Control if not exercised or settled prior to the Change in Control.</w:t>
      </w:r>
    </w:p>
    <w:p>
      <w:pPr>
        <w:pStyle w:val="TextBody"/>
        <w:bidi w:val="0"/>
        <w:spacing w:lineRule="auto" w:line="288" w:before="0" w:after="180"/>
        <w:jc w:val="left"/>
        <w:rPr/>
      </w:pPr>
      <w:r>
        <w:rPr>
          <w:rFonts w:ascii="Times New Roman;serif" w:hAnsi="Times New Roman;serif"/>
          <w:b w:val="false"/>
          <w:color w:val="000000"/>
          <w:sz w:val="20"/>
        </w:rPr>
        <w:t>13.3.</w:t>
      </w:r>
      <w:r>
        <w:rPr>
          <w:rFonts w:ascii="Times New Roman;serif" w:hAnsi="Times New Roman;serif"/>
          <w:b/>
          <w:color w:val="000000"/>
          <w:sz w:val="20"/>
        </w:rPr>
        <w:t>Federal Excise Tax Under Section 4999 of the Code</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color w:val="000000"/>
          <w:sz w:val="20"/>
        </w:rPr>
        <w:t>(a) Excess Parachute Payment</w:t>
      </w:r>
      <w:r>
        <w:rPr>
          <w:rFonts w:ascii="Times New Roman;serif" w:hAnsi="Times New Roman;serif"/>
          <w:b w:val="false"/>
          <w:color w:val="000000"/>
          <w:sz w:val="20"/>
        </w:rPr>
        <w:t>.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pStyle w:val="TextBody"/>
        <w:bidi w:val="0"/>
        <w:spacing w:lineRule="auto" w:line="288" w:before="0" w:after="180"/>
        <w:ind w:left="0" w:right="0" w:firstLine="720"/>
        <w:jc w:val="left"/>
        <w:rPr/>
      </w:pPr>
      <w:r>
        <w:rPr>
          <w:rFonts w:ascii="Times New Roman;serif" w:hAnsi="Times New Roman;serif"/>
          <w:b/>
          <w:color w:val="000000"/>
          <w:sz w:val="20"/>
        </w:rPr>
        <w:t>(b) Determination by Tax Firm</w:t>
      </w:r>
      <w:r>
        <w:rPr>
          <w:rFonts w:ascii="Times New Roman;serif" w:hAnsi="Times New Roman;serif"/>
          <w:b w:val="false"/>
          <w:color w:val="000000"/>
          <w:sz w:val="20"/>
        </w:rPr>
        <w:t xml:space="preserve">. To aid the Participant in making any election called for under Section 13.3(a), 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rPr>
        <w:t>recognized tax firm to make the determinations required by this Section (the “</w:t>
      </w:r>
      <w:r>
        <w:rPr>
          <w:rFonts w:ascii="Times New Roman;serif" w:hAnsi="Times New Roman;serif"/>
          <w:b/>
          <w:color w:val="000000"/>
          <w:sz w:val="20"/>
        </w:rPr>
        <w:t>Tax Firm</w:t>
      </w:r>
      <w:r>
        <w:rPr>
          <w:color w:val="000000"/>
        </w:rPr>
        <w:t>”</w:t>
      </w:r>
      <w:r>
        <w:rPr>
          <w:rFonts w:ascii="Times New Roman;serif" w:hAnsi="Times New Roman;serif"/>
          <w:b w:val="false"/>
          <w:color w:val="000000"/>
          <w:sz w:val="20"/>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pStyle w:val="TextBody"/>
        <w:bidi w:val="0"/>
        <w:spacing w:lineRule="auto" w:line="288" w:before="0" w:after="180"/>
        <w:jc w:val="left"/>
        <w:rPr/>
      </w:pPr>
      <w:r>
        <w:rPr>
          <w:rFonts w:ascii="Times New Roman;serif" w:hAnsi="Times New Roman;serif"/>
          <w:b/>
          <w:color w:val="000000"/>
          <w:sz w:val="20"/>
        </w:rPr>
        <w:t>14.</w:t>
      </w:r>
      <w:r>
        <w:rPr>
          <w:rFonts w:ascii="Times New Roman;serif" w:hAnsi="Times New Roman;serif"/>
          <w:b/>
          <w:color w:val="000000"/>
          <w:sz w:val="20"/>
        </w:rPr>
        <w:t>COMPLIANCE WITH SECURITIES LAW</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88" w:before="0" w:after="180"/>
        <w:jc w:val="left"/>
        <w:rPr/>
      </w:pPr>
      <w:r>
        <w:rPr>
          <w:rFonts w:ascii="Times New Roman;serif" w:hAnsi="Times New Roman;serif"/>
          <w:b/>
          <w:color w:val="000000"/>
          <w:sz w:val="20"/>
        </w:rPr>
        <w:t>15.</w:t>
      </w:r>
      <w:r>
        <w:rPr>
          <w:rFonts w:ascii="Times New Roman;serif" w:hAnsi="Times New Roman;serif"/>
          <w:b/>
          <w:color w:val="000000"/>
          <w:sz w:val="20"/>
        </w:rPr>
        <w:t>COMPLIANCE WITH SECTION 409A</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15.1.</w:t>
      </w:r>
      <w:r>
        <w:rPr>
          <w:rFonts w:ascii="Times New Roman;serif" w:hAnsi="Times New Roman;serif"/>
          <w:b/>
          <w:color w:val="000000"/>
          <w:sz w:val="20"/>
        </w:rPr>
        <w:t>Awards Subject to Section 409A</w:t>
      </w:r>
      <w:r>
        <w:rPr>
          <w:rFonts w:ascii="Times New Roman;serif" w:hAnsi="Times New Roman;serif"/>
          <w:b w:val="false"/>
          <w:color w:val="000000"/>
          <w:sz w:val="20"/>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pStyle w:val="TextBody"/>
        <w:bidi w:val="0"/>
        <w:spacing w:lineRule="auto" w:line="288" w:before="0" w:after="180"/>
        <w:jc w:val="both"/>
        <w:rPr/>
      </w:pPr>
      <w:r>
        <w:rPr>
          <w:rFonts w:ascii="Times New Roman;serif" w:hAnsi="Times New Roman;serif"/>
          <w:b w:val="false"/>
          <w:color w:val="000000"/>
          <w:sz w:val="20"/>
        </w:rPr>
        <w:t>Subject to the provisions of Section 409A, the term “</w:t>
      </w:r>
      <w:r>
        <w:rPr>
          <w:rFonts w:ascii="Times New Roman;serif" w:hAnsi="Times New Roman;serif"/>
          <w:b/>
          <w:i/>
          <w:color w:val="000000"/>
          <w:sz w:val="20"/>
        </w:rPr>
        <w:t>Short-Term Deferral Period</w:t>
      </w:r>
      <w:r>
        <w:rPr>
          <w:color w:val="000000"/>
        </w:rPr>
        <w:t xml:space="preserve">” </w:t>
      </w:r>
      <w:r>
        <w:rPr>
          <w:rFonts w:ascii="Times New Roman;serif" w:hAnsi="Times New Roman;serif"/>
          <w:b w:val="false"/>
          <w:color w:val="000000"/>
          <w:sz w:val="20"/>
        </w:rPr>
        <w:t>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pStyle w:val="TextBody"/>
        <w:bidi w:val="0"/>
        <w:spacing w:lineRule="auto" w:line="288" w:before="0" w:after="180"/>
        <w:jc w:val="left"/>
        <w:rPr/>
      </w:pPr>
      <w:r>
        <w:rPr>
          <w:rFonts w:ascii="Times New Roman;serif" w:hAnsi="Times New Roman;serif"/>
          <w:b w:val="false"/>
          <w:color w:val="000000"/>
          <w:sz w:val="20"/>
        </w:rPr>
        <w:t>15.2.</w:t>
      </w:r>
      <w:r>
        <w:rPr>
          <w:rFonts w:ascii="Times New Roman;serif" w:hAnsi="Times New Roman;serif"/>
          <w:b/>
          <w:color w:val="000000"/>
          <w:sz w:val="20"/>
        </w:rPr>
        <w:t>Deferral and/or Distribution Elections</w:t>
      </w:r>
      <w:r>
        <w:rPr>
          <w:rFonts w:ascii="Times New Roman;serif" w:hAnsi="Times New Roman;serif"/>
          <w:b w:val="false"/>
          <w:color w:val="000000"/>
          <w:sz w:val="20"/>
        </w:rPr>
        <w:t xml:space="preserve">. Except as otherwise permitted or required by Section 409A and the Company, the following rules shall apply to any compensation deferral and/or payment elections (each,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color w:val="000000"/>
        </w:rPr>
        <w:t>“</w:t>
      </w:r>
      <w:r>
        <w:rPr>
          <w:rFonts w:ascii="Times New Roman;serif" w:hAnsi="Times New Roman;serif"/>
          <w:b/>
          <w:i/>
          <w:color w:val="000000"/>
          <w:sz w:val="20"/>
        </w:rPr>
        <w:t>Election</w:t>
      </w:r>
      <w:r>
        <w:rPr>
          <w:color w:val="000000"/>
        </w:rPr>
        <w:t>”</w:t>
      </w:r>
      <w:r>
        <w:rPr>
          <w:rFonts w:ascii="Times New Roman;serif" w:hAnsi="Times New Roman;serif"/>
          <w:b w:val="false"/>
          <w:color w:val="000000"/>
          <w:sz w:val="20"/>
        </w:rPr>
        <w:t>) that may be permitted or required by the Committee pursuant to an Award providing Section 409A Deferred Compensation: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Elections must be in writing and specify the amount of the payment in settlement of an Award being deferred, as well as the time and form of payment as permitted by this Plan.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Elections shall be made by the end of the Participant’s taxable year prior to the year in which services commence for which an Award may be granted to the Participant.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pStyle w:val="TextBody"/>
        <w:bidi w:val="0"/>
        <w:spacing w:lineRule="auto" w:line="288" w:before="0" w:after="180"/>
        <w:jc w:val="left"/>
        <w:rPr/>
      </w:pPr>
      <w:r>
        <w:rPr>
          <w:rFonts w:ascii="Times New Roman;serif" w:hAnsi="Times New Roman;serif"/>
          <w:b w:val="false"/>
          <w:color w:val="000000"/>
          <w:sz w:val="20"/>
        </w:rPr>
        <w:t>15.3.</w:t>
      </w:r>
      <w:r>
        <w:rPr>
          <w:rFonts w:ascii="Times New Roman;serif" w:hAnsi="Times New Roman;serif"/>
          <w:b/>
          <w:color w:val="000000"/>
          <w:sz w:val="20"/>
        </w:rPr>
        <w:t>Subsequent Elections</w:t>
      </w:r>
      <w:r>
        <w:rPr>
          <w:rFonts w:ascii="Times New Roman;serif" w:hAnsi="Times New Roman;serif"/>
          <w:b w:val="false"/>
          <w:color w:val="000000"/>
          <w:sz w:val="20"/>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 subsequent Election may take effect until at least twelve (12) months after the date on which the subsequent Election is made.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No subsequent Election related to a payment pursuant to Section 15.4(a)(vi) shall be made less than twelve (12) months before the date on which such payment would otherwise have been made.</w:t>
      </w:r>
    </w:p>
    <w:p>
      <w:pPr>
        <w:pStyle w:val="TextBody"/>
        <w:bidi w:val="0"/>
        <w:spacing w:lineRule="auto" w:line="288" w:before="0" w:after="180"/>
        <w:ind w:left="0" w:right="0" w:firstLine="720"/>
        <w:jc w:val="left"/>
        <w:rPr/>
      </w:pPr>
      <w:r>
        <w:rPr>
          <w:rFonts w:ascii="Times New Roman;serif" w:hAnsi="Times New Roman;serif"/>
          <w:b w:val="false"/>
          <w:color w:val="000000"/>
          <w:sz w:val="20"/>
        </w:rPr>
        <w:t>(d) Subsequent Elections shall continue in effect until a written revocation or change in the subsequent Election is received by the Company, except that a written revocation or change in a subsequent Election must be received by the Company prior to the last day f</w:t>
      </w:r>
      <w:r>
        <w:rPr>
          <w:rFonts w:ascii="Times New Roman;serif" w:hAnsi="Times New Roman;serif"/>
          <w:b w:val="false"/>
          <w:i/>
          <w:color w:val="000000"/>
          <w:sz w:val="20"/>
        </w:rPr>
        <w:t>or making the subsequent Election determined in accordance the preceding paragraphs of this Section 15.3.</w:t>
      </w:r>
    </w:p>
    <w:p>
      <w:pPr>
        <w:pStyle w:val="TextBody"/>
        <w:bidi w:val="0"/>
        <w:spacing w:lineRule="auto" w:line="288" w:before="0" w:after="180"/>
        <w:jc w:val="left"/>
        <w:rPr/>
      </w:pPr>
      <w:r>
        <w:rPr>
          <w:rFonts w:ascii="Times New Roman;serif" w:hAnsi="Times New Roman;serif"/>
          <w:b w:val="false"/>
          <w:color w:val="000000"/>
          <w:sz w:val="20"/>
        </w:rPr>
        <w:t>15.4.</w:t>
      </w:r>
      <w:r>
        <w:rPr>
          <w:rFonts w:ascii="Times New Roman;serif" w:hAnsi="Times New Roman;serif"/>
          <w:b/>
          <w:color w:val="000000"/>
          <w:sz w:val="20"/>
        </w:rPr>
        <w:t>Payment of Section 409A Deferred Compensation</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color w:val="000000"/>
          <w:sz w:val="20"/>
        </w:rPr>
        <w:t>(a) Permissible Payments</w:t>
      </w:r>
      <w:r>
        <w:rPr>
          <w:rFonts w:ascii="Times New Roman;serif" w:hAnsi="Times New Roman;serif"/>
          <w:b w:val="false"/>
          <w:color w:val="000000"/>
          <w:sz w:val="20"/>
        </w:rPr>
        <w:t>. Except as otherwise permitted or required by Section 409A, an Award providing Section 409A Deferred Compensation must provide for payment in settlement of the Award only upon one or more of the following:</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The Participant’s “separation from service” (as defined by Section 409A);</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 The Participant’s becoming “disabled” (as defined by Section 409A);</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(iii) The Participant’s death;</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(iv) 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 A change in the ownership or effective control or the Company or in the ownership of a substantial portion of the assets of the Company determined in accordance with Section 409A; or</w:t>
      </w:r>
    </w:p>
    <w:p>
      <w:pPr>
        <w:pStyle w:val="TextBody"/>
        <w:bidi w:val="0"/>
        <w:spacing w:lineRule="auto" w:line="288" w:before="0" w:after="18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(vi) The occurrence of an “unforeseeable emergency” (as defined by Section 409A).</w:t>
      </w:r>
    </w:p>
    <w:p>
      <w:pPr>
        <w:pStyle w:val="TextBody"/>
        <w:bidi w:val="0"/>
        <w:spacing w:lineRule="auto" w:line="288" w:before="0" w:after="180"/>
        <w:ind w:left="0" w:right="0" w:firstLine="720"/>
        <w:jc w:val="left"/>
        <w:rPr/>
      </w:pPr>
      <w:r>
        <w:rPr>
          <w:rFonts w:ascii="Times New Roman;serif" w:hAnsi="Times New Roman;serif"/>
          <w:b/>
          <w:color w:val="000000"/>
          <w:sz w:val="20"/>
        </w:rPr>
        <w:t>(b) Installment Payments</w:t>
      </w:r>
      <w:r>
        <w:rPr>
          <w:rFonts w:ascii="Times New Roman;serif" w:hAnsi="Times New Roman;serif"/>
          <w:b w:val="false"/>
          <w:color w:val="000000"/>
          <w:sz w:val="20"/>
        </w:rPr>
        <w:t>. It is the intent of this Plan that any right of a Participant to receive installment payments (within the meaning of Section 409A) shall, for all purposes of Section 409A, be treated as a right to a series of separate payments.</w:t>
      </w:r>
    </w:p>
    <w:p>
      <w:pPr>
        <w:pStyle w:val="TextBody"/>
        <w:bidi w:val="0"/>
        <w:spacing w:lineRule="auto" w:line="288" w:before="0" w:after="180"/>
        <w:ind w:left="0" w:right="0" w:firstLine="720"/>
        <w:jc w:val="left"/>
        <w:rPr/>
      </w:pPr>
      <w:r>
        <w:rPr>
          <w:rFonts w:ascii="Times New Roman;serif" w:hAnsi="Times New Roman;serif"/>
          <w:b/>
          <w:color w:val="000000"/>
          <w:sz w:val="20"/>
        </w:rPr>
        <w:t>(c) Required Delay in Payment to Specified Employee Pursuant to Separation from Service</w:t>
      </w:r>
      <w:r>
        <w:rPr>
          <w:rFonts w:ascii="Times New Roman;serif" w:hAnsi="Times New Roman;serif"/>
          <w:b w:val="false"/>
          <w:color w:val="000000"/>
          <w:sz w:val="20"/>
        </w:rPr>
        <w:t>. Notwithstanding any provision of the Plan 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serif" w:hAnsi="Times New Roman;serif"/>
          <w:b/>
          <w:color w:val="000000"/>
          <w:sz w:val="20"/>
        </w:rPr>
        <w:t>Delayed Payment Date</w:t>
      </w:r>
      <w:r>
        <w:rPr>
          <w:color w:val="000000"/>
        </w:rPr>
        <w:t>”</w:t>
      </w:r>
      <w:r>
        <w:rPr>
          <w:rFonts w:ascii="Times New Roman;serif" w:hAnsi="Times New Roman;serif"/>
          <w:b w:val="false"/>
          <w:color w:val="000000"/>
          <w:sz w:val="20"/>
        </w:rPr>
        <w:t xml:space="preserve">) that is six (6) months after the date of such Participant’s separation from service, or, if earlier, the date of the Participant’s death.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amounts that would, but for this paragraph, become payable prior to the Delayed Payment Date shall be accumulated and paid on the Delayed Payment Date.</w:t>
      </w:r>
    </w:p>
    <w:p>
      <w:pPr>
        <w:pStyle w:val="TextBody"/>
        <w:bidi w:val="0"/>
        <w:spacing w:lineRule="auto" w:line="288" w:before="0" w:after="180"/>
        <w:ind w:left="0" w:right="0" w:firstLine="720"/>
        <w:jc w:val="left"/>
        <w:rPr/>
      </w:pPr>
      <w:r>
        <w:rPr>
          <w:rFonts w:ascii="Times New Roman;serif" w:hAnsi="Times New Roman;serif"/>
          <w:b/>
          <w:color w:val="000000"/>
          <w:sz w:val="20"/>
        </w:rPr>
        <w:t>(d) Payment Upon Disability</w:t>
      </w:r>
      <w:r>
        <w:rPr>
          <w:rFonts w:ascii="Times New Roman;serif" w:hAnsi="Times New Roman;serif"/>
          <w:b w:val="false"/>
          <w:color w:val="000000"/>
          <w:sz w:val="20"/>
        </w:rPr>
        <w:t>. All distributions of Section 409A Deferred Compensation payable 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pStyle w:val="TextBody"/>
        <w:bidi w:val="0"/>
        <w:spacing w:lineRule="auto" w:line="288" w:before="0" w:after="180"/>
        <w:ind w:left="0" w:right="0" w:firstLine="720"/>
        <w:jc w:val="left"/>
        <w:rPr/>
      </w:pPr>
      <w:r>
        <w:rPr>
          <w:rFonts w:ascii="Times New Roman;serif" w:hAnsi="Times New Roman;serif"/>
          <w:b/>
          <w:color w:val="000000"/>
          <w:sz w:val="20"/>
        </w:rPr>
        <w:t>(e) Payment Upon Death</w:t>
      </w:r>
      <w:r>
        <w:rPr>
          <w:rFonts w:ascii="Times New Roman;serif" w:hAnsi="Times New Roman;serif"/>
          <w:b w:val="false"/>
          <w:color w:val="000000"/>
          <w:sz w:val="20"/>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pStyle w:val="TextBody"/>
        <w:bidi w:val="0"/>
        <w:spacing w:lineRule="auto" w:line="288" w:before="0" w:after="180"/>
        <w:ind w:left="0" w:right="0" w:firstLine="720"/>
        <w:jc w:val="left"/>
        <w:rPr/>
      </w:pPr>
      <w:r>
        <w:rPr>
          <w:rFonts w:ascii="Times New Roman;serif" w:hAnsi="Times New Roman;serif"/>
          <w:b/>
          <w:color w:val="000000"/>
          <w:sz w:val="20"/>
        </w:rPr>
        <w:t>(f) Payment Upon Change in Control</w:t>
      </w:r>
      <w:r>
        <w:rPr>
          <w:rFonts w:ascii="Times New Roman;serif" w:hAnsi="Times New Roman;serif"/>
          <w:b w:val="false"/>
          <w:color w:val="000000"/>
          <w:sz w:val="20"/>
        </w:rPr>
        <w:t>. 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pStyle w:val="TextBody"/>
        <w:bidi w:val="0"/>
        <w:spacing w:lineRule="auto" w:line="288" w:before="0" w:after="180"/>
        <w:ind w:left="0" w:right="0" w:firstLine="720"/>
        <w:jc w:val="left"/>
        <w:rPr/>
      </w:pPr>
      <w:r>
        <w:rPr>
          <w:rFonts w:ascii="Times New Roman;serif" w:hAnsi="Times New Roman;serif"/>
          <w:b/>
          <w:color w:val="000000"/>
          <w:sz w:val="20"/>
        </w:rPr>
        <w:t>(g) Payment Upon Unforeseeable Emergency</w:t>
      </w:r>
      <w:r>
        <w:rPr>
          <w:rFonts w:ascii="Times New Roman;serif" w:hAnsi="Times New Roman;serif"/>
          <w:b w:val="false"/>
          <w:color w:val="000000"/>
          <w:sz w:val="20"/>
        </w:rPr>
        <w:t>. The Committee shall have the authority to provide in the 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pStyle w:val="TextBody"/>
        <w:bidi w:val="0"/>
        <w:spacing w:lineRule="auto" w:line="288" w:before="0" w:after="180"/>
        <w:ind w:left="0" w:right="0" w:firstLine="720"/>
        <w:jc w:val="left"/>
        <w:rPr/>
      </w:pPr>
      <w:r>
        <w:rPr>
          <w:rFonts w:ascii="Times New Roman;serif" w:hAnsi="Times New Roman;serif"/>
          <w:b/>
          <w:color w:val="000000"/>
          <w:sz w:val="20"/>
        </w:rPr>
        <w:t>(h) Prohibition of Acceleration of Payments</w:t>
      </w:r>
      <w:r>
        <w:rPr>
          <w:rFonts w:ascii="Times New Roman;serif" w:hAnsi="Times New Roman;serif"/>
          <w:b w:val="false"/>
          <w:color w:val="000000"/>
          <w:sz w:val="20"/>
        </w:rPr>
        <w:t>. Notwithstanding any provision of the Plan or an Award Agreement to 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pStyle w:val="TextBody"/>
        <w:bidi w:val="0"/>
        <w:spacing w:lineRule="auto" w:line="288" w:before="0" w:after="180"/>
        <w:ind w:left="0" w:right="0" w:firstLine="720"/>
        <w:jc w:val="left"/>
        <w:rPr/>
      </w:pPr>
      <w:r>
        <w:rPr>
          <w:rFonts w:ascii="Times New Roman;serif" w:hAnsi="Times New Roman;serif"/>
          <w:b/>
          <w:color w:val="000000"/>
          <w:sz w:val="20"/>
        </w:rPr>
        <w:t>(i) No Representation Regarding Section 409A Compliance</w:t>
      </w:r>
      <w:r>
        <w:rPr>
          <w:rFonts w:ascii="Times New Roman;serif" w:hAnsi="Times New Roman;serif"/>
          <w:b w:val="false"/>
          <w:color w:val="000000"/>
          <w:sz w:val="20"/>
        </w:rPr>
        <w:t>. Notwithstanding any other provision of the Plan, the Company makes no representation that Awards shall be exempt from or comply with Section 409A. No Participating Company shall be liable for any tax, penalty or interest imposed on a Participant by Section 409A.</w:t>
      </w:r>
    </w:p>
    <w:p>
      <w:pPr>
        <w:pStyle w:val="TextBody"/>
        <w:bidi w:val="0"/>
        <w:spacing w:lineRule="auto" w:line="288" w:before="0" w:after="180"/>
        <w:ind w:left="0" w:right="0" w:firstLine="720"/>
        <w:jc w:val="left"/>
        <w:rPr/>
      </w:pPr>
      <w:r>
        <w:rPr>
          <w:rFonts w:ascii="Times New Roman;serif" w:hAnsi="Times New Roman;serif"/>
          <w:b/>
          <w:color w:val="000000"/>
          <w:sz w:val="20"/>
        </w:rPr>
        <w:t>16.</w:t>
      </w:r>
      <w:r>
        <w:rPr>
          <w:rFonts w:ascii="Times New Roman;serif" w:hAnsi="Times New Roman;serif"/>
          <w:b/>
          <w:color w:val="000000"/>
          <w:sz w:val="20"/>
        </w:rPr>
        <w:t>TAX WITHHOLDING</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16.1.</w:t>
      </w:r>
      <w:r>
        <w:rPr>
          <w:rFonts w:ascii="Times New Roman;serif" w:hAnsi="Times New Roman;serif"/>
          <w:b/>
          <w:color w:val="000000"/>
          <w:sz w:val="20"/>
        </w:rPr>
        <w:t>Tax Withholding in General</w:t>
      </w:r>
      <w:r>
        <w:rPr>
          <w:rFonts w:ascii="Times New Roman;serif" w:hAnsi="Times New Roman;serif"/>
          <w:b w:val="false"/>
          <w:color w:val="000000"/>
          <w:sz w:val="20"/>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pStyle w:val="TextBody"/>
        <w:bidi w:val="0"/>
        <w:spacing w:lineRule="auto" w:line="288" w:before="0" w:after="180"/>
        <w:jc w:val="left"/>
        <w:rPr/>
      </w:pPr>
      <w:r>
        <w:rPr>
          <w:rFonts w:ascii="Times New Roman;serif" w:hAnsi="Times New Roman;serif"/>
          <w:b w:val="false"/>
          <w:color w:val="000000"/>
          <w:sz w:val="20"/>
        </w:rPr>
        <w:t>16.2.</w:t>
      </w:r>
      <w:r>
        <w:rPr>
          <w:rFonts w:ascii="Times New Roman;serif" w:hAnsi="Times New Roman;serif"/>
          <w:b/>
          <w:color w:val="000000"/>
          <w:sz w:val="20"/>
        </w:rPr>
        <w:t>Withholding in or Directed Sale of Shares</w:t>
      </w:r>
      <w:r>
        <w:rPr>
          <w:rFonts w:ascii="Times New Roman;serif" w:hAnsi="Times New Roman;serif"/>
          <w:b w:val="false"/>
          <w:color w:val="000000"/>
          <w:sz w:val="20"/>
        </w:rPr>
        <w:t xml:space="preserve">. The Company shall have the right, but not the obligation, to deduct from the shares of Stock issuable to a Participant upon the exercise or settlement of an Award,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after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pStyle w:val="TextBody"/>
        <w:bidi w:val="0"/>
        <w:spacing w:lineRule="auto" w:line="288" w:before="0" w:after="180"/>
        <w:jc w:val="left"/>
        <w:rPr/>
      </w:pPr>
      <w:r>
        <w:rPr>
          <w:rFonts w:ascii="Times New Roman;serif" w:hAnsi="Times New Roman;serif"/>
          <w:b/>
          <w:color w:val="000000"/>
          <w:sz w:val="20"/>
        </w:rPr>
        <w:t>17.</w:t>
      </w:r>
      <w:r>
        <w:rPr>
          <w:rFonts w:ascii="Times New Roman;serif" w:hAnsi="Times New Roman;serif"/>
          <w:b/>
          <w:color w:val="000000"/>
          <w:sz w:val="20"/>
        </w:rPr>
        <w:t>AMENDMENT, SUSPENSION OR TERMINATION OF PLAN</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pStyle w:val="TextBody"/>
        <w:bidi w:val="0"/>
        <w:spacing w:lineRule="auto" w:line="288" w:before="0" w:after="180"/>
        <w:jc w:val="left"/>
        <w:rPr/>
      </w:pPr>
      <w:r>
        <w:rPr>
          <w:rFonts w:ascii="Times New Roman;serif" w:hAnsi="Times New Roman;serif"/>
          <w:b/>
          <w:color w:val="000000"/>
          <w:sz w:val="20"/>
        </w:rPr>
        <w:t>18.</w:t>
      </w:r>
      <w:r>
        <w:rPr>
          <w:rFonts w:ascii="Times New Roman;serif" w:hAnsi="Times New Roman;serif"/>
          <w:b/>
          <w:color w:val="000000"/>
          <w:sz w:val="20"/>
        </w:rPr>
        <w:t>MISCELLANEOUS PROVISIONS</w:t>
      </w:r>
      <w:r>
        <w:rPr>
          <w:rFonts w:ascii="Times New Roman;serif" w:hAnsi="Times New Roman;serif"/>
          <w:b w:val="false"/>
          <w:color w:val="000000"/>
          <w:sz w:val="20"/>
        </w:rPr>
        <w:t>.</w:t>
      </w:r>
    </w:p>
    <w:p>
      <w:pPr>
        <w:pStyle w:val="TextBody"/>
        <w:bidi w:val="0"/>
        <w:spacing w:lineRule="auto" w:line="288" w:before="0" w:after="180"/>
        <w:jc w:val="left"/>
        <w:rPr/>
      </w:pPr>
      <w:r>
        <w:rPr>
          <w:rFonts w:ascii="Times New Roman;serif" w:hAnsi="Times New Roman;serif"/>
          <w:b w:val="false"/>
          <w:color w:val="000000"/>
          <w:sz w:val="20"/>
        </w:rPr>
        <w:t>18.1.</w:t>
      </w:r>
      <w:r>
        <w:rPr>
          <w:rFonts w:ascii="Times New Roman;serif" w:hAnsi="Times New Roman;serif"/>
          <w:b/>
          <w:color w:val="000000"/>
          <w:sz w:val="20"/>
        </w:rPr>
        <w:t>Repurchase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lineRule="auto" w:line="288" w:before="0" w:after="180"/>
        <w:jc w:val="left"/>
        <w:rPr/>
      </w:pPr>
      <w:r>
        <w:rPr>
          <w:rFonts w:ascii="Times New Roman;serif" w:hAnsi="Times New Roman;serif"/>
          <w:b w:val="false"/>
          <w:color w:val="000000"/>
          <w:sz w:val="20"/>
        </w:rPr>
        <w:t>18.2.</w:t>
      </w:r>
      <w:r>
        <w:rPr>
          <w:rFonts w:ascii="Times New Roman;serif" w:hAnsi="Times New Roman;serif"/>
          <w:b/>
          <w:color w:val="000000"/>
          <w:sz w:val="20"/>
        </w:rPr>
        <w:t>Forfeiture Events</w:t>
      </w:r>
      <w:r>
        <w:rPr>
          <w:rFonts w:ascii="Times New Roman;serif" w:hAnsi="Times New Roman;serif"/>
          <w:b w:val="false"/>
          <w:color w:val="000000"/>
          <w:sz w:val="20"/>
        </w:rPr>
        <w: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or other applicable law or listing requirements,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No recovery of compensation pursuant to the foregoing provisions will constitute an event giving rise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Participant’s right to voluntarily terminate employment upon a “resignation for good reason” or for a “constructive termination” or any similar term under any plan or agreement with the Company.</w:t>
      </w:r>
    </w:p>
    <w:p>
      <w:pPr>
        <w:pStyle w:val="TextBody"/>
        <w:bidi w:val="0"/>
        <w:spacing w:lineRule="auto" w:line="288" w:before="0" w:after="180"/>
        <w:jc w:val="left"/>
        <w:rPr/>
      </w:pPr>
      <w:r>
        <w:rPr>
          <w:rFonts w:ascii="Times New Roman;serif" w:hAnsi="Times New Roman;serif"/>
          <w:b w:val="false"/>
          <w:color w:val="000000"/>
          <w:sz w:val="20"/>
        </w:rPr>
        <w:t>18.3.</w:t>
      </w:r>
      <w:r>
        <w:rPr>
          <w:rFonts w:ascii="Times New Roman;serif" w:hAnsi="Times New Roman;serif"/>
          <w:b/>
          <w:color w:val="000000"/>
          <w:sz w:val="20"/>
        </w:rPr>
        <w:t>Provision of Information</w:t>
      </w:r>
      <w:r>
        <w:rPr>
          <w:rFonts w:ascii="Times New Roman;serif" w:hAnsi="Times New Roman;serif"/>
          <w:b w:val="false"/>
          <w:color w:val="000000"/>
          <w:sz w:val="20"/>
        </w:rPr>
        <w:t>. Each Participant shall be given access to information concerning the Company equivalent to that information generally made available to the Company’s common stockholders.</w:t>
      </w:r>
    </w:p>
    <w:p>
      <w:pPr>
        <w:pStyle w:val="TextBody"/>
        <w:bidi w:val="0"/>
        <w:spacing w:lineRule="auto" w:line="288" w:before="0" w:after="180"/>
        <w:jc w:val="left"/>
        <w:rPr/>
      </w:pPr>
      <w:r>
        <w:rPr>
          <w:rFonts w:ascii="Times New Roman;serif" w:hAnsi="Times New Roman;serif"/>
          <w:b w:val="false"/>
          <w:color w:val="000000"/>
          <w:sz w:val="20"/>
        </w:rPr>
        <w:t>18.4.</w:t>
      </w:r>
      <w:r>
        <w:rPr>
          <w:rFonts w:ascii="Times New Roman;serif" w:hAnsi="Times New Roman;serif"/>
          <w:b/>
          <w:color w:val="000000"/>
          <w:sz w:val="20"/>
        </w:rPr>
        <w:t>Electronic Delivery and Participation</w:t>
      </w:r>
      <w:r>
        <w:rPr>
          <w:rFonts w:ascii="Times New Roman;serif" w:hAnsi="Times New Roman;serif"/>
          <w:b w:val="false"/>
          <w:color w:val="000000"/>
          <w:sz w:val="20"/>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Times New Roman;serif" w:hAnsi="Times New Roman;serif"/>
          <w:b w:val="false"/>
          <w:i/>
          <w:color w:val="000000"/>
          <w:sz w:val="20"/>
        </w:rPr>
        <w:t>e.g.</w:t>
      </w:r>
      <w:r>
        <w:rPr>
          <w:rFonts w:ascii="Times New Roman;serif" w:hAnsi="Times New Roman;serif"/>
          <w:b w:val="false"/>
          <w:color w:val="000000"/>
          <w:sz w:val="20"/>
        </w:rPr>
        <w:t>, a stock certificate or electronic entry evidencing such shares) shall be determined by the Company.</w:t>
      </w:r>
    </w:p>
    <w:p>
      <w:pPr>
        <w:pStyle w:val="TextBody"/>
        <w:bidi w:val="0"/>
        <w:spacing w:lineRule="auto" w:line="288" w:before="0" w:after="180"/>
        <w:jc w:val="left"/>
        <w:rPr/>
      </w:pPr>
      <w:r>
        <w:rPr>
          <w:rFonts w:ascii="Times New Roman;serif" w:hAnsi="Times New Roman;serif"/>
          <w:b w:val="false"/>
          <w:color w:val="000000"/>
          <w:sz w:val="20"/>
        </w:rPr>
        <w:t>18.5.</w:t>
      </w:r>
      <w:r>
        <w:rPr>
          <w:rFonts w:ascii="Times New Roman;serif" w:hAnsi="Times New Roman;serif"/>
          <w:b/>
          <w:color w:val="000000"/>
          <w:sz w:val="20"/>
        </w:rPr>
        <w:t>Change in Time Commitment</w:t>
      </w:r>
      <w:r>
        <w:rPr>
          <w:rFonts w:ascii="Times New Roman;serif" w:hAnsi="Times New Roman;serif"/>
          <w:b w:val="false"/>
          <w:color w:val="000000"/>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88" w:before="0" w:after="180"/>
        <w:jc w:val="left"/>
        <w:rPr/>
      </w:pPr>
      <w:r>
        <w:rPr>
          <w:rFonts w:ascii="Times New Roman;serif" w:hAnsi="Times New Roman;serif"/>
          <w:b w:val="false"/>
          <w:color w:val="000000"/>
          <w:sz w:val="20"/>
        </w:rPr>
        <w:t>18.6.</w:t>
      </w:r>
      <w:r>
        <w:rPr>
          <w:rFonts w:ascii="Times New Roman;serif" w:hAnsi="Times New Roman;serif"/>
          <w:b/>
          <w:color w:val="000000"/>
          <w:sz w:val="20"/>
        </w:rPr>
        <w:t>Rights as Employee, Consultant or Director</w:t>
      </w:r>
      <w:r>
        <w:rPr>
          <w:rFonts w:ascii="Times New Roman;serif" w:hAnsi="Times New Roman;serif"/>
          <w:b w:val="false"/>
          <w:color w:val="000000"/>
          <w:sz w:val="20"/>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pStyle w:val="TextBody"/>
        <w:bidi w:val="0"/>
        <w:spacing w:lineRule="auto" w:line="288" w:before="0" w:after="180"/>
        <w:jc w:val="left"/>
        <w:rPr/>
      </w:pPr>
      <w:r>
        <w:rPr>
          <w:rFonts w:ascii="Times New Roman;serif" w:hAnsi="Times New Roman;serif"/>
          <w:b w:val="false"/>
          <w:color w:val="000000"/>
          <w:sz w:val="20"/>
        </w:rPr>
        <w:t>18.7.</w:t>
      </w:r>
      <w:r>
        <w:rPr>
          <w:rFonts w:ascii="Times New Roman;serif" w:hAnsi="Times New Roman;serif"/>
          <w:b/>
          <w:color w:val="000000"/>
          <w:sz w:val="20"/>
        </w:rPr>
        <w:t>Rights as a Stockholder</w:t>
      </w:r>
      <w:r>
        <w:rPr>
          <w:rFonts w:ascii="Times New Roman;serif" w:hAnsi="Times New Roman;serif"/>
          <w:b w:val="false"/>
          <w:color w:val="000000"/>
          <w:sz w:val="20"/>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pStyle w:val="TextBody"/>
        <w:bidi w:val="0"/>
        <w:spacing w:lineRule="auto" w:line="288" w:before="0" w:after="180"/>
        <w:jc w:val="left"/>
        <w:rPr/>
      </w:pPr>
      <w:r>
        <w:rPr>
          <w:rFonts w:ascii="Times New Roman;serif" w:hAnsi="Times New Roman;serif"/>
          <w:b w:val="false"/>
          <w:color w:val="000000"/>
          <w:sz w:val="20"/>
        </w:rPr>
        <w:t>18.8.</w:t>
      </w:r>
      <w:r>
        <w:rPr>
          <w:rFonts w:ascii="Times New Roman;serif" w:hAnsi="Times New Roman;serif"/>
          <w:b/>
          <w:color w:val="000000"/>
          <w:sz w:val="20"/>
        </w:rPr>
        <w:t>Delivery of Title to Shares</w:t>
      </w:r>
      <w:r>
        <w:rPr>
          <w:rFonts w:ascii="Times New Roman;serif" w:hAnsi="Times New Roman;serif"/>
          <w:b w:val="false"/>
          <w:color w:val="000000"/>
          <w:sz w:val="20"/>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pStyle w:val="TextBody"/>
        <w:bidi w:val="0"/>
        <w:spacing w:lineRule="auto" w:line="288" w:before="0" w:after="180"/>
        <w:jc w:val="left"/>
        <w:rPr/>
      </w:pPr>
      <w:r>
        <w:rPr>
          <w:rFonts w:ascii="Times New Roman;serif" w:hAnsi="Times New Roman;serif"/>
          <w:b w:val="false"/>
          <w:color w:val="000000"/>
          <w:sz w:val="20"/>
        </w:rPr>
        <w:t>18.9.</w:t>
      </w:r>
      <w:r>
        <w:rPr>
          <w:rFonts w:ascii="Times New Roman;serif" w:hAnsi="Times New Roman;serif"/>
          <w:b/>
          <w:color w:val="000000"/>
          <w:sz w:val="20"/>
        </w:rPr>
        <w:t>Fractional Shares</w:t>
      </w:r>
      <w:r>
        <w:rPr>
          <w:rFonts w:ascii="Times New Roman;serif" w:hAnsi="Times New Roman;serif"/>
          <w:b w:val="false"/>
          <w:color w:val="000000"/>
          <w:sz w:val="20"/>
        </w:rPr>
        <w:t>. The Company shall not be required to issue fractional shares upon the exercise or settlement of any Award.</w:t>
      </w:r>
    </w:p>
    <w:p>
      <w:pPr>
        <w:pStyle w:val="TextBody"/>
        <w:bidi w:val="0"/>
        <w:spacing w:lineRule="auto" w:line="288" w:before="0" w:after="180"/>
        <w:jc w:val="left"/>
        <w:rPr/>
      </w:pPr>
      <w:r>
        <w:rPr>
          <w:rFonts w:ascii="Times New Roman;serif" w:hAnsi="Times New Roman;serif"/>
          <w:b w:val="false"/>
          <w:color w:val="000000"/>
          <w:sz w:val="20"/>
        </w:rPr>
        <w:t>18.10.</w:t>
      </w:r>
      <w:r>
        <w:rPr>
          <w:rFonts w:ascii="Times New Roman;serif" w:hAnsi="Times New Roman;serif"/>
          <w:b/>
          <w:color w:val="000000"/>
          <w:sz w:val="20"/>
        </w:rPr>
        <w:t>Provisions for Non-U</w:t>
      </w:r>
      <w:r>
        <w:rPr>
          <w:rFonts w:ascii="Times New Roman;serif" w:hAnsi="Times New Roman;serif"/>
          <w:b w:val="false"/>
          <w:color w:val="000000"/>
          <w:sz w:val="20"/>
        </w:rPr>
        <w:t>.</w:t>
      </w:r>
      <w:r>
        <w:rPr>
          <w:rFonts w:ascii="Times New Roman;serif" w:hAnsi="Times New Roman;serif"/>
          <w:b/>
          <w:color w:val="000000"/>
          <w:sz w:val="20"/>
        </w:rPr>
        <w:t>S</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Participants</w:t>
      </w:r>
      <w:r>
        <w:rPr>
          <w:rFonts w:ascii="Times New Roman;serif" w:hAnsi="Times New Roman;serif"/>
          <w:b w:val="false"/>
          <w:color w:val="000000"/>
          <w:sz w:val="20"/>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spacing w:lineRule="auto" w:line="288" w:before="0" w:after="180"/>
        <w:jc w:val="left"/>
        <w:rPr/>
      </w:pPr>
      <w:r>
        <w:rPr>
          <w:rFonts w:ascii="Times New Roman;serif" w:hAnsi="Times New Roman;serif"/>
          <w:b w:val="false"/>
          <w:color w:val="000000"/>
          <w:sz w:val="20"/>
        </w:rPr>
        <w:t>18.11.</w:t>
      </w:r>
      <w:r>
        <w:rPr>
          <w:rFonts w:ascii="Times New Roman;serif" w:hAnsi="Times New Roman;serif"/>
          <w:b/>
          <w:color w:val="000000"/>
          <w:sz w:val="20"/>
        </w:rPr>
        <w:t>Lock-Up Period</w:t>
      </w:r>
      <w:r>
        <w:rPr>
          <w:rFonts w:ascii="Times New Roman;serif" w:hAnsi="Times New Roman;serif"/>
          <w:b w:val="false"/>
          <w:color w:val="000000"/>
          <w:sz w:val="20"/>
        </w:rPr>
        <w:t>. The Company may, at the request of any underwriter representative or otherwise, in connection with registering the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pStyle w:val="TextBody"/>
        <w:bidi w:val="0"/>
        <w:spacing w:lineRule="auto" w:line="288" w:before="0" w:after="180"/>
        <w:jc w:val="left"/>
        <w:rPr/>
      </w:pPr>
      <w:r>
        <w:rPr>
          <w:rFonts w:ascii="Times New Roman;serif" w:hAnsi="Times New Roman;serif"/>
          <w:b w:val="false"/>
          <w:color w:val="000000"/>
          <w:sz w:val="20"/>
        </w:rPr>
        <w:t>18.12.</w:t>
      </w:r>
      <w:r>
        <w:rPr>
          <w:rFonts w:ascii="Times New Roman;serif" w:hAnsi="Times New Roman;serif"/>
          <w:b/>
          <w:color w:val="000000"/>
          <w:sz w:val="20"/>
        </w:rPr>
        <w:t>Data Privacy</w:t>
      </w:r>
      <w:r>
        <w:rPr>
          <w:rFonts w:ascii="Times New Roman;serif" w:hAnsi="Times New Roman;serif"/>
          <w:b w:val="false"/>
          <w:color w:val="000000"/>
          <w:sz w:val="20"/>
        </w:rPr>
        <w:t xml:space="preserve">.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pPr>
      <w:r>
        <w:rPr>
          <w:rFonts w:ascii="Times New Roman;serif" w:hAnsi="Times New Roman;serif"/>
          <w:b w:val="false"/>
          <w:color w:val="000000"/>
          <w:sz w:val="20"/>
        </w:rPr>
        <w:t>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Times New Roman;serif" w:hAnsi="Times New Roman;serif"/>
          <w:b/>
          <w:i/>
          <w:color w:val="000000"/>
          <w:sz w:val="20"/>
        </w:rPr>
        <w:t>Data</w:t>
      </w:r>
      <w:r>
        <w:rPr>
          <w:color w:val="000000"/>
        </w:rPr>
        <w:t>”</w:t>
      </w:r>
      <w:r>
        <w:rPr>
          <w:rFonts w:ascii="Times New Roman;serif" w:hAnsi="Times New Roman;serif"/>
          <w:b w:val="false"/>
          <w:color w:val="000000"/>
          <w:sz w:val="20"/>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pStyle w:val="TextBody"/>
        <w:bidi w:val="0"/>
        <w:spacing w:lineRule="auto" w:line="288" w:before="0" w:after="180"/>
        <w:jc w:val="left"/>
        <w:rPr/>
      </w:pPr>
      <w:r>
        <w:rPr>
          <w:rFonts w:ascii="Times New Roman;serif" w:hAnsi="Times New Roman;serif"/>
          <w:b w:val="false"/>
          <w:color w:val="000000"/>
          <w:sz w:val="20"/>
        </w:rPr>
        <w:t>18.13.</w:t>
      </w:r>
      <w:r>
        <w:rPr>
          <w:rFonts w:ascii="Times New Roman;serif" w:hAnsi="Times New Roman;serif"/>
          <w:b/>
          <w:color w:val="000000"/>
          <w:sz w:val="20"/>
        </w:rPr>
        <w:t>Retirement and Welfare Plans</w:t>
      </w:r>
      <w:r>
        <w:rPr>
          <w:rFonts w:ascii="Times New Roman;serif" w:hAnsi="Times New Roman;serif"/>
          <w:b w:val="false"/>
          <w:color w:val="000000"/>
          <w:sz w:val="20"/>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pStyle w:val="TextBody"/>
        <w:bidi w:val="0"/>
        <w:spacing w:lineRule="auto" w:line="288" w:before="0" w:after="180"/>
        <w:jc w:val="left"/>
        <w:rPr/>
      </w:pPr>
      <w:r>
        <w:rPr>
          <w:rFonts w:ascii="Times New Roman;serif" w:hAnsi="Times New Roman;serif"/>
          <w:b w:val="false"/>
          <w:color w:val="000000"/>
          <w:sz w:val="20"/>
        </w:rPr>
        <w:t>18.14.</w:t>
      </w:r>
      <w:r>
        <w:rPr>
          <w:rFonts w:ascii="Times New Roman;serif" w:hAnsi="Times New Roman;serif"/>
          <w:b/>
          <w:color w:val="000000"/>
          <w:sz w:val="20"/>
        </w:rPr>
        <w:t>Beneficiary Designation</w:t>
      </w:r>
      <w:r>
        <w:rPr>
          <w:rFonts w:ascii="Times New Roman;serif" w:hAnsi="Times New Roman;serif"/>
          <w:b w:val="false"/>
          <w:color w:val="000000"/>
          <w:sz w:val="20"/>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pStyle w:val="TextBody"/>
        <w:bidi w:val="0"/>
        <w:spacing w:lineRule="auto" w:line="288" w:before="0" w:after="180"/>
        <w:jc w:val="left"/>
        <w:rPr/>
      </w:pPr>
      <w:r>
        <w:rPr>
          <w:rFonts w:ascii="Times New Roman;serif" w:hAnsi="Times New Roman;serif"/>
          <w:b w:val="false"/>
          <w:color w:val="000000"/>
          <w:sz w:val="20"/>
        </w:rPr>
        <w:t>18.15.</w:t>
      </w:r>
      <w:r>
        <w:rPr>
          <w:rFonts w:ascii="Times New Roman;serif" w:hAnsi="Times New Roman;serif"/>
          <w:b/>
          <w:color w:val="000000"/>
          <w:sz w:val="20"/>
        </w:rPr>
        <w:t>Severability</w:t>
      </w:r>
      <w:r>
        <w:rPr>
          <w:rFonts w:ascii="Times New Roman;serif" w:hAnsi="Times New Roman;serif"/>
          <w:b w:val="false"/>
          <w:color w:val="000000"/>
          <w:sz w:val="20"/>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pStyle w:val="TextBody"/>
        <w:bidi w:val="0"/>
        <w:spacing w:lineRule="auto" w:line="288" w:before="0" w:after="180"/>
        <w:jc w:val="left"/>
        <w:rPr/>
      </w:pPr>
      <w:r>
        <w:rPr>
          <w:rFonts w:ascii="Times New Roman;serif" w:hAnsi="Times New Roman;serif"/>
          <w:b w:val="false"/>
          <w:color w:val="000000"/>
          <w:sz w:val="20"/>
        </w:rPr>
        <w:t>18.16.</w:t>
      </w:r>
      <w:r>
        <w:rPr>
          <w:rFonts w:ascii="Times New Roman;serif" w:hAnsi="Times New Roman;serif"/>
          <w:b/>
          <w:color w:val="000000"/>
          <w:sz w:val="20"/>
        </w:rPr>
        <w:t>No Constraint on Corporate Action</w:t>
      </w:r>
      <w:r>
        <w:rPr>
          <w:rFonts w:ascii="Times New Roman;serif" w:hAnsi="Times New Roman;serif"/>
          <w:b w:val="false"/>
          <w:color w:val="000000"/>
          <w:sz w:val="20"/>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pStyle w:val="TextBody"/>
        <w:bidi w:val="0"/>
        <w:spacing w:lineRule="auto" w:line="288" w:before="0" w:after="180"/>
        <w:jc w:val="left"/>
        <w:rPr/>
      </w:pPr>
      <w:r>
        <w:rPr>
          <w:rFonts w:ascii="Times New Roman;serif" w:hAnsi="Times New Roman;serif"/>
          <w:b w:val="false"/>
          <w:color w:val="000000"/>
          <w:sz w:val="20"/>
        </w:rPr>
        <w:t>18.17.</w:t>
      </w:r>
      <w:r>
        <w:rPr>
          <w:rFonts w:ascii="Times New Roman;serif" w:hAnsi="Times New Roman;serif"/>
          <w:b/>
          <w:color w:val="000000"/>
          <w:sz w:val="20"/>
        </w:rPr>
        <w:t>Unfunded Obligation</w:t>
      </w:r>
      <w:r>
        <w:rPr>
          <w:rFonts w:ascii="Times New Roman;serif" w:hAnsi="Times New Roman;serif"/>
          <w:b w:val="false"/>
          <w:color w:val="000000"/>
          <w:sz w:val="20"/>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pStyle w:val="TextBody"/>
        <w:bidi w:val="0"/>
        <w:spacing w:lineRule="auto" w:line="288" w:before="0" w:after="180"/>
        <w:jc w:val="left"/>
        <w:rPr/>
      </w:pPr>
      <w:r>
        <w:rPr>
          <w:rFonts w:ascii="Times New Roman;serif" w:hAnsi="Times New Roman;serif"/>
          <w:b w:val="false"/>
          <w:color w:val="000000"/>
          <w:sz w:val="20"/>
        </w:rPr>
        <w:t>18.18.</w:t>
      </w:r>
      <w:r>
        <w:rPr>
          <w:rFonts w:ascii="Times New Roman;serif" w:hAnsi="Times New Roman;serif"/>
          <w:b/>
          <w:color w:val="000000"/>
          <w:sz w:val="20"/>
        </w:rPr>
        <w:t>Choice of Law</w:t>
      </w:r>
      <w:r>
        <w:rPr>
          <w:rFonts w:ascii="Times New Roman;serif" w:hAnsi="Times New Roman;serif"/>
          <w:b w:val="false"/>
          <w:color w:val="000000"/>
          <w:sz w:val="20"/>
        </w:rPr>
        <w:t>. Except to the extent governed by applicable federal law, the validity, interpretation, construction and performance of the Plan and each Award Agreement shall be governed by the laws of the State of Delaware, without regard to its conflict of law rules.</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50936</Words>
  <Characters>268819</Characters>
  <CharactersWithSpaces>319423</CharactersWithSpaces>
  <Paragraphs>1448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