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394335</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411480</wp:posOffset>
            </wp:positionV>
            <wp:extent cx="71666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SCHEDULE 14A INFORMATION</w:t>
      </w:r>
    </w:p>
    <w:p>
      <w:pPr>
        <w:spacing w:after="0" w:line="25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PROXY STATEMENT PURSUANT TO SECTION 14(a) OF THE</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(Amendment No.    )</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Filed by the Registrant </w:t>
      </w:r>
      <w:r>
        <w:rPr>
          <w:rFonts w:ascii="Wingdings" w:cs="Wingdings" w:eastAsia="Wingdings" w:hAnsi="Wingdings"/>
          <w:sz w:val="12"/>
          <w:szCs w:val="12"/>
          <w:b w:val="1"/>
          <w:bCs w:val="1"/>
          <w:color w:val="auto"/>
        </w:rPr>
        <w:t>x</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Filed by a party other than the Registrant  </w:t>
      </w:r>
      <w:r>
        <w:rPr>
          <w:rFonts w:ascii="Wingdings" w:cs="Wingdings" w:eastAsia="Wingdings" w:hAnsi="Wingdings"/>
          <w:sz w:val="12"/>
          <w:szCs w:val="12"/>
          <w:b w:val="1"/>
          <w:bCs w:val="1"/>
          <w:color w:val="auto"/>
        </w:rPr>
        <w:t>o</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114" w:lineRule="exact"/>
        <w:rPr>
          <w:sz w:val="24"/>
          <w:szCs w:val="24"/>
          <w:color w:val="auto"/>
        </w:rPr>
      </w:pPr>
    </w:p>
    <w:p>
      <w:pPr>
        <w:ind w:left="460" w:hanging="456"/>
        <w:spacing w:after="0"/>
        <w:tabs>
          <w:tab w:leader="none" w:pos="46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Preliminary Proxy Statement</w:t>
      </w:r>
    </w:p>
    <w:p>
      <w:pPr>
        <w:spacing w:after="0" w:line="114" w:lineRule="exact"/>
        <w:rPr>
          <w:rFonts w:ascii="Wingdings" w:cs="Wingdings" w:eastAsia="Wingdings" w:hAnsi="Wingdings"/>
          <w:sz w:val="12"/>
          <w:szCs w:val="12"/>
          <w:b w:val="1"/>
          <w:bCs w:val="1"/>
          <w:color w:val="auto"/>
        </w:rPr>
      </w:pPr>
    </w:p>
    <w:p>
      <w:pPr>
        <w:ind w:left="460" w:hanging="456"/>
        <w:spacing w:after="0"/>
        <w:tabs>
          <w:tab w:leader="none" w:pos="46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Confidential, for Use of the Commission Only (as permitted by Rule 14a-6(e)(2))</w:t>
      </w:r>
    </w:p>
    <w:p>
      <w:pPr>
        <w:spacing w:after="0" w:line="114" w:lineRule="exact"/>
        <w:rPr>
          <w:sz w:val="24"/>
          <w:szCs w:val="24"/>
          <w:color w:val="auto"/>
        </w:rPr>
      </w:pPr>
    </w:p>
    <w:p>
      <w:pPr>
        <w:ind w:left="460" w:hanging="456"/>
        <w:spacing w:after="0"/>
        <w:tabs>
          <w:tab w:leader="none" w:pos="460" w:val="left"/>
        </w:tabs>
        <w:numPr>
          <w:ilvl w:val="0"/>
          <w:numId w:val="2"/>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Definitive Proxy Statement</w:t>
      </w:r>
    </w:p>
    <w:p>
      <w:pPr>
        <w:spacing w:after="0" w:line="114" w:lineRule="exact"/>
        <w:rPr>
          <w:sz w:val="24"/>
          <w:szCs w:val="24"/>
          <w:color w:val="auto"/>
        </w:rPr>
      </w:pPr>
    </w:p>
    <w:p>
      <w:pPr>
        <w:ind w:left="460" w:hanging="456"/>
        <w:spacing w:after="0"/>
        <w:tabs>
          <w:tab w:leader="none" w:pos="460" w:val="left"/>
        </w:tabs>
        <w:numPr>
          <w:ilvl w:val="0"/>
          <w:numId w:val="3"/>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Definitive Additional Materials</w:t>
      </w:r>
    </w:p>
    <w:p>
      <w:pPr>
        <w:spacing w:after="0" w:line="114" w:lineRule="exact"/>
        <w:rPr>
          <w:rFonts w:ascii="Wingdings" w:cs="Wingdings" w:eastAsia="Wingdings" w:hAnsi="Wingdings"/>
          <w:sz w:val="12"/>
          <w:szCs w:val="12"/>
          <w:b w:val="1"/>
          <w:bCs w:val="1"/>
          <w:color w:val="auto"/>
        </w:rPr>
      </w:pPr>
    </w:p>
    <w:p>
      <w:pPr>
        <w:ind w:left="460" w:hanging="456"/>
        <w:spacing w:after="0"/>
        <w:tabs>
          <w:tab w:leader="none" w:pos="460" w:val="left"/>
        </w:tabs>
        <w:numPr>
          <w:ilvl w:val="0"/>
          <w:numId w:val="3"/>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under §240.14a-12</w:t>
      </w:r>
    </w:p>
    <w:p>
      <w:pPr>
        <w:spacing w:after="0" w:line="2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QT Imaging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666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7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31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2"/>
          <w:szCs w:val="12"/>
          <w:color w:val="auto"/>
        </w:rPr>
        <w:t>(Name of Person(s) Filing Proxy Statement, if other than the Registrant)</w:t>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186" w:lineRule="exact"/>
        <w:rPr>
          <w:sz w:val="24"/>
          <w:szCs w:val="24"/>
          <w:color w:val="auto"/>
        </w:rPr>
      </w:pPr>
    </w:p>
    <w:p>
      <w:pPr>
        <w:ind w:left="460" w:hanging="456"/>
        <w:spacing w:after="0"/>
        <w:tabs>
          <w:tab w:leader="none" w:pos="460" w:val="left"/>
        </w:tabs>
        <w:numPr>
          <w:ilvl w:val="0"/>
          <w:numId w:val="4"/>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No fee required.</w:t>
      </w:r>
    </w:p>
    <w:p>
      <w:pPr>
        <w:spacing w:after="0" w:line="114" w:lineRule="exact"/>
        <w:rPr>
          <w:sz w:val="24"/>
          <w:szCs w:val="24"/>
          <w:color w:val="auto"/>
        </w:rPr>
      </w:pPr>
    </w:p>
    <w:p>
      <w:pPr>
        <w:ind w:left="460" w:hanging="456"/>
        <w:spacing w:after="0"/>
        <w:tabs>
          <w:tab w:leader="none" w:pos="460" w:val="left"/>
        </w:tabs>
        <w:numPr>
          <w:ilvl w:val="0"/>
          <w:numId w:val="5"/>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Fee paid previously with preliminary materials.</w:t>
      </w:r>
    </w:p>
    <w:p>
      <w:pPr>
        <w:spacing w:after="0" w:line="114" w:lineRule="exact"/>
        <w:rPr>
          <w:rFonts w:ascii="Wingdings" w:cs="Wingdings" w:eastAsia="Wingdings" w:hAnsi="Wingdings"/>
          <w:sz w:val="12"/>
          <w:szCs w:val="12"/>
          <w:b w:val="1"/>
          <w:bCs w:val="1"/>
          <w:color w:val="auto"/>
        </w:rPr>
      </w:pPr>
    </w:p>
    <w:p>
      <w:pPr>
        <w:ind w:left="460" w:hanging="456"/>
        <w:spacing w:after="0"/>
        <w:tabs>
          <w:tab w:leader="none" w:pos="460" w:val="left"/>
        </w:tabs>
        <w:numPr>
          <w:ilvl w:val="0"/>
          <w:numId w:val="5"/>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672465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159385</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176530</wp:posOffset>
            </wp:positionV>
            <wp:extent cx="71666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0159"/>
          </w:cols>
          <w:pgMar w:left="300" w:top="19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July 2, 2026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Stockholder:</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You are cordially invited to attend this year’s Annual Meeting of Stockholders of QT Imaging Holdings, Inc. on July 28, 2026 at 1:00 p.m., Eastern Time. The meeting will be held virtually, at </w:t>
      </w:r>
      <w:r>
        <w:rPr>
          <w:rFonts w:ascii="Times New Roman" w:cs="Times New Roman" w:eastAsia="Times New Roman" w:hAnsi="Times New Roman"/>
          <w:sz w:val="12"/>
          <w:szCs w:val="12"/>
          <w:u w:val="single" w:color="auto"/>
          <w:color w:val="0000FF"/>
        </w:rPr>
        <w:t>www.virtualshareholdermeeting.com/QTI2026</w:t>
      </w:r>
      <w:r>
        <w:rPr>
          <w:rFonts w:ascii="Times New Roman" w:cs="Times New Roman" w:eastAsia="Times New Roman" w:hAnsi="Times New Roman"/>
          <w:sz w:val="12"/>
          <w:szCs w:val="12"/>
          <w:color w:val="000000"/>
        </w:rPr>
        <w:t>. The meeting will comprise a discussion and voting on the matters set forth in the accompanying Notice of Annual Meeting of Stockholders.</w:t>
      </w:r>
    </w:p>
    <w:p>
      <w:pPr>
        <w:spacing w:after="0" w:line="7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Notice of Annual Meeting of Stockholders and a Proxy Statement, which describe the formal business to be conducted at the meeting, accompany this letter. A copy of our Annual Report on Form 10-K is also enclosed for your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matters to be acted upon are described in the Notice of Annual Meeting of Stockholders and Proxy Statement.</w:t>
      </w:r>
    </w:p>
    <w:p>
      <w:pPr>
        <w:spacing w:after="0" w:line="1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Whether or not you plan to attend the meeting, your vote is very important and we encourage you to vote promptly. You may vote by proxy over the Internet, or you can also vote by mail by following the instructions on the paper copy of the proxy card that was mailed to you. If you attend the meeting you will, of course, have the right to revoke the proxy and vote your shares in person. If you hold your shares through an account with a brokerage firm, bank or other nominee, please follow the instructions you receive from your brokerage firm, bank or other nominee to vote your shares. We look forward to seeing you at the Annual Meeting.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Sincerely yours,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Dr. Raluca Dinu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357759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DR. RALUCA DINU</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439420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2026 ANNUAL MEETING OF STOCKHOLDERS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Be Held July 28, 2026</w:t>
      </w:r>
    </w:p>
    <w:p>
      <w:pPr>
        <w:spacing w:after="0" w:line="8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The 2026 Annual Meeting of Stockholders of QT Imaging Holdings, Inc., a Delaware corporation, will be held on July 28, 2026 at 1:00 p.m., Eastern Time, virtually at </w:t>
      </w:r>
      <w:r>
        <w:rPr>
          <w:rFonts w:ascii="Times New Roman" w:cs="Times New Roman" w:eastAsia="Times New Roman" w:hAnsi="Times New Roman"/>
          <w:sz w:val="12"/>
          <w:szCs w:val="12"/>
          <w:u w:val="single" w:color="auto"/>
          <w:color w:val="0000FF"/>
        </w:rPr>
        <w:t>www.virtualshareholdermeeting.com/QTI2026</w:t>
      </w:r>
      <w:r>
        <w:rPr>
          <w:rFonts w:ascii="Times New Roman" w:cs="Times New Roman" w:eastAsia="Times New Roman" w:hAnsi="Times New Roman"/>
          <w:sz w:val="12"/>
          <w:szCs w:val="12"/>
          <w:color w:val="auto"/>
        </w:rPr>
        <w:t>, for the following purposes:</w:t>
      </w:r>
    </w:p>
    <w:p>
      <w:pPr>
        <w:spacing w:after="0" w:line="75" w:lineRule="exact"/>
        <w:rPr>
          <w:sz w:val="20"/>
          <w:szCs w:val="20"/>
          <w:color w:val="auto"/>
        </w:rPr>
      </w:pPr>
    </w:p>
    <w:p>
      <w:pPr>
        <w:ind w:left="540" w:hanging="278"/>
        <w:spacing w:after="0"/>
        <w:tabs>
          <w:tab w:leader="none" w:pos="5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two Class II directors to hold office until the 2029 annual meeting and until their respective successors are elected and qualified.</w:t>
      </w:r>
    </w:p>
    <w:p>
      <w:pPr>
        <w:spacing w:after="0" w:line="114" w:lineRule="exact"/>
        <w:rPr>
          <w:rFonts w:ascii="Times New Roman" w:cs="Times New Roman" w:eastAsia="Times New Roman" w:hAnsi="Times New Roman"/>
          <w:sz w:val="12"/>
          <w:szCs w:val="12"/>
          <w:color w:val="auto"/>
        </w:rPr>
      </w:pPr>
    </w:p>
    <w:p>
      <w:pPr>
        <w:ind w:left="540" w:hanging="278"/>
        <w:spacing w:after="0"/>
        <w:tabs>
          <w:tab w:leader="none" w:pos="5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ratify the appointment of BPM LLP as our independent registered public accounting firm for the fiscal year ending December 31, 2026.</w:t>
      </w:r>
    </w:p>
    <w:p>
      <w:pPr>
        <w:spacing w:after="0" w:line="112" w:lineRule="exact"/>
        <w:rPr>
          <w:rFonts w:ascii="Times New Roman" w:cs="Times New Roman" w:eastAsia="Times New Roman" w:hAnsi="Times New Roman"/>
          <w:sz w:val="12"/>
          <w:szCs w:val="12"/>
          <w:color w:val="auto"/>
        </w:rPr>
      </w:pPr>
    </w:p>
    <w:p>
      <w:pPr>
        <w:ind w:left="540" w:right="20" w:hanging="278"/>
        <w:spacing w:after="0" w:line="283" w:lineRule="auto"/>
        <w:tabs>
          <w:tab w:leader="none" w:pos="5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amendment (the “</w:t>
      </w:r>
      <w:r>
        <w:rPr>
          <w:rFonts w:ascii="Times New Roman" w:cs="Times New Roman" w:eastAsia="Times New Roman" w:hAnsi="Times New Roman"/>
          <w:sz w:val="12"/>
          <w:szCs w:val="12"/>
          <w:i w:val="1"/>
          <w:iCs w:val="1"/>
          <w:color w:val="auto"/>
        </w:rPr>
        <w:t>Plan Amendment</w:t>
      </w:r>
      <w:r>
        <w:rPr>
          <w:rFonts w:ascii="Times New Roman" w:cs="Times New Roman" w:eastAsia="Times New Roman" w:hAnsi="Times New Roman"/>
          <w:sz w:val="12"/>
          <w:szCs w:val="12"/>
          <w:color w:val="auto"/>
        </w:rPr>
        <w:t>”) to our 2024 Equity Incentive Plan (the “</w:t>
      </w:r>
      <w:r>
        <w:rPr>
          <w:rFonts w:ascii="Times New Roman" w:cs="Times New Roman" w:eastAsia="Times New Roman" w:hAnsi="Times New Roman"/>
          <w:sz w:val="12"/>
          <w:szCs w:val="12"/>
          <w:i w:val="1"/>
          <w:iCs w:val="1"/>
          <w:color w:val="auto"/>
        </w:rPr>
        <w:t>Plan</w:t>
      </w:r>
      <w:r>
        <w:rPr>
          <w:rFonts w:ascii="Times New Roman" w:cs="Times New Roman" w:eastAsia="Times New Roman" w:hAnsi="Times New Roman"/>
          <w:sz w:val="12"/>
          <w:szCs w:val="12"/>
          <w:color w:val="auto"/>
        </w:rPr>
        <w:t>”) to increase the total number of shares of Company common stock, par value $0.0001 per share (“</w:t>
      </w:r>
      <w:r>
        <w:rPr>
          <w:rFonts w:ascii="Times New Roman" w:cs="Times New Roman" w:eastAsia="Times New Roman" w:hAnsi="Times New Roman"/>
          <w:sz w:val="12"/>
          <w:szCs w:val="12"/>
          <w:i w:val="1"/>
          <w:iCs w:val="1"/>
          <w:color w:val="auto"/>
        </w:rPr>
        <w:t>Common Stock</w:t>
      </w:r>
      <w:r>
        <w:rPr>
          <w:rFonts w:ascii="Times New Roman" w:cs="Times New Roman" w:eastAsia="Times New Roman" w:hAnsi="Times New Roman"/>
          <w:sz w:val="12"/>
          <w:szCs w:val="12"/>
          <w:color w:val="auto"/>
        </w:rPr>
        <w:t>”) authorized and reserved for issuance under the Plan, which is currently 1,827,278 shares, by 550,900 shares, which is 4% of our currently issued and outstanding shares of Common Stock, to 2,378,178 shares.</w:t>
      </w:r>
    </w:p>
    <w:p>
      <w:pPr>
        <w:spacing w:after="0" w:line="72" w:lineRule="exact"/>
        <w:rPr>
          <w:rFonts w:ascii="Times New Roman" w:cs="Times New Roman" w:eastAsia="Times New Roman" w:hAnsi="Times New Roman"/>
          <w:sz w:val="12"/>
          <w:szCs w:val="12"/>
          <w:color w:val="auto"/>
        </w:rPr>
      </w:pPr>
    </w:p>
    <w:p>
      <w:pPr>
        <w:ind w:left="540" w:hanging="278"/>
        <w:spacing w:after="0"/>
        <w:tabs>
          <w:tab w:leader="none" w:pos="5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such other business as may properly come before the meeting or any adjournment or postponement of the meeting.</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Our Board of Directors (the “</w:t>
      </w:r>
      <w:r>
        <w:rPr>
          <w:rFonts w:ascii="Times New Roman" w:cs="Times New Roman" w:eastAsia="Times New Roman" w:hAnsi="Times New Roman"/>
          <w:sz w:val="12"/>
          <w:szCs w:val="12"/>
          <w:i w:val="1"/>
          <w:iCs w:val="1"/>
          <w:color w:val="auto"/>
        </w:rPr>
        <w:t>Board</w:t>
      </w:r>
      <w:r>
        <w:rPr>
          <w:rFonts w:ascii="Times New Roman" w:cs="Times New Roman" w:eastAsia="Times New Roman" w:hAnsi="Times New Roman"/>
          <w:sz w:val="12"/>
          <w:szCs w:val="12"/>
          <w:color w:val="auto"/>
        </w:rPr>
        <w:t>”) recommends a vote FOR Items 1, 2 and 3. Stockholders of record at the close of business on June 23, 2026 are entitled to notice of, and to vote at, the meeting and any adjournment or postponement thereof. For 10 days prior to the meeting, a complete list of stockholders entitled to vote at the meeting will be available for examination by any stockholder, for any purpose relating to the meeting, during ordinary business hours at our principal executive offices located at Three Hamilton Landing, Suite 160, Novato, California 94949.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357759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DR. AVI S. KATZ</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Chairman of the Board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717232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325" cy="257175"/>
                    </a:xfrm>
                    <a:prstGeom prst="rect">
                      <a:avLst/>
                    </a:prstGeom>
                    <a:noFill/>
                  </pic:spPr>
                </pic:pic>
              </a:graphicData>
            </a:graphic>
          </wp:anchor>
        </w:drawing>
      </w:r>
    </w:p>
    <w:p>
      <w:pPr>
        <w:spacing w:after="0" w:line="202" w:lineRule="exact"/>
        <w:rPr>
          <w:sz w:val="20"/>
          <w:szCs w:val="20"/>
          <w:color w:val="auto"/>
        </w:rPr>
      </w:pPr>
    </w:p>
    <w:p>
      <w:pPr>
        <w:ind w:left="80" w:right="120"/>
        <w:spacing w:after="0" w:line="279" w:lineRule="auto"/>
        <w:rPr>
          <w:sz w:val="20"/>
          <w:szCs w:val="20"/>
          <w:color w:val="auto"/>
        </w:rPr>
      </w:pPr>
      <w:r>
        <w:rPr>
          <w:rFonts w:ascii="Times New Roman" w:cs="Times New Roman" w:eastAsia="Times New Roman" w:hAnsi="Times New Roman"/>
          <w:sz w:val="12"/>
          <w:szCs w:val="12"/>
          <w:color w:val="auto"/>
        </w:rPr>
        <w:t xml:space="preserve">IMPORTANT: Please vote your shares over the Internet, in the manner described at </w:t>
      </w:r>
      <w:r>
        <w:rPr>
          <w:rFonts w:ascii="Times New Roman" w:cs="Times New Roman" w:eastAsia="Times New Roman" w:hAnsi="Times New Roman"/>
          <w:sz w:val="12"/>
          <w:szCs w:val="12"/>
          <w:u w:val="single" w:color="auto"/>
          <w:color w:val="0E32E1"/>
        </w:rPr>
        <w:t>www.virtualshareholdermeeting.com/QTI2026</w:t>
      </w:r>
      <w:r>
        <w:rPr>
          <w:rFonts w:ascii="Times New Roman" w:cs="Times New Roman" w:eastAsia="Times New Roman" w:hAnsi="Times New Roman"/>
          <w:sz w:val="12"/>
          <w:szCs w:val="12"/>
          <w:color w:val="auto"/>
        </w:rPr>
        <w:t>, to assure that your shares are represented at the meeting, or you may mark, sign and date the paper copy of the proxy card that you received by mail and return it in the enclosed postage-paid envelope. If you attend the meeting, you may choose to vote in person even if you have previously voted your shares.</w:t>
      </w:r>
    </w:p>
    <w:p>
      <w:pPr>
        <w:spacing w:after="0" w:line="161" w:lineRule="exact"/>
        <w:rPr>
          <w:sz w:val="20"/>
          <w:szCs w:val="20"/>
          <w:color w:val="auto"/>
        </w:rPr>
      </w:pPr>
    </w:p>
    <w:p>
      <w:pPr>
        <w:jc w:val="both"/>
        <w:spacing w:after="0" w:line="148" w:lineRule="exact"/>
        <w:rPr>
          <w:sz w:val="20"/>
          <w:szCs w:val="20"/>
          <w:color w:val="auto"/>
        </w:rPr>
      </w:pPr>
      <w:r>
        <w:rPr>
          <w:rFonts w:ascii="Times New Roman" w:cs="Times New Roman" w:eastAsia="Times New Roman" w:hAnsi="Times New Roman"/>
          <w:sz w:val="12"/>
          <w:szCs w:val="12"/>
          <w:b w:val="1"/>
          <w:bCs w:val="1"/>
          <w:color w:val="auto"/>
        </w:rPr>
        <w:t xml:space="preserve">IMPORTANT NOTICE REGARDING THE AVAILABILITY OF PROXY MATERIALS FOR THE ANNUAL MEETING OF STOCKHOLDERS TO BE HELD ON JULY 28, 2026: </w:t>
      </w:r>
      <w:r>
        <w:rPr>
          <w:rFonts w:ascii="Times New Roman" w:cs="Times New Roman" w:eastAsia="Times New Roman" w:hAnsi="Times New Roman"/>
          <w:sz w:val="12"/>
          <w:szCs w:val="12"/>
          <w:color w:val="auto"/>
        </w:rPr>
        <w:t>Our Proxy Statement is enclosed.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Financial and other information concerning QT Imaging Holdings, Inc. is contained in our Annual Report on Form10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K for the fiscal year ended December 31, 2025, as well as our Quarterly Reports on Form 10-Q for the quarterly period ended March 31, 2026, which are available on the SEC’s website at </w:t>
      </w:r>
      <w:r>
        <w:rPr>
          <w:rFonts w:ascii="Times New Roman" w:cs="Times New Roman" w:eastAsia="Times New Roman" w:hAnsi="Times New Roman"/>
          <w:sz w:val="12"/>
          <w:szCs w:val="12"/>
          <w:u w:val="single" w:color="auto"/>
          <w:color w:val="0000FF"/>
        </w:rPr>
        <w:t>www.sec.gov</w:t>
      </w:r>
      <w:r>
        <w:rPr>
          <w:rFonts w:ascii="Times New Roman" w:cs="Times New Roman" w:eastAsia="Times New Roman" w:hAnsi="Times New Roman"/>
          <w:sz w:val="12"/>
          <w:szCs w:val="12"/>
          <w:color w:val="auto"/>
        </w:rPr>
        <w:t xml:space="preserve"> and on our website at </w:t>
      </w:r>
      <w:r>
        <w:rPr>
          <w:rFonts w:ascii="Times New Roman" w:cs="Times New Roman" w:eastAsia="Times New Roman" w:hAnsi="Times New Roman"/>
          <w:sz w:val="12"/>
          <w:szCs w:val="12"/>
          <w:u w:val="single" w:color="auto"/>
          <w:color w:val="0000FF"/>
        </w:rPr>
        <w:t>https://www.qtimaging.</w:t>
      </w:r>
      <w:r>
        <w:rPr>
          <w:rFonts w:ascii="Times New Roman" w:cs="Times New Roman" w:eastAsia="Times New Roman" w:hAnsi="Times New Roman"/>
          <w:sz w:val="12"/>
          <w:szCs w:val="12"/>
          <w:u w:val="single" w:color="auto"/>
          <w:color w:val="0E32E1"/>
        </w:rPr>
        <w:t>com</w:t>
      </w:r>
      <w:r>
        <w:rPr>
          <w:rFonts w:ascii="Times New Roman" w:cs="Times New Roman" w:eastAsia="Times New Roman" w:hAnsi="Times New Roman"/>
          <w:sz w:val="12"/>
          <w:szCs w:val="12"/>
          <w:u w:val="single" w:color="auto"/>
          <w:color w:val="0000FF"/>
        </w:rPr>
        <w:t>/sec-filings/</w:t>
      </w:r>
      <w:r>
        <w:rPr>
          <w:rFonts w:ascii="Times New Roman" w:cs="Times New Roman" w:eastAsia="Times New Roman" w:hAnsi="Times New Roman"/>
          <w:sz w:val="12"/>
          <w:szCs w:val="12"/>
          <w:color w:val="auto"/>
        </w:rPr>
        <w:t xml:space="preserve">. A complete set of proxy materials relating to our Annual Meeting, consisting of the Notice of Annual Meeting of Stockholders, Proxy Statement, Proxy Card and Annual Report on Form 10-K, is available on the Internet and may be viewed at </w:t>
      </w:r>
      <w:r>
        <w:rPr>
          <w:rFonts w:ascii="Times New Roman" w:cs="Times New Roman" w:eastAsia="Times New Roman" w:hAnsi="Times New Roman"/>
          <w:sz w:val="12"/>
          <w:szCs w:val="12"/>
          <w:u w:val="single" w:color="auto"/>
          <w:color w:val="0000FF"/>
        </w:rPr>
        <w:t>www.virtualshareholdermeeting.com/QTI2026</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445770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60" w:type="dxa"/>
            <w:vAlign w:val="bottom"/>
            <w:gridSpan w:val="3"/>
          </w:tcPr>
          <w:p>
            <w:pPr>
              <w:jc w:val="right"/>
              <w:ind w:right="5040"/>
              <w:spacing w:after="0"/>
              <w:rPr>
                <w:sz w:val="20"/>
                <w:szCs w:val="20"/>
                <w:color w:val="auto"/>
              </w:rPr>
            </w:pPr>
            <w:r>
              <w:rPr>
                <w:rFonts w:ascii="Times New Roman" w:cs="Times New Roman" w:eastAsia="Times New Roman" w:hAnsi="Times New Roman"/>
                <w:sz w:val="12"/>
                <w:szCs w:val="12"/>
                <w:b w:val="1"/>
                <w:bCs w:val="1"/>
                <w:color w:val="auto"/>
              </w:rPr>
              <w:t>PROXY STATEMENT</w:t>
            </w:r>
          </w:p>
        </w:tc>
      </w:tr>
      <w:tr>
        <w:trPr>
          <w:trHeight w:val="159"/>
        </w:trPr>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60" w:type="dxa"/>
            <w:vAlign w:val="bottom"/>
            <w:gridSpan w:val="3"/>
          </w:tcPr>
          <w:p>
            <w:pPr>
              <w:jc w:val="right"/>
              <w:ind w:right="500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54"/>
        </w:trPr>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1"/>
        </w:trPr>
        <w:tc>
          <w:tcPr>
            <w:tcW w:w="48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0000FF"/>
              </w:rPr>
              <w:t>2026 Proxy Statement Summary</w:t>
            </w:r>
          </w:p>
        </w:tc>
        <w:tc>
          <w:tcPr>
            <w:tcW w:w="6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u w:val="single" w:color="auto"/>
                <w:color w:val="0000FF"/>
              </w:rPr>
              <w:t>1</w:t>
            </w:r>
          </w:p>
        </w:tc>
      </w:tr>
      <w:tr>
        <w:trPr>
          <w:trHeight w:val="61"/>
        </w:trPr>
        <w:tc>
          <w:tcPr>
            <w:tcW w:w="60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32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1"/>
        </w:trPr>
        <w:tc>
          <w:tcPr>
            <w:tcW w:w="4820" w:type="dxa"/>
            <w:vAlign w:val="bottom"/>
            <w:gridSpan w:val="13"/>
          </w:tcPr>
          <w:p>
            <w:pPr>
              <w:spacing w:after="0"/>
              <w:rPr>
                <w:sz w:val="20"/>
                <w:szCs w:val="20"/>
                <w:color w:val="auto"/>
              </w:rPr>
            </w:pPr>
            <w:r>
              <w:rPr>
                <w:rFonts w:ascii="Times New Roman" w:cs="Times New Roman" w:eastAsia="Times New Roman" w:hAnsi="Times New Roman"/>
                <w:sz w:val="12"/>
                <w:szCs w:val="12"/>
                <w:color w:val="0000FF"/>
              </w:rPr>
              <w:t>Solicitation and Voting</w:t>
            </w:r>
          </w:p>
        </w:tc>
        <w:tc>
          <w:tcPr>
            <w:tcW w:w="64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u w:val="single" w:color="auto"/>
                <w:color w:val="0000FF"/>
              </w:rPr>
              <w:t>3</w:t>
            </w:r>
          </w:p>
        </w:tc>
      </w:tr>
      <w:tr>
        <w:trPr>
          <w:trHeight w:val="61"/>
        </w:trPr>
        <w:tc>
          <w:tcPr>
            <w:tcW w:w="60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1"/>
        </w:trPr>
        <w:tc>
          <w:tcPr>
            <w:tcW w:w="48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0000FF"/>
              </w:rPr>
              <w:t>Proposal No. 1: Election of Directors</w:t>
            </w:r>
          </w:p>
        </w:tc>
        <w:tc>
          <w:tcPr>
            <w:tcW w:w="6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u w:val="single" w:color="auto"/>
                <w:color w:val="0000FF"/>
              </w:rPr>
              <w:t>6</w:t>
            </w:r>
          </w:p>
        </w:tc>
      </w:tr>
      <w:tr>
        <w:trPr>
          <w:trHeight w:val="61"/>
        </w:trPr>
        <w:tc>
          <w:tcPr>
            <w:tcW w:w="60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32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1"/>
        </w:trPr>
        <w:tc>
          <w:tcPr>
            <w:tcW w:w="4820" w:type="dxa"/>
            <w:vAlign w:val="bottom"/>
            <w:gridSpan w:val="13"/>
          </w:tcPr>
          <w:p>
            <w:pPr>
              <w:spacing w:after="0"/>
              <w:rPr>
                <w:sz w:val="20"/>
                <w:szCs w:val="20"/>
                <w:color w:val="auto"/>
              </w:rPr>
            </w:pPr>
            <w:r>
              <w:rPr>
                <w:rFonts w:ascii="Times New Roman" w:cs="Times New Roman" w:eastAsia="Times New Roman" w:hAnsi="Times New Roman"/>
                <w:sz w:val="12"/>
                <w:szCs w:val="12"/>
                <w:color w:val="0000FF"/>
              </w:rPr>
              <w:t>Proposal No. 2: Ratification of Appointment of Independent Registered Public Accounting Firm</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rPr>
              <w:t>18</w:t>
            </w:r>
          </w:p>
        </w:tc>
        <w:tc>
          <w:tcPr>
            <w:tcW w:w="20" w:type="dxa"/>
            <w:vAlign w:val="bottom"/>
          </w:tcPr>
          <w:p>
            <w:pPr>
              <w:spacing w:after="0"/>
              <w:rPr>
                <w:sz w:val="14"/>
                <w:szCs w:val="14"/>
                <w:color w:val="auto"/>
              </w:rPr>
            </w:pPr>
          </w:p>
        </w:tc>
      </w:tr>
      <w:tr>
        <w:trPr>
          <w:trHeight w:val="61"/>
        </w:trPr>
        <w:tc>
          <w:tcPr>
            <w:tcW w:w="60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720" w:type="dxa"/>
            <w:vAlign w:val="bottom"/>
            <w:tcBorders>
              <w:top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6320" w:type="dxa"/>
            <w:vAlign w:val="bottom"/>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71"/>
        </w:trPr>
        <w:tc>
          <w:tcPr>
            <w:tcW w:w="48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0000FF"/>
              </w:rPr>
              <w:t>Proposal No. 3: Approval of Plan Amendment to 2024 Equity Incentive Plan</w:t>
            </w:r>
          </w:p>
        </w:tc>
        <w:tc>
          <w:tcPr>
            <w:tcW w:w="6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FF"/>
              </w:rPr>
              <w:t>21</w:t>
            </w:r>
          </w:p>
        </w:tc>
        <w:tc>
          <w:tcPr>
            <w:tcW w:w="20" w:type="dxa"/>
            <w:vAlign w:val="bottom"/>
            <w:shd w:val="clear" w:color="auto" w:fill="CCEEFF"/>
          </w:tcPr>
          <w:p>
            <w:pPr>
              <w:spacing w:after="0"/>
              <w:rPr>
                <w:sz w:val="14"/>
                <w:szCs w:val="14"/>
                <w:color w:val="auto"/>
              </w:rPr>
            </w:pPr>
          </w:p>
        </w:tc>
      </w:tr>
      <w:tr>
        <w:trPr>
          <w:trHeight w:val="61"/>
        </w:trPr>
        <w:tc>
          <w:tcPr>
            <w:tcW w:w="60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32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1"/>
        </w:trPr>
        <w:tc>
          <w:tcPr>
            <w:tcW w:w="4820" w:type="dxa"/>
            <w:vAlign w:val="bottom"/>
            <w:gridSpan w:val="13"/>
          </w:tcPr>
          <w:p>
            <w:pPr>
              <w:spacing w:after="0"/>
              <w:rPr>
                <w:sz w:val="20"/>
                <w:szCs w:val="20"/>
                <w:color w:val="auto"/>
              </w:rPr>
            </w:pPr>
            <w:r>
              <w:rPr>
                <w:rFonts w:ascii="Times New Roman" w:cs="Times New Roman" w:eastAsia="Times New Roman" w:hAnsi="Times New Roman"/>
                <w:sz w:val="12"/>
                <w:szCs w:val="12"/>
                <w:color w:val="0000FF"/>
              </w:rPr>
              <w:t>Executive Compensation</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rPr>
              <w:t>25</w:t>
            </w:r>
          </w:p>
        </w:tc>
        <w:tc>
          <w:tcPr>
            <w:tcW w:w="20" w:type="dxa"/>
            <w:vAlign w:val="bottom"/>
          </w:tcPr>
          <w:p>
            <w:pPr>
              <w:spacing w:after="0"/>
              <w:rPr>
                <w:sz w:val="14"/>
                <w:szCs w:val="14"/>
                <w:color w:val="auto"/>
              </w:rPr>
            </w:pPr>
          </w:p>
        </w:tc>
      </w:tr>
      <w:tr>
        <w:trPr>
          <w:trHeight w:val="61"/>
        </w:trPr>
        <w:tc>
          <w:tcPr>
            <w:tcW w:w="60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320" w:type="dxa"/>
            <w:vAlign w:val="bottom"/>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71"/>
        </w:trPr>
        <w:tc>
          <w:tcPr>
            <w:tcW w:w="48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0000FF"/>
              </w:rPr>
              <w:t>Certain Relationships and Related Transactions</w:t>
            </w:r>
          </w:p>
        </w:tc>
        <w:tc>
          <w:tcPr>
            <w:tcW w:w="6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FF"/>
              </w:rPr>
              <w:t>34</w:t>
            </w:r>
          </w:p>
        </w:tc>
        <w:tc>
          <w:tcPr>
            <w:tcW w:w="20" w:type="dxa"/>
            <w:vAlign w:val="bottom"/>
            <w:shd w:val="clear" w:color="auto" w:fill="CCEEFF"/>
          </w:tcPr>
          <w:p>
            <w:pPr>
              <w:spacing w:after="0"/>
              <w:rPr>
                <w:sz w:val="14"/>
                <w:szCs w:val="14"/>
                <w:color w:val="auto"/>
              </w:rPr>
            </w:pPr>
          </w:p>
        </w:tc>
      </w:tr>
      <w:tr>
        <w:trPr>
          <w:trHeight w:val="61"/>
        </w:trPr>
        <w:tc>
          <w:tcPr>
            <w:tcW w:w="60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32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1"/>
        </w:trPr>
        <w:tc>
          <w:tcPr>
            <w:tcW w:w="4820" w:type="dxa"/>
            <w:vAlign w:val="bottom"/>
            <w:gridSpan w:val="13"/>
          </w:tcPr>
          <w:p>
            <w:pPr>
              <w:spacing w:after="0"/>
              <w:rPr>
                <w:sz w:val="20"/>
                <w:szCs w:val="20"/>
                <w:color w:val="auto"/>
              </w:rPr>
            </w:pPr>
            <w:r>
              <w:rPr>
                <w:rFonts w:ascii="Times New Roman" w:cs="Times New Roman" w:eastAsia="Times New Roman" w:hAnsi="Times New Roman"/>
                <w:sz w:val="12"/>
                <w:szCs w:val="12"/>
                <w:color w:val="0000FF"/>
              </w:rPr>
              <w:t>Security Ownership of Certain Beneficial Owners and Management</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rPr>
              <w:t>37</w:t>
            </w:r>
          </w:p>
        </w:tc>
        <w:tc>
          <w:tcPr>
            <w:tcW w:w="20" w:type="dxa"/>
            <w:vAlign w:val="bottom"/>
          </w:tcPr>
          <w:p>
            <w:pPr>
              <w:spacing w:after="0"/>
              <w:rPr>
                <w:sz w:val="14"/>
                <w:szCs w:val="14"/>
                <w:color w:val="auto"/>
              </w:rPr>
            </w:pPr>
          </w:p>
        </w:tc>
      </w:tr>
      <w:tr>
        <w:trPr>
          <w:trHeight w:val="61"/>
        </w:trPr>
        <w:tc>
          <w:tcPr>
            <w:tcW w:w="60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320" w:type="dxa"/>
            <w:vAlign w:val="bottom"/>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71"/>
        </w:trPr>
        <w:tc>
          <w:tcPr>
            <w:tcW w:w="48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0000FF"/>
              </w:rPr>
              <w:t>Stockholder Proposals and Nominations to be Presented at 2027 Annual Meeting</w:t>
            </w:r>
          </w:p>
        </w:tc>
        <w:tc>
          <w:tcPr>
            <w:tcW w:w="6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FF"/>
              </w:rPr>
              <w:t>40</w:t>
            </w:r>
          </w:p>
        </w:tc>
        <w:tc>
          <w:tcPr>
            <w:tcW w:w="20" w:type="dxa"/>
            <w:vAlign w:val="bottom"/>
            <w:shd w:val="clear" w:color="auto" w:fill="CCEEFF"/>
          </w:tcPr>
          <w:p>
            <w:pPr>
              <w:spacing w:after="0"/>
              <w:rPr>
                <w:sz w:val="14"/>
                <w:szCs w:val="14"/>
                <w:color w:val="auto"/>
              </w:rPr>
            </w:pPr>
          </w:p>
        </w:tc>
      </w:tr>
      <w:tr>
        <w:trPr>
          <w:trHeight w:val="61"/>
        </w:trPr>
        <w:tc>
          <w:tcPr>
            <w:tcW w:w="60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32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1"/>
        </w:trPr>
        <w:tc>
          <w:tcPr>
            <w:tcW w:w="4820" w:type="dxa"/>
            <w:vAlign w:val="bottom"/>
            <w:gridSpan w:val="13"/>
          </w:tcPr>
          <w:p>
            <w:pPr>
              <w:spacing w:after="0"/>
              <w:rPr>
                <w:sz w:val="20"/>
                <w:szCs w:val="20"/>
                <w:color w:val="auto"/>
              </w:rPr>
            </w:pPr>
            <w:r>
              <w:rPr>
                <w:rFonts w:ascii="Times New Roman" w:cs="Times New Roman" w:eastAsia="Times New Roman" w:hAnsi="Times New Roman"/>
                <w:sz w:val="12"/>
                <w:szCs w:val="12"/>
                <w:color w:val="0000FF"/>
              </w:rPr>
              <w:t>Transaction of Other Business</w:t>
            </w:r>
          </w:p>
        </w:tc>
        <w:tc>
          <w:tcPr>
            <w:tcW w:w="6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rPr>
              <w:t>41</w:t>
            </w:r>
          </w:p>
        </w:tc>
        <w:tc>
          <w:tcPr>
            <w:tcW w:w="20" w:type="dxa"/>
            <w:vAlign w:val="bottom"/>
          </w:tcPr>
          <w:p>
            <w:pPr>
              <w:spacing w:after="0"/>
              <w:rPr>
                <w:sz w:val="14"/>
                <w:szCs w:val="14"/>
                <w:color w:val="auto"/>
              </w:rPr>
            </w:pPr>
          </w:p>
        </w:tc>
      </w:tr>
      <w:tr>
        <w:trPr>
          <w:trHeight w:val="61"/>
        </w:trPr>
        <w:tc>
          <w:tcPr>
            <w:tcW w:w="60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320" w:type="dxa"/>
            <w:vAlign w:val="bottom"/>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71"/>
        </w:trPr>
        <w:tc>
          <w:tcPr>
            <w:tcW w:w="48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2"/>
                <w:szCs w:val="12"/>
                <w:color w:val="0000FF"/>
              </w:rPr>
              <w:t>Stockholders Sharing the Same Last Name and Address</w:t>
            </w:r>
          </w:p>
        </w:tc>
        <w:tc>
          <w:tcPr>
            <w:tcW w:w="6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FF"/>
              </w:rPr>
              <w:t>41</w:t>
            </w:r>
          </w:p>
        </w:tc>
        <w:tc>
          <w:tcPr>
            <w:tcW w:w="20" w:type="dxa"/>
            <w:vAlign w:val="bottom"/>
            <w:shd w:val="clear" w:color="auto" w:fill="CCEEFF"/>
          </w:tcPr>
          <w:p>
            <w:pPr>
              <w:spacing w:after="0"/>
              <w:rPr>
                <w:sz w:val="14"/>
                <w:szCs w:val="14"/>
                <w:color w:val="auto"/>
              </w:rPr>
            </w:pPr>
          </w:p>
        </w:tc>
      </w:tr>
      <w:tr>
        <w:trPr>
          <w:trHeight w:val="61"/>
        </w:trPr>
        <w:tc>
          <w:tcPr>
            <w:tcW w:w="60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32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0000FF"/>
                <w:w w:val="98"/>
              </w:rPr>
              <w:t>Appendix A</w:t>
            </w:r>
          </w:p>
        </w:tc>
        <w:tc>
          <w:tcPr>
            <w:tcW w:w="4220" w:type="dxa"/>
            <w:vAlign w:val="bottom"/>
            <w:gridSpan w:val="12"/>
          </w:tcPr>
          <w:p>
            <w:pPr>
              <w:spacing w:after="0"/>
              <w:rPr>
                <w:sz w:val="14"/>
                <w:szCs w:val="14"/>
                <w:color w:val="auto"/>
              </w:rPr>
            </w:pPr>
          </w:p>
        </w:tc>
        <w:tc>
          <w:tcPr>
            <w:tcW w:w="632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0000FF"/>
                <w:w w:val="74"/>
              </w:rPr>
              <w:t>A-i</w:t>
            </w:r>
          </w:p>
        </w:tc>
      </w:tr>
      <w:tr>
        <w:trPr>
          <w:trHeight w:val="20"/>
        </w:trPr>
        <w:tc>
          <w:tcPr>
            <w:tcW w:w="6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 w:name="page5"/>
    <w:bookmarkEnd w:id="4"/>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2026 PROXY STATEMENT SUMMARY</w:t>
      </w:r>
    </w:p>
    <w:p>
      <w:pPr>
        <w:spacing w:after="0" w:line="80"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1"/>
          <w:szCs w:val="11"/>
          <w:i w:val="1"/>
          <w:iCs w:val="1"/>
          <w:color w:val="auto"/>
        </w:rPr>
        <w:t>This summary highlights information contained elsewhere in our Proxy Statement. This summary does not contain all of the information that you should consider, and you should read the entire Proxy Statement carefully before voting.</w:t>
      </w:r>
    </w:p>
    <w:p>
      <w:pPr>
        <w:spacing w:after="0" w:line="24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Annual Meeting of Stockholders</w:t>
            </w:r>
          </w:p>
        </w:tc>
        <w:tc>
          <w:tcPr>
            <w:tcW w:w="1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5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Time and date:</w:t>
            </w:r>
          </w:p>
        </w:tc>
        <w:tc>
          <w:tcPr>
            <w:tcW w:w="914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1:00 p.m., Eastern Time, July 28, 2026</w:t>
            </w:r>
          </w:p>
        </w:tc>
        <w:tc>
          <w:tcPr>
            <w:tcW w:w="0" w:type="dxa"/>
            <w:vAlign w:val="bottom"/>
          </w:tcPr>
          <w:p>
            <w:pPr>
              <w:spacing w:after="0"/>
              <w:rPr>
                <w:sz w:val="1"/>
                <w:szCs w:val="1"/>
                <w:color w:val="auto"/>
              </w:rPr>
            </w:pPr>
          </w:p>
        </w:tc>
      </w:tr>
      <w:tr>
        <w:trPr>
          <w:trHeight w:val="225"/>
        </w:trPr>
        <w:tc>
          <w:tcPr>
            <w:tcW w:w="5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Place:</w:t>
            </w:r>
          </w:p>
        </w:tc>
        <w:tc>
          <w:tcPr>
            <w:tcW w:w="914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 xml:space="preserve">Virtually, at: </w:t>
            </w:r>
            <w:r>
              <w:rPr>
                <w:rFonts w:ascii="Times New Roman" w:cs="Times New Roman" w:eastAsia="Times New Roman" w:hAnsi="Times New Roman"/>
                <w:sz w:val="12"/>
                <w:szCs w:val="12"/>
                <w:color w:val="0E32E1"/>
              </w:rPr>
              <w:t>www.virtualshareholdermeeting.com/QTI2026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Record date:</w:t>
            </w:r>
          </w:p>
        </w:tc>
        <w:tc>
          <w:tcPr>
            <w:tcW w:w="1100" w:type="dxa"/>
            <w:vAlign w:val="bottom"/>
          </w:tcPr>
          <w:p>
            <w:pPr>
              <w:spacing w:after="0" w:line="20" w:lineRule="exact"/>
              <w:rPr>
                <w:sz w:val="1"/>
                <w:szCs w:val="1"/>
                <w:color w:val="auto"/>
              </w:rPr>
            </w:pPr>
          </w:p>
        </w:tc>
        <w:tc>
          <w:tcPr>
            <w:tcW w:w="2260" w:type="dxa"/>
            <w:vAlign w:val="bottom"/>
            <w:shd w:val="clear" w:color="auto" w:fill="0E32E1"/>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vMerge w:val="continue"/>
          </w:tcPr>
          <w:p>
            <w:pPr>
              <w:spacing w:after="0"/>
              <w:rPr>
                <w:sz w:val="22"/>
                <w:szCs w:val="22"/>
                <w:color w:val="auto"/>
              </w:rPr>
            </w:pPr>
          </w:p>
        </w:tc>
        <w:tc>
          <w:tcPr>
            <w:tcW w:w="914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June 23, 2026</w:t>
            </w:r>
          </w:p>
        </w:tc>
        <w:tc>
          <w:tcPr>
            <w:tcW w:w="0" w:type="dxa"/>
            <w:vAlign w:val="bottom"/>
          </w:tcPr>
          <w:p>
            <w:pPr>
              <w:spacing w:after="0"/>
              <w:rPr>
                <w:sz w:val="1"/>
                <w:szCs w:val="1"/>
                <w:color w:val="auto"/>
              </w:rPr>
            </w:pPr>
          </w:p>
        </w:tc>
      </w:tr>
      <w:tr>
        <w:trPr>
          <w:trHeight w:val="241"/>
        </w:trPr>
        <w:tc>
          <w:tcPr>
            <w:tcW w:w="5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How to vote:</w:t>
            </w:r>
          </w:p>
        </w:tc>
        <w:tc>
          <w:tcPr>
            <w:tcW w:w="914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In general, you may vote by the Internet or mail. See “</w:t>
            </w:r>
            <w:r>
              <w:rPr>
                <w:rFonts w:ascii="Times New Roman" w:cs="Times New Roman" w:eastAsia="Times New Roman" w:hAnsi="Times New Roman"/>
                <w:sz w:val="12"/>
                <w:szCs w:val="12"/>
                <w:i w:val="1"/>
                <w:iCs w:val="1"/>
                <w:color w:val="auto"/>
              </w:rPr>
              <w:t>Voting Instructions</w:t>
            </w:r>
            <w:r>
              <w:rPr>
                <w:rFonts w:ascii="Times New Roman" w:cs="Times New Roman" w:eastAsia="Times New Roman" w:hAnsi="Times New Roman"/>
                <w:sz w:val="12"/>
                <w:szCs w:val="12"/>
                <w:color w:val="auto"/>
              </w:rPr>
              <w:t>” on page 5 for more detail regarding how you may vote if you are a registered holder or a beneficial</w:t>
            </w: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14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owner of shares held in “street name.”</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Voting Matters</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Page Reference</w:t>
            </w:r>
          </w:p>
        </w:tc>
      </w:tr>
      <w:tr>
        <w:trPr>
          <w:trHeight w:val="125"/>
        </w:trPr>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620" w:type="dxa"/>
            <w:vAlign w:val="bottom"/>
            <w:gridSpan w:val="5"/>
          </w:tcPr>
          <w:p>
            <w:pPr>
              <w:ind w:left="540"/>
              <w:spacing w:after="0"/>
              <w:rPr>
                <w:sz w:val="20"/>
                <w:szCs w:val="20"/>
                <w:color w:val="auto"/>
              </w:rPr>
            </w:pPr>
            <w:r>
              <w:rPr>
                <w:rFonts w:ascii="Times New Roman" w:cs="Times New Roman" w:eastAsia="Times New Roman" w:hAnsi="Times New Roman"/>
                <w:sz w:val="10"/>
                <w:szCs w:val="10"/>
                <w:b w:val="1"/>
                <w:bCs w:val="1"/>
                <w:color w:val="auto"/>
              </w:rPr>
              <w:t>Proposal</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Board Voting Recommendations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(for more detail)</w:t>
            </w:r>
          </w:p>
        </w:tc>
      </w:tr>
      <w:tr>
        <w:trPr>
          <w:trHeight w:val="62"/>
        </w:trPr>
        <w:tc>
          <w:tcPr>
            <w:tcW w:w="8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r>
        <w:trPr>
          <w:trHeight w:val="178"/>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Election of directors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“FOR” EACH DIRECTOR NOMINEE</w:t>
            </w: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w:t>
            </w:r>
          </w:p>
        </w:tc>
      </w:tr>
      <w:tr>
        <w:trPr>
          <w:trHeight w:val="252"/>
        </w:trPr>
        <w:tc>
          <w:tcPr>
            <w:tcW w:w="474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Ratification of BPM LLP as our independent registered public accounting firm for fiscal 2026</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“FOR”</w:t>
            </w: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r>
      <w:tr>
        <w:trPr>
          <w:trHeight w:val="241"/>
        </w:trPr>
        <w:tc>
          <w:tcPr>
            <w:tcW w:w="576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Plan Amendment to the Plan to increase the total number of shares of Common Stock authorized and reserved for</w:t>
            </w:r>
          </w:p>
        </w:tc>
        <w:tc>
          <w:tcPr>
            <w:tcW w:w="39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"FOR"</w:t>
            </w: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21</w:t>
            </w:r>
          </w:p>
        </w:tc>
      </w:tr>
      <w:tr>
        <w:trPr>
          <w:trHeight w:val="155"/>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issuance under the Plan.</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396"/>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Board Nominees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8"/>
        </w:trPr>
        <w:tc>
          <w:tcPr>
            <w:tcW w:w="84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gridSpan w:val="2"/>
          </w:tcPr>
          <w:p>
            <w:pPr>
              <w:jc w:val="center"/>
              <w:ind w:left="106"/>
              <w:spacing w:after="0"/>
              <w:rPr>
                <w:sz w:val="20"/>
                <w:szCs w:val="20"/>
                <w:color w:val="auto"/>
              </w:rPr>
            </w:pPr>
            <w:r>
              <w:rPr>
                <w:rFonts w:ascii="Times New Roman" w:cs="Times New Roman" w:eastAsia="Times New Roman" w:hAnsi="Times New Roman"/>
                <w:sz w:val="10"/>
                <w:szCs w:val="10"/>
                <w:b w:val="1"/>
                <w:bCs w:val="1"/>
                <w:color w:val="auto"/>
                <w:w w:val="97"/>
              </w:rPr>
              <w:t>Director of</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25"/>
        </w:trPr>
        <w:tc>
          <w:tcPr>
            <w:tcW w:w="840" w:type="dxa"/>
            <w:vAlign w:val="bottom"/>
          </w:tcPr>
          <w:p>
            <w:pPr>
              <w:spacing w:after="0"/>
              <w:rPr>
                <w:sz w:val="10"/>
                <w:szCs w:val="10"/>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3"/>
          </w:tcPr>
          <w:p>
            <w:pPr>
              <w:jc w:val="center"/>
              <w:ind w:right="900"/>
              <w:spacing w:after="0"/>
              <w:rPr>
                <w:sz w:val="20"/>
                <w:szCs w:val="20"/>
                <w:color w:val="auto"/>
              </w:rPr>
            </w:pPr>
            <w:r>
              <w:rPr>
                <w:rFonts w:ascii="Times New Roman" w:cs="Times New Roman" w:eastAsia="Times New Roman" w:hAnsi="Times New Roman"/>
                <w:sz w:val="10"/>
                <w:szCs w:val="10"/>
                <w:b w:val="1"/>
                <w:bCs w:val="1"/>
                <w:color w:val="auto"/>
                <w:w w:val="95"/>
              </w:rPr>
              <w:t>Age</w:t>
            </w:r>
          </w:p>
        </w:tc>
        <w:tc>
          <w:tcPr>
            <w:tcW w:w="1020" w:type="dxa"/>
            <w:vAlign w:val="bottom"/>
            <w:gridSpan w:val="2"/>
          </w:tcPr>
          <w:p>
            <w:pPr>
              <w:jc w:val="center"/>
              <w:ind w:left="106"/>
              <w:spacing w:after="0"/>
              <w:rPr>
                <w:sz w:val="20"/>
                <w:szCs w:val="20"/>
                <w:color w:val="auto"/>
              </w:rPr>
            </w:pPr>
            <w:r>
              <w:rPr>
                <w:rFonts w:ascii="Times New Roman" w:cs="Times New Roman" w:eastAsia="Times New Roman" w:hAnsi="Times New Roman"/>
                <w:sz w:val="10"/>
                <w:szCs w:val="10"/>
                <w:b w:val="1"/>
                <w:bCs w:val="1"/>
                <w:color w:val="auto"/>
                <w:w w:val="95"/>
              </w:rPr>
              <w:t>QT Imaging Since</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Position at QT Imaging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Independent</w:t>
            </w:r>
          </w:p>
        </w:tc>
      </w:tr>
      <w:tr>
        <w:trPr>
          <w:trHeight w:val="62"/>
        </w:trPr>
        <w:tc>
          <w:tcPr>
            <w:tcW w:w="212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r>
        <w:trPr>
          <w:trHeight w:val="178"/>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Bryan Timm</w:t>
            </w:r>
          </w:p>
        </w:tc>
        <w:tc>
          <w:tcPr>
            <w:tcW w:w="1720" w:type="dxa"/>
            <w:vAlign w:val="bottom"/>
            <w:gridSpan w:val="3"/>
          </w:tcPr>
          <w:p>
            <w:pPr>
              <w:jc w:val="center"/>
              <w:ind w:left="824"/>
              <w:spacing w:after="0"/>
              <w:rPr>
                <w:sz w:val="20"/>
                <w:szCs w:val="20"/>
                <w:color w:val="auto"/>
              </w:rPr>
            </w:pPr>
            <w:r>
              <w:rPr>
                <w:rFonts w:ascii="Times New Roman" w:cs="Times New Roman" w:eastAsia="Times New Roman" w:hAnsi="Times New Roman"/>
                <w:sz w:val="12"/>
                <w:szCs w:val="12"/>
                <w:color w:val="auto"/>
                <w:w w:val="99"/>
              </w:rPr>
              <w:t>62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gridSpan w:val="2"/>
          </w:tcPr>
          <w:p>
            <w:pPr>
              <w:jc w:val="center"/>
              <w:ind w:left="86"/>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Director Nominee</w:t>
            </w: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X</w:t>
            </w:r>
          </w:p>
        </w:tc>
      </w:tr>
      <w:tr>
        <w:trPr>
          <w:trHeight w:val="252"/>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Zeev Weiner</w:t>
            </w:r>
          </w:p>
        </w:tc>
        <w:tc>
          <w:tcPr>
            <w:tcW w:w="1720" w:type="dxa"/>
            <w:vAlign w:val="bottom"/>
            <w:gridSpan w:val="3"/>
          </w:tcPr>
          <w:p>
            <w:pPr>
              <w:jc w:val="center"/>
              <w:ind w:left="824"/>
              <w:spacing w:after="0"/>
              <w:rPr>
                <w:sz w:val="20"/>
                <w:szCs w:val="20"/>
                <w:color w:val="auto"/>
              </w:rPr>
            </w:pPr>
            <w:r>
              <w:rPr>
                <w:rFonts w:ascii="Times New Roman" w:cs="Times New Roman" w:eastAsia="Times New Roman" w:hAnsi="Times New Roman"/>
                <w:sz w:val="12"/>
                <w:szCs w:val="12"/>
                <w:color w:val="auto"/>
                <w:w w:val="99"/>
              </w:rPr>
              <w:t>67</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gridSpan w:val="2"/>
          </w:tcPr>
          <w:p>
            <w:pPr>
              <w:jc w:val="center"/>
              <w:ind w:left="106"/>
              <w:spacing w:after="0"/>
              <w:rPr>
                <w:sz w:val="20"/>
                <w:szCs w:val="20"/>
                <w:color w:val="auto"/>
              </w:rPr>
            </w:pPr>
            <w:r>
              <w:rPr>
                <w:rFonts w:ascii="Times New Roman" w:cs="Times New Roman" w:eastAsia="Times New Roman" w:hAnsi="Times New Roman"/>
                <w:sz w:val="12"/>
                <w:szCs w:val="12"/>
                <w:color w:val="auto"/>
                <w:w w:val="99"/>
              </w:rPr>
              <w:t>March 2024</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X</w:t>
            </w:r>
          </w:p>
        </w:tc>
      </w:tr>
    </w:tbl>
    <w:p>
      <w:pPr>
        <w:spacing w:after="0" w:line="2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Fiscal 2025 Business Performance Highlights</w:t>
      </w:r>
    </w:p>
    <w:p>
      <w:pPr>
        <w:spacing w:after="0" w:line="78" w:lineRule="exact"/>
        <w:rPr>
          <w:sz w:val="20"/>
          <w:szCs w:val="20"/>
          <w:color w:val="auto"/>
        </w:rPr>
      </w:pPr>
    </w:p>
    <w:p>
      <w:pPr>
        <w:ind w:left="268" w:hanging="268"/>
        <w:spacing w:after="0" w:line="233" w:lineRule="auto"/>
        <w:tabs>
          <w:tab w:leader="none" w:pos="26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for 2025 was $18.9 million, surpassing the Company’s guidance of $18.0 million and representing 288% growth from $4.9 million for 2024. The Company shipped forty QT Breast Acoustic CT</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xml:space="preserve"> Scanners in 2025, compared to twelve shipments in 2024.</w:t>
      </w:r>
    </w:p>
    <w:p>
      <w:pPr>
        <w:spacing w:after="0" w:line="98"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margin during the year ended December 31, 2025 was 45%.</w:t>
      </w:r>
    </w:p>
    <w:p>
      <w:pPr>
        <w:spacing w:after="0" w:line="114" w:lineRule="exact"/>
        <w:rPr>
          <w:rFonts w:ascii="Times New Roman" w:cs="Times New Roman" w:eastAsia="Times New Roman" w:hAnsi="Times New Roman"/>
          <w:sz w:val="12"/>
          <w:szCs w:val="12"/>
          <w:color w:val="auto"/>
        </w:rPr>
      </w:pPr>
    </w:p>
    <w:p>
      <w:pPr>
        <w:jc w:val="both"/>
        <w:ind w:left="268" w:hanging="268"/>
        <w:spacing w:after="0" w:line="265" w:lineRule="auto"/>
        <w:tabs>
          <w:tab w:leader="none" w:pos="26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operating expenses for 2025 were $13.0 million, a 12% improvement from $14.8 million for 2024. The decrease was primarily attributable to a $4.3 million decrease in transaction expenses related to the Business Combinations in 2024, a $1.7 million increase in the allocation of overhead expenses from operating expenses to cost of revenue, and a $0.3 million reduction in insurance expense, partially offset by a $3.0 million increase in compensation and benefits, a $1.0 million increase in professional and outside services, and a $0.2 million increase in technology infrastructure expenses.</w:t>
      </w:r>
    </w:p>
    <w:p>
      <w:pPr>
        <w:spacing w:after="0" w:line="82" w:lineRule="exact"/>
        <w:rPr>
          <w:rFonts w:ascii="Times New Roman" w:cs="Times New Roman" w:eastAsia="Times New Roman" w:hAnsi="Times New Roman"/>
          <w:sz w:val="12"/>
          <w:szCs w:val="12"/>
          <w:color w:val="auto"/>
        </w:rPr>
      </w:pPr>
    </w:p>
    <w:p>
      <w:pPr>
        <w:jc w:val="both"/>
        <w:ind w:left="268" w:hanging="268"/>
        <w:spacing w:after="0" w:line="265" w:lineRule="auto"/>
        <w:tabs>
          <w:tab w:leader="none" w:pos="26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loss for 2025 was $21.1 million, or $2.01 per share, and included other expense of $8.8 million consisting of non-cash expense of $6.6 million incurred at the issuance of the Lynrock Lake Term Loan, an extinguishment loss of $2.1 million for the Yorkville Note and Cable Car Note, and a $0.1 million extension fee for the Cable Car Note, as well as a $3.6 million increase in the fair value of warrant liability and a $1.8 million increase in the fair value of earnout liability. This compared with a net loss of $9.0 million, or $2.13 per share, for 2024.</w:t>
      </w:r>
    </w:p>
    <w:p>
      <w:pPr>
        <w:spacing w:after="0" w:line="82"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cash used in operating activities for 2025 was $9.0 million compared with $10.0 million in 2024.</w:t>
      </w:r>
    </w:p>
    <w:p>
      <w:pPr>
        <w:spacing w:after="0" w:line="3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5" w:name="page6"/>
    <w:bookmarkEnd w:id="5"/>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268" w:hanging="268"/>
        <w:spacing w:after="0" w:line="279" w:lineRule="auto"/>
        <w:tabs>
          <w:tab w:leader="none" w:pos="26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Significantly strengthened its financial position through a private placement completed in October 2025 with gross proceeds of $18.2 million, which included lead investor Sio Capital and participation from other institutional investors and existing stockholders.</w:t>
      </w:r>
    </w:p>
    <w:p>
      <w:pPr>
        <w:spacing w:after="0" w:line="75" w:lineRule="exact"/>
        <w:rPr>
          <w:rFonts w:ascii="Times New Roman" w:cs="Times New Roman" w:eastAsia="Times New Roman" w:hAnsi="Times New Roman"/>
          <w:sz w:val="12"/>
          <w:szCs w:val="12"/>
          <w:color w:val="auto"/>
        </w:rPr>
      </w:pPr>
    </w:p>
    <w:p>
      <w:pPr>
        <w:jc w:val="both"/>
        <w:ind w:left="268" w:hanging="268"/>
        <w:spacing w:after="0" w:line="265" w:lineRule="auto"/>
        <w:tabs>
          <w:tab w:leader="none" w:pos="26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Received $5.0 million in additional financing via the restatement and amendment of the Lynrock Lake Term Loan and used the net proceeds from the transaction to repurchase in full the warrant held by YA II PN, Ltd. to purchase 5,000,071 shares of the Company’s common stock at an exercise price of $1.20 per share (post-reverse stock split). The Company subsequently enhanced the balance sheet by repaying this $5.0 million of additional debt with a portion of the proceeds raised in the October 2025 private placement.</w:t>
      </w:r>
    </w:p>
    <w:p>
      <w:pPr>
        <w:spacing w:after="0" w:line="82" w:lineRule="exact"/>
        <w:rPr>
          <w:rFonts w:ascii="Times New Roman" w:cs="Times New Roman" w:eastAsia="Times New Roman" w:hAnsi="Times New Roman"/>
          <w:sz w:val="12"/>
          <w:szCs w:val="12"/>
          <w:color w:val="auto"/>
        </w:rPr>
      </w:pPr>
    </w:p>
    <w:p>
      <w:pPr>
        <w:ind w:left="268" w:hanging="268"/>
        <w:spacing w:after="0" w:line="279" w:lineRule="auto"/>
        <w:tabs>
          <w:tab w:leader="none" w:pos="26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Implemented a 3:1 reverse stock split of the Company’s issued and outstanding common stock that became market effective on October 23, 2025, and used this and the enhancement of the balance sheet to subsequently in January 2026 uplist to The Nasdaq Capital Market after having met all listing requirements, including financial, corporate governance, and regulatory criteria.</w:t>
      </w:r>
    </w:p>
    <w:p>
      <w:pPr>
        <w:spacing w:after="0" w:line="75" w:lineRule="exact"/>
        <w:rPr>
          <w:rFonts w:ascii="Times New Roman" w:cs="Times New Roman" w:eastAsia="Times New Roman" w:hAnsi="Times New Roman"/>
          <w:sz w:val="12"/>
          <w:szCs w:val="12"/>
          <w:color w:val="auto"/>
        </w:rPr>
      </w:pPr>
    </w:p>
    <w:p>
      <w:pPr>
        <w:jc w:val="both"/>
        <w:ind w:left="268" w:hanging="268"/>
        <w:spacing w:after="0" w:line="265" w:lineRule="auto"/>
        <w:tabs>
          <w:tab w:leader="none" w:pos="26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Entered into an exclusive distribution agreement with Gulf Medical Co. (“GMC”), pursuant to which GMC has become the exclusive distributor of QTI Breast Acoustic CT™ scanners and user subscriptions to the QTI Cloud Platform in Saudi Arabia. Similarly, in January 2026, entered into an exclusive distribution agreement for QTI's Breast Acoustic CT scanners and the QTI Cloud Platform in the United Arab Emirates (UAE) with Al Naghi Medical Co., a leading regional distributor of medical devices.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QT IMAGING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THREE HAMILTON LANDING, SUITE 160, NOVATO, CA 94949</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PROXY STATEMENT FOR ANNUAL MEETING OF STOCKHOLDERS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 BE HELD JULY 28, 2026</w:t>
      </w:r>
    </w:p>
    <w:p>
      <w:pPr>
        <w:spacing w:after="0" w:line="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Board of QT Imaging Holdings, Inc. is soliciting your proxy for the 2026 Annual Meeting of Stockholders to be held on July 28, 2026, or any adjournment or postponement thereof, for the purposes set forth in the accompanying Notice of Annual Meeting of Stockholders (the “</w:t>
      </w:r>
      <w:r>
        <w:rPr>
          <w:rFonts w:ascii="Times New Roman" w:cs="Times New Roman" w:eastAsia="Times New Roman" w:hAnsi="Times New Roman"/>
          <w:sz w:val="12"/>
          <w:szCs w:val="12"/>
          <w:i w:val="1"/>
          <w:iCs w:val="1"/>
          <w:color w:val="auto"/>
        </w:rPr>
        <w:t>Notice</w:t>
      </w:r>
      <w:r>
        <w:rPr>
          <w:rFonts w:ascii="Times New Roman" w:cs="Times New Roman" w:eastAsia="Times New Roman" w:hAnsi="Times New Roman"/>
          <w:sz w:val="12"/>
          <w:szCs w:val="12"/>
          <w:color w:val="auto"/>
        </w:rPr>
        <w:t>”). This Proxy Statement and related materials are first being made available to stockholders on or about July 2, 2026. References in this Proxy Statement to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we</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our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us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QT Imaging</w:t>
      </w:r>
      <w:r>
        <w:rPr>
          <w:rFonts w:ascii="Times New Roman" w:cs="Times New Roman" w:eastAsia="Times New Roman" w:hAnsi="Times New Roman"/>
          <w:sz w:val="12"/>
          <w:szCs w:val="12"/>
          <w:color w:val="auto"/>
        </w:rPr>
        <w:t>” are to QT Imaging Holdings, Inc., and references to the “</w:t>
      </w:r>
      <w:r>
        <w:rPr>
          <w:rFonts w:ascii="Times New Roman" w:cs="Times New Roman" w:eastAsia="Times New Roman" w:hAnsi="Times New Roman"/>
          <w:sz w:val="12"/>
          <w:szCs w:val="12"/>
          <w:i w:val="1"/>
          <w:iCs w:val="1"/>
          <w:color w:val="auto"/>
        </w:rPr>
        <w:t>Annual Meeting</w:t>
      </w:r>
      <w:r>
        <w:rPr>
          <w:rFonts w:ascii="Times New Roman" w:cs="Times New Roman" w:eastAsia="Times New Roman" w:hAnsi="Times New Roman"/>
          <w:sz w:val="12"/>
          <w:szCs w:val="12"/>
          <w:color w:val="auto"/>
        </w:rPr>
        <w:t>” are to the 2026 Annual Meeting of Stockholders. When we refer to QT Imaging’s fiscal year, we mean the annual period ending on December 31. This Proxy Statement covers our 2025 fiscal year, which ended on December 31, 2025. When we refer to “</w:t>
      </w:r>
      <w:r>
        <w:rPr>
          <w:rFonts w:ascii="Times New Roman" w:cs="Times New Roman" w:eastAsia="Times New Roman" w:hAnsi="Times New Roman"/>
          <w:sz w:val="12"/>
          <w:szCs w:val="12"/>
          <w:i w:val="1"/>
          <w:iCs w:val="1"/>
          <w:color w:val="auto"/>
        </w:rPr>
        <w:t>in person</w:t>
      </w:r>
      <w:r>
        <w:rPr>
          <w:rFonts w:ascii="Times New Roman" w:cs="Times New Roman" w:eastAsia="Times New Roman" w:hAnsi="Times New Roman"/>
          <w:sz w:val="12"/>
          <w:szCs w:val="12"/>
          <w:color w:val="auto"/>
        </w:rPr>
        <w:t>” attendance and voting at the Annual Meeting, we mean virtual attendance and voting over the Internet during the Annual Meeting (such meaning having been authorized by the Board in accordance with Section 9.5 of our Second Amended and Restated Bylaws (the “</w:t>
      </w:r>
      <w:r>
        <w:rPr>
          <w:rFonts w:ascii="Times New Roman" w:cs="Times New Roman" w:eastAsia="Times New Roman" w:hAnsi="Times New Roman"/>
          <w:sz w:val="12"/>
          <w:szCs w:val="12"/>
          <w:i w:val="1"/>
          <w:iCs w:val="1"/>
          <w:color w:val="auto"/>
        </w:rPr>
        <w:t>Bylaws</w:t>
      </w:r>
      <w:r>
        <w:rPr>
          <w:rFonts w:ascii="Times New Roman" w:cs="Times New Roman" w:eastAsia="Times New Roman" w:hAnsi="Times New Roman"/>
          <w:sz w:val="12"/>
          <w:szCs w:val="12"/>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SOLICITATION AND VOTING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Record Date</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Only stockholders of record at the close of business on June 23, 2026 will be entitled to notice of and to vote at the meeting and any adjournment thereof. As of the record date, 13,768,903 shares of Common Stock, were outstanding and entitled to vote.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Quorum</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At least one-third of the 13,768,903 shares of Common Stock outstanding as of the record date, or 4,589,635 shares of Common Stock, must be represented at the meeting, either in person or by proxy, to constitute a quorum for the transaction of business at the meeting. Your shares will be counted towards the quorum if you submit a valid proxy (or one is submitted on your behalf by your broker or bank) or if you vote in person at the meeting. Withheld votes, abstentions and “broker non-votes” (shares held by a broker or nominee that does not have the authority, either express or discretionary, to vote on a particular matter) will each be counted as present for purposes of determining the presence of a quorum.</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 w:name="page8"/>
    <w:bookmarkEnd w:id="7"/>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Votes Required to Approve Each Proposal</w:t>
      </w:r>
    </w:p>
    <w:p>
      <w:pPr>
        <w:spacing w:after="0" w:line="154" w:lineRule="exact"/>
        <w:rPr>
          <w:sz w:val="20"/>
          <w:szCs w:val="20"/>
          <w:color w:val="auto"/>
        </w:rPr>
      </w:pPr>
    </w:p>
    <w:p>
      <w:pPr>
        <w:ind w:left="8" w:right="40"/>
        <w:spacing w:after="0" w:line="279" w:lineRule="auto"/>
        <w:rPr>
          <w:sz w:val="20"/>
          <w:szCs w:val="20"/>
          <w:color w:val="auto"/>
        </w:rPr>
      </w:pPr>
      <w:r>
        <w:rPr>
          <w:rFonts w:ascii="Times New Roman" w:cs="Times New Roman" w:eastAsia="Times New Roman" w:hAnsi="Times New Roman"/>
          <w:sz w:val="12"/>
          <w:szCs w:val="12"/>
          <w:color w:val="auto"/>
        </w:rPr>
        <w:t>Each share of our Common Stock outstanding on the record date is entitled to one vote on each of the two director nominees and one vote on each other proposal. Shares not present at the meeting will have no effect on any proposal to be voted on at the Annual Meeting, assuming that a quorum is present. The table below summarizes the proposals that will be voted on, the vote required to approve each item and how votes are to be counted:</w:t>
      </w:r>
    </w:p>
    <w:p>
      <w:pPr>
        <w:sectPr>
          <w:pgSz w:w="11900" w:h="16838" w:orient="portrait"/>
          <w:cols w:equalWidth="0" w:num="1">
            <w:col w:w="11268"/>
          </w:cols>
          <w:pgMar w:left="292" w:top="124" w:right="339" w:bottom="1440" w:gutter="0" w:footer="0" w:header="0"/>
        </w:sectPr>
      </w:pP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Impact of</w:t>
            </w: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“Withhold”</w:t>
            </w:r>
          </w:p>
        </w:tc>
        <w:tc>
          <w:tcPr>
            <w:tcW w:w="0" w:type="dxa"/>
            <w:vAlign w:val="bottom"/>
          </w:tcPr>
          <w:p>
            <w:pPr>
              <w:spacing w:after="0"/>
              <w:rPr>
                <w:sz w:val="1"/>
                <w:szCs w:val="1"/>
                <w:color w:val="auto"/>
              </w:rPr>
            </w:pPr>
          </w:p>
        </w:tc>
      </w:tr>
      <w:tr>
        <w:trPr>
          <w:trHeight w:val="117"/>
        </w:trPr>
        <w:tc>
          <w:tcPr>
            <w:tcW w:w="286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0"/>
                <w:szCs w:val="10"/>
                <w:b w:val="1"/>
                <w:bCs w:val="1"/>
                <w:color w:val="auto"/>
              </w:rPr>
              <w:t>Proposal</w:t>
            </w:r>
          </w:p>
        </w:tc>
        <w:tc>
          <w:tcPr>
            <w:tcW w:w="5520" w:type="dxa"/>
            <w:vAlign w:val="bottom"/>
            <w:gridSpan w:val="2"/>
            <w:vMerge w:val="restart"/>
          </w:tcPr>
          <w:p>
            <w:pPr>
              <w:ind w:left="2400"/>
              <w:spacing w:after="0"/>
              <w:rPr>
                <w:sz w:val="20"/>
                <w:szCs w:val="20"/>
                <w:color w:val="auto"/>
              </w:rPr>
            </w:pPr>
            <w:r>
              <w:rPr>
                <w:rFonts w:ascii="Times New Roman" w:cs="Times New Roman" w:eastAsia="Times New Roman" w:hAnsi="Times New Roman"/>
                <w:sz w:val="10"/>
                <w:szCs w:val="10"/>
                <w:b w:val="1"/>
                <w:bCs w:val="1"/>
                <w:color w:val="auto"/>
              </w:rPr>
              <w:t>Votes Required</w:t>
            </w: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or “Abstain”</w:t>
            </w:r>
          </w:p>
        </w:tc>
        <w:tc>
          <w:tcPr>
            <w:tcW w:w="0" w:type="dxa"/>
            <w:vAlign w:val="bottom"/>
          </w:tcPr>
          <w:p>
            <w:pPr>
              <w:spacing w:after="0"/>
              <w:rPr>
                <w:sz w:val="1"/>
                <w:szCs w:val="1"/>
                <w:color w:val="auto"/>
              </w:rPr>
            </w:pPr>
          </w:p>
        </w:tc>
      </w:tr>
      <w:tr>
        <w:trPr>
          <w:trHeight w:val="125"/>
        </w:trPr>
        <w:tc>
          <w:tcPr>
            <w:tcW w:w="2860" w:type="dxa"/>
            <w:vAlign w:val="bottom"/>
            <w:gridSpan w:val="2"/>
            <w:vMerge w:val="continue"/>
          </w:tcPr>
          <w:p>
            <w:pPr>
              <w:spacing w:after="0"/>
              <w:rPr>
                <w:sz w:val="10"/>
                <w:szCs w:val="10"/>
                <w:color w:val="auto"/>
              </w:rPr>
            </w:pPr>
          </w:p>
        </w:tc>
        <w:tc>
          <w:tcPr>
            <w:tcW w:w="5520" w:type="dxa"/>
            <w:vAlign w:val="bottom"/>
            <w:gridSpan w:val="2"/>
            <w:vMerge w:val="continue"/>
          </w:tcPr>
          <w:p>
            <w:pPr>
              <w:spacing w:after="0"/>
              <w:rPr>
                <w:sz w:val="10"/>
                <w:szCs w:val="1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Votes</w:t>
            </w:r>
          </w:p>
        </w:tc>
        <w:tc>
          <w:tcPr>
            <w:tcW w:w="0" w:type="dxa"/>
            <w:vAlign w:val="bottom"/>
          </w:tcPr>
          <w:p>
            <w:pPr>
              <w:spacing w:after="0"/>
              <w:rPr>
                <w:sz w:val="1"/>
                <w:szCs w:val="1"/>
                <w:color w:val="auto"/>
              </w:rPr>
            </w:pPr>
          </w:p>
        </w:tc>
      </w:tr>
      <w:tr>
        <w:trPr>
          <w:trHeight w:val="53"/>
        </w:trPr>
        <w:tc>
          <w:tcPr>
            <w:tcW w:w="2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Proposal No. 1: Election of directors</w:t>
            </w: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The plurality of the votes cast. This means that the two director nominees who receive the highest number of</w:t>
            </w:r>
          </w:p>
        </w:tc>
        <w:tc>
          <w:tcPr>
            <w:tcW w:w="1400" w:type="dxa"/>
            <w:vAlign w:val="bottom"/>
          </w:tcPr>
          <w:p>
            <w:pPr>
              <w:spacing w:after="0" w:line="167" w:lineRule="exact"/>
              <w:rPr>
                <w:sz w:val="20"/>
                <w:szCs w:val="20"/>
                <w:color w:val="auto"/>
              </w:rPr>
            </w:pPr>
            <w:r>
              <w:rPr>
                <w:rFonts w:ascii="Times New Roman" w:cs="Times New Roman" w:eastAsia="Times New Roman" w:hAnsi="Times New Roman"/>
                <w:sz w:val="12"/>
                <w:szCs w:val="12"/>
                <w:color w:val="auto"/>
              </w:rPr>
              <w:t>None</w:t>
            </w:r>
            <w:r>
              <w:rPr>
                <w:rFonts w:ascii="Times New Roman" w:cs="Times New Roman" w:eastAsia="Times New Roman" w:hAnsi="Times New Roman"/>
                <w:sz w:val="15"/>
                <w:szCs w:val="15"/>
                <w:color w:val="auto"/>
                <w:vertAlign w:val="superscript"/>
              </w:rPr>
              <w:t>(2)</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 votes will be elected as Class II directors. You may vote “For” or “Withhold” with respect to each</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director nominee.</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9"/>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Proposal  No.  2:  Ratification  of  BPM  LLP  as  our</w:t>
            </w: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The affirmative vote of the majority of the shares present and entitled to vote. You may vote “For,” “Against” or</w:t>
            </w:r>
          </w:p>
        </w:tc>
        <w:tc>
          <w:tcPr>
            <w:tcW w:w="1400" w:type="dxa"/>
            <w:vAlign w:val="bottom"/>
          </w:tcPr>
          <w:p>
            <w:pPr>
              <w:spacing w:after="0"/>
              <w:rPr>
                <w:sz w:val="20"/>
                <w:szCs w:val="20"/>
                <w:color w:val="auto"/>
              </w:rPr>
            </w:pPr>
            <w:r>
              <w:rPr>
                <w:rFonts w:ascii="Times New Roman" w:cs="Times New Roman" w:eastAsia="Times New Roman" w:hAnsi="Times New Roman"/>
                <w:sz w:val="8"/>
                <w:szCs w:val="8"/>
                <w:color w:val="auto"/>
              </w:rPr>
              <w:t>(4)</w:t>
            </w:r>
          </w:p>
        </w:tc>
        <w:tc>
          <w:tcPr>
            <w:tcW w:w="0" w:type="dxa"/>
            <w:vAlign w:val="bottom"/>
          </w:tcPr>
          <w:p>
            <w:pPr>
              <w:spacing w:after="0"/>
              <w:rPr>
                <w:sz w:val="1"/>
                <w:szCs w:val="1"/>
                <w:color w:val="auto"/>
              </w:rPr>
            </w:pPr>
          </w:p>
        </w:tc>
      </w:tr>
      <w:tr>
        <w:trPr>
          <w:trHeight w:val="144"/>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independent registered public accounting firm for fiscal</w:t>
            </w: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“Abstain” with respect to this proposal.</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8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Proposal No. 3: Approval of the Plan Amendment to</w:t>
            </w: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The affirmative vote of the majority of the shares present and entitled to vote. You may vote “For,” “Against” or</w:t>
            </w:r>
          </w:p>
        </w:tc>
        <w:tc>
          <w:tcPr>
            <w:tcW w:w="1400" w:type="dxa"/>
            <w:vAlign w:val="bottom"/>
          </w:tcPr>
          <w:p>
            <w:pPr>
              <w:spacing w:after="0"/>
              <w:rPr>
                <w:sz w:val="20"/>
                <w:szCs w:val="20"/>
                <w:color w:val="auto"/>
              </w:rPr>
            </w:pPr>
            <w:r>
              <w:rPr>
                <w:rFonts w:ascii="Times New Roman" w:cs="Times New Roman" w:eastAsia="Times New Roman" w:hAnsi="Times New Roman"/>
                <w:sz w:val="8"/>
                <w:szCs w:val="8"/>
                <w:color w:val="auto"/>
              </w:rPr>
              <w:t>(4)</w:t>
            </w:r>
          </w:p>
        </w:tc>
        <w:tc>
          <w:tcPr>
            <w:tcW w:w="0" w:type="dxa"/>
            <w:vAlign w:val="bottom"/>
          </w:tcPr>
          <w:p>
            <w:pPr>
              <w:spacing w:after="0"/>
              <w:rPr>
                <w:sz w:val="1"/>
                <w:szCs w:val="1"/>
                <w:color w:val="auto"/>
              </w:rPr>
            </w:pPr>
          </w:p>
        </w:tc>
      </w:tr>
      <w:tr>
        <w:trPr>
          <w:trHeight w:val="144"/>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increase the total number of shares of Common Stock</w:t>
            </w: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“Abstain” with respect to this proposal.</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authorized and reserved for issuance under the Plan.</w:t>
            </w:r>
          </w:p>
        </w:tc>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w:t>
            </w:r>
          </w:p>
        </w:tc>
        <w:tc>
          <w:tcPr>
            <w:tcW w:w="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Broker</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Discretionary</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Voting</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Allowed</w:t>
      </w:r>
      <w:r>
        <w:rPr>
          <w:rFonts w:ascii="Times New Roman" w:cs="Times New Roman" w:eastAsia="Times New Roman" w:hAnsi="Times New Roman"/>
          <w:sz w:val="12"/>
          <w:szCs w:val="12"/>
          <w:b w:val="1"/>
          <w:bCs w:val="1"/>
          <w:color w:val="auto"/>
          <w:vertAlign w:val="superscript"/>
        </w:rPr>
        <w:t>(1)</w:t>
      </w:r>
    </w:p>
    <w:p>
      <w:pPr>
        <w:spacing w:after="0" w:line="211" w:lineRule="auto"/>
        <w:rPr>
          <w:sz w:val="20"/>
          <w:szCs w:val="20"/>
          <w:color w:val="auto"/>
        </w:rPr>
      </w:pPr>
      <w:r>
        <w:rPr>
          <w:rFonts w:ascii="Times New Roman" w:cs="Times New Roman" w:eastAsia="Times New Roman" w:hAnsi="Times New Roman"/>
          <w:sz w:val="23"/>
          <w:szCs w:val="23"/>
          <w:color w:val="auto"/>
          <w:vertAlign w:val="subscript"/>
        </w:rPr>
        <w:t>No</w:t>
      </w:r>
      <w:r>
        <w:rPr>
          <w:rFonts w:ascii="Times New Roman" w:cs="Times New Roman" w:eastAsia="Times New Roman" w:hAnsi="Times New Roman"/>
          <w:sz w:val="8"/>
          <w:szCs w:val="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-125095</wp:posOffset>
            </wp:positionV>
            <wp:extent cx="89725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97255"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bscript"/>
        </w:rPr>
        <w:t>Yes</w:t>
      </w:r>
      <w:r>
        <w:rPr>
          <w:rFonts w:ascii="Times New Roman" w:cs="Times New Roman" w:eastAsia="Times New Roman" w:hAnsi="Times New Roman"/>
          <w:sz w:val="8"/>
          <w:szCs w:val="8"/>
          <w:color w:val="auto"/>
        </w:rPr>
        <w:t>(5)</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bscript"/>
        </w:rPr>
        <w:t>No</w:t>
      </w:r>
      <w:r>
        <w:rPr>
          <w:rFonts w:ascii="Times New Roman" w:cs="Times New Roman" w:eastAsia="Times New Roman" w:hAnsi="Times New Roman"/>
          <w:sz w:val="8"/>
          <w:szCs w:val="8"/>
          <w:color w:val="auto"/>
        </w:rPr>
        <w:t>(3)</w:t>
      </w:r>
    </w:p>
    <w:p>
      <w:pPr>
        <w:spacing w:after="0" w:line="576" w:lineRule="exact"/>
        <w:rPr>
          <w:sz w:val="20"/>
          <w:szCs w:val="20"/>
          <w:color w:val="auto"/>
        </w:rPr>
      </w:pPr>
    </w:p>
    <w:p>
      <w:pPr>
        <w:sectPr>
          <w:pgSz w:w="11900" w:h="16838" w:orient="portrait"/>
          <w:cols w:equalWidth="0" w:num="2">
            <w:col w:w="9788" w:space="100"/>
            <w:col w:w="1380"/>
          </w:cols>
          <w:pgMar w:left="292" w:top="124" w:right="339" w:bottom="1440" w:gutter="0" w:footer="0" w:header="0"/>
          <w:type w:val="continuous"/>
        </w:sectPr>
      </w:pPr>
    </w:p>
    <w:p>
      <w:pPr>
        <w:ind w:left="168" w:right="100" w:hanging="168"/>
        <w:spacing w:after="0" w:line="328" w:lineRule="auto"/>
        <w:tabs>
          <w:tab w:leader="none" w:pos="163" w:val="left"/>
        </w:tabs>
        <w:numPr>
          <w:ilvl w:val="0"/>
          <w:numId w:val="9"/>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If your shares are held in “street name” by a bank or broker, such bank or broker is required to vote your shares according to your instructions, if provided. If you do not provide specific voting instructions, under NYSE rules governing banks and brokers who submit a proxy card with respect to shares held in “street name,” such banks and brokers have the discretionary authority to vote on routine matters, but not on non-routine matters. A broker non-vote occurs when a bank or broker has not received voting instructions from the beneficial owner of the shares and the bank or broker cannot vote the shares at its discretion because the matter is not considered a routine matter under NYSE rules. In tabulating the voting results for any particular proposal, shares that constitute broker non-votes are not considered entitled to vote on that proposal.</w:t>
      </w:r>
    </w:p>
    <w:p>
      <w:pPr>
        <w:ind w:left="168" w:right="40" w:hanging="168"/>
        <w:spacing w:after="0" w:line="261" w:lineRule="auto"/>
        <w:tabs>
          <w:tab w:leader="none" w:pos="163"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 vote that is withheld will be excluded entirely from the vote with respect to the director nominee from which it is withheld and will have the same effect as an abstention. Withheld votes and abstentions will not count as votes “FOR” or “AGAINST” a director and thus will not affect the outcome of this proposal (assuming that a quorum is present), because directors are elected by plurality voting.</w:t>
      </w:r>
    </w:p>
    <w:p>
      <w:pPr>
        <w:spacing w:after="0" w:line="19" w:lineRule="exact"/>
        <w:rPr>
          <w:rFonts w:ascii="Times New Roman" w:cs="Times New Roman" w:eastAsia="Times New Roman" w:hAnsi="Times New Roman"/>
          <w:sz w:val="10"/>
          <w:szCs w:val="10"/>
          <w:color w:val="auto"/>
        </w:rPr>
      </w:pPr>
    </w:p>
    <w:p>
      <w:pPr>
        <w:ind w:left="168" w:hanging="168"/>
        <w:spacing w:after="0" w:line="243" w:lineRule="auto"/>
        <w:tabs>
          <w:tab w:leader="none" w:pos="163"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this proposal is not considered a routine matter, banks and brokers lack authority to exercise their discretion to vote on this proposal if you do not provide specific voting instructions. If you are a beneficial owner and hold your shares in “street name” in an account at a bank or brokerage firm, it is critical that you cast your vote if you want it to count in this proposal. Accordingly, we encourage you to vote promptly, even if you plan to attend the Annual Meeting.</w:t>
      </w:r>
    </w:p>
    <w:p>
      <w:pPr>
        <w:spacing w:after="0" w:line="28" w:lineRule="exact"/>
        <w:rPr>
          <w:rFonts w:ascii="Times New Roman" w:cs="Times New Roman" w:eastAsia="Times New Roman" w:hAnsi="Times New Roman"/>
          <w:sz w:val="10"/>
          <w:szCs w:val="10"/>
          <w:color w:val="auto"/>
        </w:rPr>
      </w:pPr>
    </w:p>
    <w:p>
      <w:pPr>
        <w:ind w:left="148" w:hanging="148"/>
        <w:spacing w:after="0"/>
        <w:tabs>
          <w:tab w:leader="none" w:pos="148"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Abstentions will have the effect of a vote against this proposal.</w:t>
      </w:r>
    </w:p>
    <w:p>
      <w:pPr>
        <w:spacing w:after="0" w:line="38" w:lineRule="exact"/>
        <w:rPr>
          <w:rFonts w:ascii="Times New Roman" w:cs="Times New Roman" w:eastAsia="Times New Roman" w:hAnsi="Times New Roman"/>
          <w:sz w:val="10"/>
          <w:szCs w:val="10"/>
          <w:color w:val="auto"/>
        </w:rPr>
      </w:pPr>
    </w:p>
    <w:p>
      <w:pPr>
        <w:ind w:left="148" w:hanging="148"/>
        <w:spacing w:after="0"/>
        <w:tabs>
          <w:tab w:leader="none" w:pos="148"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this proposal is considered a routine matter, banks and brokers are permitted to exercise their discretion to vote uninstructed shares on this proposal.</w:t>
      </w:r>
    </w:p>
    <w:p>
      <w:pPr>
        <w:spacing w:after="0" w:line="200" w:lineRule="exact"/>
        <w:rPr>
          <w:sz w:val="20"/>
          <w:szCs w:val="20"/>
          <w:color w:val="auto"/>
        </w:rPr>
      </w:pPr>
    </w:p>
    <w:p>
      <w:pPr>
        <w:spacing w:after="0" w:line="36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 Instructions</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If you complete and submit your proxy card or voting instructions, the persons named as proxies will follow your voting instructions. If no choice is indicated on the proxy card, the shares will be voted as the Board recommends on each proposal. Many banks and brokerage firms have a process for their beneficial owners to provide instructions via the Internet. The voting form that you receive from your bank or broker will contain instructions for voting.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Depending on how you hold your shares, you may vote in one of the following ways:</w:t>
      </w:r>
    </w:p>
    <w:p>
      <w:pPr>
        <w:spacing w:after="0" w:line="114" w:lineRule="exact"/>
        <w:rPr>
          <w:sz w:val="20"/>
          <w:szCs w:val="20"/>
          <w:color w:val="auto"/>
        </w:rPr>
      </w:pPr>
    </w:p>
    <w:p>
      <w:pPr>
        <w:ind w:left="420" w:hanging="212"/>
        <w:spacing w:after="0" w:line="286" w:lineRule="auto"/>
        <w:tabs>
          <w:tab w:leader="none" w:pos="417" w:val="left"/>
        </w:tabs>
        <w:numPr>
          <w:ilvl w:val="0"/>
          <w:numId w:val="10"/>
        </w:numPr>
        <w:rPr>
          <w:rFonts w:ascii="Times New Roman" w:cs="Times New Roman" w:eastAsia="Times New Roman" w:hAnsi="Times New Roman"/>
          <w:sz w:val="12"/>
          <w:szCs w:val="12"/>
          <w:color w:val="0094FF"/>
        </w:rPr>
      </w:pPr>
      <w:r>
        <w:rPr>
          <w:rFonts w:ascii="Times New Roman" w:cs="Times New Roman" w:eastAsia="Times New Roman" w:hAnsi="Times New Roman"/>
          <w:sz w:val="12"/>
          <w:szCs w:val="12"/>
          <w:b w:val="1"/>
          <w:bCs w:val="1"/>
          <w:i w:val="1"/>
          <w:iCs w:val="1"/>
          <w:color w:val="auto"/>
        </w:rPr>
        <w:t xml:space="preserve">Stockholders of Record: </w:t>
      </w:r>
      <w:r>
        <w:rPr>
          <w:rFonts w:ascii="Times New Roman" w:cs="Times New Roman" w:eastAsia="Times New Roman" w:hAnsi="Times New Roman"/>
          <w:sz w:val="12"/>
          <w:szCs w:val="12"/>
          <w:color w:val="auto"/>
        </w:rPr>
        <w:t>You may vote by proxy or over the Internet. Please follow the instructions at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u w:val="single" w:color="auto"/>
          <w:color w:val="0000FF"/>
        </w:rPr>
        <w:t>https://www.virtualshareholdermeeting.com/QTI2026</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 vote over the Internet, or on the paper copy of the proxy card that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you received by mail, then sign and return your proxy card in the prepaid envelope. You may also vote in person at the Annual Meeting.</w:t>
      </w:r>
    </w:p>
    <w:p>
      <w:pPr>
        <w:spacing w:after="0" w:line="67" w:lineRule="exact"/>
        <w:rPr>
          <w:rFonts w:ascii="Times New Roman" w:cs="Times New Roman" w:eastAsia="Times New Roman" w:hAnsi="Times New Roman"/>
          <w:sz w:val="12"/>
          <w:szCs w:val="12"/>
          <w:color w:val="0094FF"/>
        </w:rPr>
      </w:pPr>
    </w:p>
    <w:p>
      <w:pPr>
        <w:jc w:val="both"/>
        <w:ind w:left="420" w:hanging="212"/>
        <w:spacing w:after="0" w:line="268" w:lineRule="auto"/>
        <w:tabs>
          <w:tab w:leader="none" w:pos="417" w:val="left"/>
        </w:tabs>
        <w:numPr>
          <w:ilvl w:val="0"/>
          <w:numId w:val="10"/>
        </w:numPr>
        <w:rPr>
          <w:rFonts w:ascii="Times New Roman" w:cs="Times New Roman" w:eastAsia="Times New Roman" w:hAnsi="Times New Roman"/>
          <w:sz w:val="12"/>
          <w:szCs w:val="12"/>
          <w:color w:val="0094FF"/>
        </w:rPr>
      </w:pPr>
      <w:r>
        <w:rPr>
          <w:rFonts w:ascii="Times New Roman" w:cs="Times New Roman" w:eastAsia="Times New Roman" w:hAnsi="Times New Roman"/>
          <w:sz w:val="12"/>
          <w:szCs w:val="12"/>
          <w:b w:val="1"/>
          <w:bCs w:val="1"/>
          <w:i w:val="1"/>
          <w:iCs w:val="1"/>
          <w:color w:val="auto"/>
        </w:rPr>
        <w:t xml:space="preserve">Beneficial Stockholders: </w:t>
      </w:r>
      <w:r>
        <w:rPr>
          <w:rFonts w:ascii="Times New Roman" w:cs="Times New Roman" w:eastAsia="Times New Roman" w:hAnsi="Times New Roman"/>
          <w:sz w:val="12"/>
          <w:szCs w:val="12"/>
          <w:color w:val="auto"/>
        </w:rPr>
        <w:t>Your bank, broker or other holder of record will provide you with a voting instruction card for you to use to instruct them on how to vote your shares. Check the instructions provided by your bank,</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broker or other holder of record to see which options are available to you. However, since you are not the stockholder of record, you may not vote your shares in person at the Annual Meeting unless you request and obtain a valid proxy from your bank, broker or other agent.</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Votes submitted over the Internet must be received by 11:59 p.m., Eastern Time, on July 27, 2026. Submitting your proxy over the Internet will not affect your right to vote in person during the Annual Meeting should you decide to attend the Annual Meeting in person.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Revocability of Proxy</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If you are a stockholder of record, you may revoke your proxy and change your vote at any time before the polls close by returning a later-dated proxy card, by voting again over the Internet as more fully detailed in your Notice or proxy card, or by delivering written instructions to the Secretary at the principal executive offices of QT Imaging before the Annual Meeting. Attendance at the Annual Meeting will not in and of itself cause your previously voted proxy to be revoked unless you specifically so request or vote again at the Annual Meeting. If your shares are held in an account at a bank, brokerage firm or other agent, you may change your vote by submitting new voting instructions to your bank, brokerage firm or other agent, or, if you have obtained a valid proxy from your bank, brokerage firm or other agent giving you the right to vote your shares, by attending the Annual Meeting and voting in person.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Solicitation of Proxies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are soliciting your proxy for the Annual Meeting and will bear the cost of such solicitation process. This includes the charges and expenses for preparation, assembly, printing, mailing, and distribution of this proxy statement and the related proxy materials. Sodali &amp; Co (“</w:t>
      </w:r>
      <w:r>
        <w:rPr>
          <w:rFonts w:ascii="Times New Roman" w:cs="Times New Roman" w:eastAsia="Times New Roman" w:hAnsi="Times New Roman"/>
          <w:sz w:val="12"/>
          <w:szCs w:val="12"/>
          <w:i w:val="1"/>
          <w:iCs w:val="1"/>
          <w:color w:val="auto"/>
        </w:rPr>
        <w:t>Sodali</w:t>
      </w:r>
      <w:r>
        <w:rPr>
          <w:rFonts w:ascii="Times New Roman" w:cs="Times New Roman" w:eastAsia="Times New Roman" w:hAnsi="Times New Roman"/>
          <w:sz w:val="12"/>
          <w:szCs w:val="12"/>
          <w:color w:val="auto"/>
        </w:rPr>
        <w:t>”), a proxy solicitor, has been retained to assist us in the solicitation of proxies for the Annual Meeting, and we will pay Sodali $12,000, plus reimbursement for its reasonable out-of-pocket expenses, and indemnify Sodali and its affiliates against certain claims, liabilities, losses, damages and expenses for its services as our proxy solicitor. Proxies may be solicited by mail, personal interview, e-mail, telephone, or via the Internet by Sodali, or, without any additional compensation, by certain of our directors, officers and employees. We may use the services of our officers, directors and employees to solicit proxies, personally or by telephone, without additional compensation.</w:t>
      </w:r>
    </w:p>
    <w:p>
      <w:pPr>
        <w:spacing w:after="0" w:line="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to soliciting stockholders by mail, we will request banks, brokers and other intermediaries holding shares of our Common Stock beneficially owned by others to obtain proxies from the beneficial owners and will reimburse them for their reasonable, out-of-pocket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 Results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will announce preliminary voting results at the Annual Meeting. We will report final results on a Form 8-K to be filed with the U.S. Securities and Exchange Commission (the “</w:t>
      </w:r>
      <w:r>
        <w:rPr>
          <w:rFonts w:ascii="Times New Roman" w:cs="Times New Roman" w:eastAsia="Times New Roman" w:hAnsi="Times New Roman"/>
          <w:sz w:val="12"/>
          <w:szCs w:val="12"/>
          <w:i w:val="1"/>
          <w:iCs w:val="1"/>
          <w:color w:val="auto"/>
        </w:rPr>
        <w:t>SEC</w:t>
      </w:r>
      <w:r>
        <w:rPr>
          <w:rFonts w:ascii="Times New Roman" w:cs="Times New Roman" w:eastAsia="Times New Roman" w:hAnsi="Times New Roman"/>
          <w:sz w:val="12"/>
          <w:szCs w:val="12"/>
          <w:color w:val="auto"/>
        </w:rPr>
        <w: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NO. 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have a classified Board consisting of two Class I directors, two Class II directors and three Class III directors. At each annual meeting of stockholders, directors are elected for a term of three years to succeed those directors whose terms expire at the annual meeting dates. Following the Annual Meeting, we will have no vacancies on our Board.</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term of the existing Class II directors will expire on the date of this Annual Meeting. Accordingly, two persons are to be elected to serve as Class II directors of the Board at this Annual Meeting. The Board’s nominees for election by the stockholders to those two positions are (1) current independent Class II director, Professor Zeev Weiner, and (2) new independent Class II director nominee, Bryan Timm. Each nominee has consented to being named in the proxy materials relating to the Annual Meeting and to serve if elected. Following a request by current Class II Director Mr. Ross Taylor to not be renominated for election to the Board, the Board has determined not to renominate Mr. Taylor. Mr. Taylor’s request to not be renominated was not as a result of any disagreements with the Company.</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elected, each nominee will serve as a director until our annual meeting of stockholders in 2029 and until their respective successors are elected and qualified. If any of the nominees declines to serve or becomes unavailable for any reason, or if a vacancy occurs before the election (although we know of no reason to anticipate that this will occur), the proxies may be voted for such substitute nominees as we may designate. The proxies cannot vote for more than two persons.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two nominees for Class II director receiving the highest number of votes will be elected as Class II directors. A “Withhold” vote will have no effect on the vote.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 recommends that you vote “FOR” the nominees named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names of our directors and director nominees, including the nominees for Class II director to be elected at this Annual Meeting, and certain information about them as of June 18, 2026 is set forth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Director of</w:t>
            </w:r>
          </w:p>
        </w:tc>
      </w:tr>
      <w:tr>
        <w:trPr>
          <w:trHeight w:val="125"/>
        </w:trPr>
        <w:tc>
          <w:tcPr>
            <w:tcW w:w="3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5280" w:type="dxa"/>
            <w:vAlign w:val="bottom"/>
            <w:gridSpan w:val="2"/>
          </w:tcPr>
          <w:p>
            <w:pPr>
              <w:ind w:left="2120"/>
              <w:spacing w:after="0"/>
              <w:rPr>
                <w:sz w:val="20"/>
                <w:szCs w:val="20"/>
                <w:color w:val="auto"/>
              </w:rPr>
            </w:pPr>
            <w:r>
              <w:rPr>
                <w:rFonts w:ascii="Times New Roman" w:cs="Times New Roman" w:eastAsia="Times New Roman" w:hAnsi="Times New Roman"/>
                <w:sz w:val="10"/>
                <w:szCs w:val="10"/>
                <w:b w:val="1"/>
                <w:bCs w:val="1"/>
                <w:color w:val="auto"/>
              </w:rPr>
              <w:t>Position at QT Imaging</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Age</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QT Imaging Since</w:t>
            </w:r>
          </w:p>
        </w:tc>
      </w:tr>
      <w:tr>
        <w:trPr>
          <w:trHeight w:val="62"/>
        </w:trPr>
        <w:tc>
          <w:tcPr>
            <w:tcW w:w="34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r>
        <w:trPr>
          <w:trHeight w:val="178"/>
        </w:trPr>
        <w:tc>
          <w:tcPr>
            <w:tcW w:w="3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2"/>
                <w:szCs w:val="12"/>
                <w:i w:val="1"/>
                <w:iCs w:val="1"/>
                <w:color w:val="auto"/>
              </w:rPr>
              <w:t>Class I Director Whose Terms Expire at the 2028 Annual Meeting of Stockholders:</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52"/>
        </w:trPr>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Daniel Dickson</w:t>
            </w: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74</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r>
      <w:tr>
        <w:trPr>
          <w:trHeight w:val="252"/>
        </w:trPr>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James Greene</w:t>
            </w: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72</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r>
      <w:tr>
        <w:trPr>
          <w:trHeight w:val="252"/>
        </w:trPr>
        <w:tc>
          <w:tcPr>
            <w:tcW w:w="3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80" w:type="dxa"/>
            <w:vAlign w:val="bottom"/>
            <w:gridSpan w:val="2"/>
          </w:tcPr>
          <w:p>
            <w:pPr>
              <w:ind w:left="40"/>
              <w:spacing w:after="0"/>
              <w:rPr>
                <w:sz w:val="20"/>
                <w:szCs w:val="20"/>
                <w:color w:val="auto"/>
              </w:rPr>
            </w:pPr>
            <w:r>
              <w:rPr>
                <w:rFonts w:ascii="Times New Roman" w:cs="Times New Roman" w:eastAsia="Times New Roman" w:hAnsi="Times New Roman"/>
                <w:sz w:val="12"/>
                <w:szCs w:val="12"/>
                <w:i w:val="1"/>
                <w:iCs w:val="1"/>
                <w:color w:val="auto"/>
              </w:rPr>
              <w:t>Class II Director Nominees for Election at the 2026 Annual Meeting of Stockholders:</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2"/>
        </w:trPr>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Bryan Timm</w:t>
            </w: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Director Nominee</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62</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252"/>
        </w:trPr>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Professor Zeev Weiner</w:t>
            </w: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67</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r>
      <w:tr>
        <w:trPr>
          <w:trHeight w:val="252"/>
        </w:trPr>
        <w:tc>
          <w:tcPr>
            <w:tcW w:w="3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80" w:type="dxa"/>
            <w:vAlign w:val="bottom"/>
            <w:gridSpan w:val="2"/>
          </w:tcPr>
          <w:p>
            <w:pPr>
              <w:ind w:left="40"/>
              <w:spacing w:after="0"/>
              <w:rPr>
                <w:sz w:val="20"/>
                <w:szCs w:val="20"/>
                <w:color w:val="auto"/>
              </w:rPr>
            </w:pPr>
            <w:r>
              <w:rPr>
                <w:rFonts w:ascii="Times New Roman" w:cs="Times New Roman" w:eastAsia="Times New Roman" w:hAnsi="Times New Roman"/>
                <w:sz w:val="12"/>
                <w:szCs w:val="12"/>
                <w:i w:val="1"/>
                <w:iCs w:val="1"/>
                <w:color w:val="auto"/>
              </w:rPr>
              <w:t>Class III Directors Whose Terms Expire at the 2027 Annual Meeting of Stockholders:</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2"/>
        </w:trPr>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Dr. Raluca Dinu</w:t>
            </w: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Chief Executive Officer, President, Secretary and 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52</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r>
      <w:tr>
        <w:trPr>
          <w:trHeight w:val="252"/>
        </w:trPr>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Dr. Avi Katz</w:t>
            </w: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Chairman of the Board of 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68</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r>
      <w:tr>
        <w:trPr>
          <w:trHeight w:val="252"/>
        </w:trPr>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Dr. John C. Klock</w:t>
            </w: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81</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Directors’ Principal Occupation, Business Experience, Qualifications, and Directorships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Class I Directors</w:t>
      </w:r>
    </w:p>
    <w:p>
      <w:pPr>
        <w:spacing w:after="0" w:line="11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Mr. Daniel Dickson </w:t>
      </w:r>
      <w:r>
        <w:rPr>
          <w:rFonts w:ascii="Times New Roman" w:cs="Times New Roman" w:eastAsia="Times New Roman" w:hAnsi="Times New Roman"/>
          <w:sz w:val="12"/>
          <w:szCs w:val="12"/>
          <w:color w:val="auto"/>
        </w:rPr>
        <w:t>joined the QT Imaging, Inc. Board in November 2022 and has continued to serve on our Board following the closing of the Business Combination in March 2024. Mr. Dickson began his executive management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career in 1980, when he joined General Electric Company. From 1980 until 1987, he held a number of strategic and operational roles and had responsibility for a $300 million business in the company’s consumer electronics division. In 1987, Mr. Dickson left GE to join a startup company that brought advanced technology to consumer products retailing. As SVP Marketing, he helped grow revenue to $12 million and was a key player in the company’s IPO in 1989. In 1990, Mr. Dickson moved to California, where he became President and COO of a privately held data management company located in Santa Monica, CA. After repositioning the company to take advantage of the growing trend toward personalized marketing and internet-based market research, he was brought to San Francisco by the venture capital</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2"/>
          <w:szCs w:val="12"/>
          <w:color w:val="auto"/>
        </w:rPr>
        <w:t>firm Draper Fisher Jurvetson in 1996 to serve as President and CEO of one of their early-stage internet companies. Based on this experience, he joined The Brenner Group, Inc., in 1998 where he built that company’s interim CEO practice. During that period, he also served as a “parachute” CEO and was retained by multiple San Francisco Bay Area venture firms to manage and reposition their portfolio companies, including Armus Corporation, a data management firm that focused on medical outcomes (acquired by Health Catalyst Capital Management in 2022), and Vital Transport, a start-up company involved in organ transport. In 2003, Mr. Dickson returned to the East Coast where he became President and CEO of Best Cellars, Inc., an innovative wine retailer with operations in five states. After doubling sales and creating a significant internet business, he negotiated the company’s acquisition by the $9 billion publicly held Great Atlantic &amp; Pacific Grocery chain in 2007. After the acquisition, Mr. Dickson was retained as a “virtual COO” for the company’s $200 million wine, beer, and spirits operation, where he remained until 2011. From 2011 to 2018, he served as a board member and later advisor to the board of The Winebow Group, an $800 million fine wine distributor with locations in 19 states across the country. From 2018 until 2021 he acted as CFO of the Latin American Auto Group, an initiative led by automotive industry pioneer Marshall S. Cogan. He currently maintains an independent consulting practice focusing on executive coaching and strategic analysis, and is an executive coach affiliated with SUMMi7 LLC in Dallas, TX. Mr. Dickson holds an M.B.A., with Distinction, from Harvard’s Graduate School of Business Administration (1980), and a B.S. in Public Communication, Summa Cum Laude, from Boston University (1974), and is a registered Agile Product Owner and Scrum Master.</w:t>
      </w:r>
    </w:p>
    <w:p>
      <w:pPr>
        <w:spacing w:after="0" w:line="90"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2"/>
          <w:szCs w:val="12"/>
          <w:color w:val="auto"/>
        </w:rPr>
        <w:t>We believe Mr. Dickson is qualified to serve on our Board because of his more than 30 years of C-level experience and expertise working in companies ranging from startups to Fortune 50 and his experience in industries from consumer products to enterprise software, as well as his proven ability to focus and scale a company.</w:t>
      </w:r>
    </w:p>
    <w:p>
      <w:pPr>
        <w:spacing w:after="0" w:line="7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 xml:space="preserve">Mr. James Greene </w:t>
      </w:r>
      <w:r>
        <w:rPr>
          <w:rFonts w:ascii="Times New Roman" w:cs="Times New Roman" w:eastAsia="Times New Roman" w:hAnsi="Times New Roman"/>
          <w:sz w:val="12"/>
          <w:szCs w:val="12"/>
          <w:color w:val="auto"/>
        </w:rPr>
        <w:t>joined our Board in March 2024</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Mr. Greene served as a director of Umpqua Bank (n/k/a Columbia Banking System) (“</w:t>
      </w:r>
      <w:r>
        <w:rPr>
          <w:rFonts w:ascii="Times New Roman" w:cs="Times New Roman" w:eastAsia="Times New Roman" w:hAnsi="Times New Roman"/>
          <w:sz w:val="12"/>
          <w:szCs w:val="12"/>
          <w:i w:val="1"/>
          <w:iCs w:val="1"/>
          <w:color w:val="auto"/>
        </w:rPr>
        <w:t>Umpqua Bank</w:t>
      </w:r>
      <w:r>
        <w:rPr>
          <w:rFonts w:ascii="Times New Roman" w:cs="Times New Roman" w:eastAsia="Times New Roman" w:hAnsi="Times New Roman"/>
          <w:sz w:val="12"/>
          <w:szCs w:val="12"/>
          <w:color w:val="auto"/>
        </w:rPr>
        <w:t>”) (Nasdaq: UMPQ) until its acquisition in March 2023 and serves as a director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GigCapital8 Corp. (“</w:t>
      </w:r>
      <w:r>
        <w:rPr>
          <w:rFonts w:ascii="Times New Roman" w:cs="Times New Roman" w:eastAsia="Times New Roman" w:hAnsi="Times New Roman"/>
          <w:sz w:val="12"/>
          <w:szCs w:val="12"/>
          <w:i w:val="1"/>
          <w:iCs w:val="1"/>
          <w:color w:val="auto"/>
        </w:rPr>
        <w:t>GIG8</w:t>
      </w:r>
      <w:r>
        <w:rPr>
          <w:rFonts w:ascii="Times New Roman" w:cs="Times New Roman" w:eastAsia="Times New Roman" w:hAnsi="Times New Roman"/>
          <w:sz w:val="12"/>
          <w:szCs w:val="12"/>
          <w:color w:val="auto"/>
        </w:rPr>
        <w:t>”) (Nasdaq: GIW) since its initial public offering in October 2025, and UpHealth, Inc. (OTC Expert Market: UPHL) since December 2023. He is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leader of Cisco’s global Strategic Partner Organization. Before Mr. Greene’s tenure at Cisco and Accenture, he generated significant growth as president and CEO of Abilizer, a portal technology start-up company, as managing director at Capgemini, and as global head of financial services at TeleTech.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believe that Mr. Greene is qualified to serve on our Board based on his leadership experience with technology companies, as well as his business development and finance experience.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Class II Directors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 xml:space="preserve">Bryan L. Timm </w:t>
      </w:r>
      <w:r>
        <w:rPr>
          <w:rFonts w:ascii="Times New Roman" w:cs="Times New Roman" w:eastAsia="Times New Roman" w:hAnsi="Times New Roman"/>
          <w:sz w:val="12"/>
          <w:szCs w:val="12"/>
          <w:color w:val="auto"/>
        </w:rPr>
        <w:t>is being nominated to serve on the Board. He has served on the board of directors and as Chairman of the Audit Committee of GigCapital7 Corp. (“</w:t>
      </w:r>
      <w:r>
        <w:rPr>
          <w:rFonts w:ascii="Times New Roman" w:cs="Times New Roman" w:eastAsia="Times New Roman" w:hAnsi="Times New Roman"/>
          <w:sz w:val="12"/>
          <w:szCs w:val="12"/>
          <w:i w:val="1"/>
          <w:iCs w:val="1"/>
          <w:color w:val="auto"/>
        </w:rPr>
        <w:t>GIG7</w:t>
      </w:r>
      <w:r>
        <w:rPr>
          <w:rFonts w:ascii="Times New Roman" w:cs="Times New Roman" w:eastAsia="Times New Roman" w:hAnsi="Times New Roman"/>
          <w:sz w:val="12"/>
          <w:szCs w:val="12"/>
          <w:color w:val="auto"/>
        </w:rPr>
        <w:t>”) and has continued in his role after that company became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Hadron Energy, Inc. (“</w:t>
      </w:r>
      <w:r>
        <w:rPr>
          <w:rFonts w:ascii="Times New Roman" w:cs="Times New Roman" w:eastAsia="Times New Roman" w:hAnsi="Times New Roman"/>
          <w:sz w:val="12"/>
          <w:szCs w:val="12"/>
          <w:i w:val="1"/>
          <w:iCs w:val="1"/>
          <w:color w:val="auto"/>
        </w:rPr>
        <w:t>Hadron Energy</w:t>
      </w:r>
      <w:r>
        <w:rPr>
          <w:rFonts w:ascii="Times New Roman" w:cs="Times New Roman" w:eastAsia="Times New Roman" w:hAnsi="Times New Roman"/>
          <w:sz w:val="12"/>
          <w:szCs w:val="12"/>
          <w:color w:val="auto"/>
        </w:rPr>
        <w:t>”) (Nasdaq: HDRN) in May 2026. Mr. Timm also currently serves as a member of the board and Chairman of the Audit Committee for GIG8 since its initial public offering in October 2025 and as a director for GigCapital9 Corp. (“</w:t>
      </w:r>
      <w:r>
        <w:rPr>
          <w:rFonts w:ascii="Times New Roman" w:cs="Times New Roman" w:eastAsia="Times New Roman" w:hAnsi="Times New Roman"/>
          <w:sz w:val="12"/>
          <w:szCs w:val="12"/>
          <w:i w:val="1"/>
          <w:iCs w:val="1"/>
          <w:color w:val="auto"/>
        </w:rPr>
        <w:t>GIG9</w:t>
      </w:r>
      <w:r>
        <w:rPr>
          <w:rFonts w:ascii="Times New Roman" w:cs="Times New Roman" w:eastAsia="Times New Roman" w:hAnsi="Times New Roman"/>
          <w:sz w:val="12"/>
          <w:szCs w:val="12"/>
          <w:color w:val="auto"/>
        </w:rPr>
        <w:t>”) (Nasdaq: GIX) since its initial public offering in January 2026. He also serves as a Board Advisor for the Pape’ Group, a family company serving the west coast with Kenworth, John Deere, and Hyster heavy equipment dealerships. He previously served on the Board of Directors of Umpqua Bank from 2004 to 2023. As a director he served in multiple roles including Vice Chairman of the Board, Chairman of the Audit and Compliance Committee,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Chief Operating Officer, and Chief Financial Officer from 1997 to 2017. Prior to 1997, he held financial positions for Oregon Steel Mills, Inc. (NYSE: OS) and at KPMG as part of the Audit practice. Mr. Timm holds a Bachelor of Science degree from the University of Idaho in Accounting and is a Certified Public Accountant (lapsed) in the state of Oregon.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believe Mr. Timm is qualified to serve on the Board based on his executive management, service on other boards and finance experience.</w:t>
      </w:r>
    </w:p>
    <w:p>
      <w:pPr>
        <w:spacing w:after="0" w:line="1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Mr. Ross Taylor </w:t>
      </w:r>
      <w:r>
        <w:rPr>
          <w:rFonts w:ascii="Times New Roman" w:cs="Times New Roman" w:eastAsia="Times New Roman" w:hAnsi="Times New Roman"/>
          <w:sz w:val="12"/>
          <w:szCs w:val="12"/>
          <w:color w:val="auto"/>
        </w:rPr>
        <w:t>joined our board in March 2024. Ross Taylor is the Chief Financial Officer of BillionToOne, Inc. Mr. Taylor served as Senior Vice President and Chief Financial Officer of Codexis, Inc. from August 2019 to January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2023. Previously, Mr. Taylor served as Chief Financial Officer, Vice President of Finance and Secretary of Abaxis, Inc. from August 2015 through July 2018 at which time Zoetis acquired Abaxis, Inc. Also, Mr. Taylor served as Vice President of Business Development &amp; Investor Relations at Abaxis, Inc. from October 2014 through July 2015. Prior to Abaxis, Mr. Taylor worked in equity research for various Wall Street firms including CL King &amp; Associates, where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he was Senior Vice President/Equity Research Analyst from July 2005 through October 2014, UBS, and Smith Barney. Mr. Taylor earned a Master of Business Administration degree at Columbia Business School and a Bachelor’s degree in Economics from Duke University. Following a request by current Class II Director Mr. Ross Taylor to not be renominated for election to the Board, the Board has determined not to renominate Mr. Taylor. Mr. Taylor’s request to not be renominated is not as a result of any disagreements with the Company.</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b w:val="1"/>
          <w:bCs w:val="1"/>
          <w:i w:val="1"/>
          <w:iCs w:val="1"/>
          <w:color w:val="auto"/>
        </w:rPr>
        <w:t xml:space="preserve">Professor Zeev Weiner </w:t>
      </w:r>
      <w:r>
        <w:rPr>
          <w:rFonts w:ascii="Times New Roman" w:cs="Times New Roman" w:eastAsia="Times New Roman" w:hAnsi="Times New Roman"/>
          <w:sz w:val="12"/>
          <w:szCs w:val="12"/>
          <w:color w:val="auto"/>
        </w:rPr>
        <w:t>joined our Board upon the closing of the Business Combination in March 2024. Professor Weiner has been the director of the Department of Obstetrics and Oncology at the Rambam Health Care Campus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Haifa, Israel since 2014. He is currently the president of the OB/GYN Society of Northern Israel, a member of Israel’s National OB/GYN Committee, a member of the Obstetrics and Gynecology Teaching Committee at Technion – Israel Institute of Technology’s Rappaport Faculty of Medicine, a member of Life journal’s editorial board, an organizer of post-graduate courses in obstetrics for resident physicians in northern Israel and a reviewer of the publication Prenatal Diagnosis. Professor Weiner also sits on the Rappaport Faculty of Medicine at Technion – Israel Institute of Technology in Haifa, Israel, a leading global medical school, as both a clinical professor and an associate clinical professor, positions Professor Weiner has held since 2022 and 2007, respectively. Since 1987, Professor Weiner has served as an instructor of obstetrics and gynecology to clinical medical students and a lecturer of obstetrics and gynecology to fifth year obstetrics and gynecology residents, in each case through the Rappaport Faculty of Medicine at Technion – Israel Institute of Technology. Since 2002, Professor Weiner has also served as lecturer of an ultrasound and doppler in obstetrics and gynecology course at the Israel School of Ultrasound in Obstetrics and Gynecology. Previously, Professor Weiner was the director Ultrasound in Obstetrics and Gynecology Rambam Health Care Campus from 2005 to 2014, the director of Maternal Fetal Medicine in the Department of Obstetrics and Gynecology at the Lutheran Medical Center in Brooklyn, NY from 2003 to 2005, and the director of Perinatology at the Emek Medical Center in Afula, Israel from 1998 to 2003. In addition, Professor Weiner served as head of the OB/GYN Exam Preparation Committee at Technion – Israel Institute of Technology’s Rappaport Faculty of Medicine from 2009 to 2012. In connection with these academic activities, Professor Weiner’s research has been published numerous times in various medical and related academic journals. Professor Weiner received his MD from Tel Aviv University’s Sackler Faculty of Medicine in 1986, and an MHA from Tel Aviv University’s Sackler Faculty of Medicine in 2012. Professor Weiner received the “Outstanding Sixth Year Student” in 1986 in honor of his high academic achievement as a medical student. Further, in 2005, Professor Weiner received the National Faculty Award in the field of Obstetrics and Gynecology from the American College of Obstetrics and Gynecology’s Council on Resident Education in Obstetrics and Gynecology and the APGO Excellence in Teaching Award from the Association of Professors of Gynecology and Obstetrics at Lutheran Medical Center’s Department of Obstetrics and Gynecology.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believe that Professor Weiner is qualified to serve on our Board based on his business experience and his obstetrics and oncology expertise.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Class III Directors</w:t>
      </w:r>
    </w:p>
    <w:p>
      <w:pPr>
        <w:spacing w:after="0" w:line="11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2"/>
          <w:szCs w:val="12"/>
          <w:b w:val="1"/>
          <w:bCs w:val="1"/>
          <w:i w:val="1"/>
          <w:iCs w:val="1"/>
          <w:color w:val="auto"/>
        </w:rPr>
        <w:t xml:space="preserve">Dr. Raluca Dinu </w:t>
      </w:r>
      <w:r>
        <w:rPr>
          <w:rFonts w:ascii="Times New Roman" w:cs="Times New Roman" w:eastAsia="Times New Roman" w:hAnsi="Times New Roman"/>
          <w:sz w:val="12"/>
          <w:szCs w:val="12"/>
          <w:color w:val="auto"/>
        </w:rPr>
        <w:t>co-founded GigCapital5 with Dr. Avi S. Katz, who is our Chairman of the Board, and has served as a member of our Board, as well as our President, Chief Executive Officer and Secretary since February 2021. Dr.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GigCapital2, Inc. (“</w:t>
      </w:r>
      <w:r>
        <w:rPr>
          <w:rFonts w:ascii="Times New Roman" w:cs="Times New Roman" w:eastAsia="Times New Roman" w:hAnsi="Times New Roman"/>
          <w:sz w:val="12"/>
          <w:szCs w:val="12"/>
          <w:i w:val="1"/>
          <w:iCs w:val="1"/>
          <w:color w:val="auto"/>
        </w:rPr>
        <w:t>GIG2</w:t>
      </w:r>
      <w:r>
        <w:rPr>
          <w:rFonts w:ascii="Times New Roman" w:cs="Times New Roman" w:eastAsia="Times New Roman" w:hAnsi="Times New Roman"/>
          <w:sz w:val="12"/>
          <w:szCs w:val="12"/>
          <w:color w:val="auto"/>
        </w:rPr>
        <w:t>”) from August 2019 to June 2021 and as a member of its board of directors since March 2019 and has continued in that role after that company became UpHealth, Inc. She also served on the board of directors of GigCapital3, Inc. (“</w:t>
      </w:r>
      <w:r>
        <w:rPr>
          <w:rFonts w:ascii="Times New Roman" w:cs="Times New Roman" w:eastAsia="Times New Roman" w:hAnsi="Times New Roman"/>
          <w:sz w:val="12"/>
          <w:szCs w:val="12"/>
          <w:i w:val="1"/>
          <w:iCs w:val="1"/>
          <w:color w:val="auto"/>
        </w:rPr>
        <w:t>GIG3</w:t>
      </w:r>
      <w:r>
        <w:rPr>
          <w:rFonts w:ascii="Times New Roman" w:cs="Times New Roman" w:eastAsia="Times New Roman" w:hAnsi="Times New Roman"/>
          <w:sz w:val="12"/>
          <w:szCs w:val="12"/>
          <w:color w:val="auto"/>
        </w:rPr>
        <w:t>”) beginning in February 2020 and continued in that role after that company became Lightning eMotors, Inc. in May 2021 until October 2021. She has also served as a member of the board of directors of BigBear.ai Holdings, Inc. since its inception in December 2020 as GigCapital4, Inc. (“</w:t>
      </w:r>
      <w:r>
        <w:rPr>
          <w:rFonts w:ascii="Times New Roman" w:cs="Times New Roman" w:eastAsia="Times New Roman" w:hAnsi="Times New Roman"/>
          <w:sz w:val="12"/>
          <w:szCs w:val="12"/>
          <w:i w:val="1"/>
          <w:iCs w:val="1"/>
          <w:color w:val="auto"/>
        </w:rPr>
        <w:t>GIG4</w:t>
      </w:r>
      <w:r>
        <w:rPr>
          <w:rFonts w:ascii="Times New Roman" w:cs="Times New Roman" w:eastAsia="Times New Roman" w:hAnsi="Times New Roman"/>
          <w:sz w:val="12"/>
          <w:szCs w:val="12"/>
          <w:color w:val="auto"/>
        </w:rPr>
        <w:t>”) until March 2024, and prior to the December 2021 business combination, was also the President, Chief Executive Officer and Secretary of GIG4 since its inception in December 2020. Drs. Katz and Dinu co-founded GigCapital7 Corp. (“</w:t>
      </w:r>
      <w:r>
        <w:rPr>
          <w:rFonts w:ascii="Times New Roman" w:cs="Times New Roman" w:eastAsia="Times New Roman" w:hAnsi="Times New Roman"/>
          <w:sz w:val="12"/>
          <w:szCs w:val="12"/>
          <w:i w:val="1"/>
          <w:iCs w:val="1"/>
          <w:color w:val="auto"/>
        </w:rPr>
        <w:t>GIG7</w:t>
      </w:r>
      <w:r>
        <w:rPr>
          <w:rFonts w:ascii="Times New Roman" w:cs="Times New Roman" w:eastAsia="Times New Roman" w:hAnsi="Times New Roman"/>
          <w:sz w:val="12"/>
          <w:szCs w:val="12"/>
          <w:color w:val="auto"/>
        </w:rPr>
        <w:t>”) in May 2024, a Private-to-Public Equity (PPE) company formed for the purpose of acquiring a company in the TMT, AI/ML, cybersecurity, MedTech, semiconductor and sustainable industries, and Dr. Dinu has served on the board of directors of GIG7 since its inception, and has continued in that role after that company became Hadron Energy following the business combination between GIG7 and Hadron Energy, Inc. GIG7 completed its initial public offering in August 2024. Drs. Katz and Dinu co-founded GIG8 in June 2025, a Private-to-Public Equity (PPE) company formed for the purpose of acquiring a company in the TMT, A&amp;D and intelligent automation industries, and Dr. Dinu has served on the board of directors of GIG8 since its inception. GIG8 completed its initial public offering in October 2025. Drs. Katz and Dinu also cofounded GIG) in October 2025, a Private-to-Public Equity (PPE) company formed for the purpose of acquiring a company in the aerospace and defense services industry and the TMT industry, including TMT companies focused on, cybersecurity and secured communications and quantum-based command and control systems, and artificial intelligence and machine-learning industries, and Dr. Dinu has served on the board of directors of GIG9 since its inception. GIG9 completed its initial public offering in January 2026. Drs. Katz</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and Dinu also co-founded GigInternational1, a Private-to-Public Equity (PPE) company formed for the purpose of acquiring a company in the TMT, aerospace and defense,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IDT’s Optical Interconnects Division. Prior to that, she held several executive-level positions at GigPeak,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believe Dr. Dinu is qualified to serve on the Board based on her business experience as a board member of a publicly-listed company and her investing experience.</w:t>
      </w:r>
    </w:p>
    <w:p>
      <w:pPr>
        <w:spacing w:after="0" w:line="1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 xml:space="preserve">Dr. Avi S. Katz </w:t>
      </w:r>
      <w:r>
        <w:rPr>
          <w:rFonts w:ascii="Times New Roman" w:cs="Times New Roman" w:eastAsia="Times New Roman" w:hAnsi="Times New Roman"/>
          <w:sz w:val="12"/>
          <w:szCs w:val="12"/>
          <w:color w:val="auto"/>
        </w:rPr>
        <w:t>co-founded GigCapital5 together with Dr. Dinu and has served as the Chairman of the Board since the inception of GigCapital5 in January 2021. Dr. Katz had also been GigCapital5’s Chief Executive Officer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President for a short period of time before Dr. Dinu substituted for him as GigCapital5’s Chief Executive Officer and President. Dr. Katz is the sole manager of GigAcquisitions5, which was our founding stockholder, and through it holds an interest in our securities held by GigAcquisitions5. Dr. Katz also holds a 50% membership interest in GigManagement, LLC, and has served as a managing member of GigManagement, LLC since its inception. Dr. Katz has spent approximately 35 years in international executive positions within the TMT industry working for privately held start-ups, and publicly traded middle-cap companies and large enterprises. After the sale of GigPeak (also known as GigOptix, NYSE GIG), which he founded and bootstrapped in April 2007 to IDT International (NYSE IDT) in April 2017, in October 2017, Dr. Katz founded GigCapital Global as a serial issuer of private-to-public equity (PPE) entities, also known as special-purpose-acquisition-company (SPAC). Dr. Katz co-founded GIG7 with Dr. Dinu, and Dr. Katz has served as the Chief Executive Officer since the inception of GIG7 in May 2024 until the closing of its business combination with Hadron Energy in May 2026, and as its Executive Chairman of the Board since its inception, continuing in that role now that GIG7 is Hadron Energy, Inc. GIG7 completed its initial public offering in August 2024, raising $200 million. Hadron Energy is listed on Nasdaq and trades under the ticker symbol “HDRN.” Dr. Katz co-founded GIG8 with Dr. Dinu, and has served as the Chief Executive Officer and Chairman of the board since the inception of GIG8 in June 2025. GIG8 completed its initial public offering in October 2025, raising $253 million. It is listed on Nasdaq and trades under the ticker symbol “GIW.” Dr. Katz also co-founded GIG9 with Dr. Dinu and has served as the Chief Executive Officer and Chairman of the board since the inception of GIG9 in October 2025. GIG9 completed its initial public offering in January 2026, raising $253 million. It is listed on Nasdaq and trades under the ticker symbol ”GIX.” In September 2017 he founded GigCapital, Inc. (“</w:t>
      </w:r>
      <w:r>
        <w:rPr>
          <w:rFonts w:ascii="Times New Roman" w:cs="Times New Roman" w:eastAsia="Times New Roman" w:hAnsi="Times New Roman"/>
          <w:sz w:val="12"/>
          <w:szCs w:val="12"/>
          <w:i w:val="1"/>
          <w:iCs w:val="1"/>
          <w:color w:val="auto"/>
        </w:rPr>
        <w:t>GIG1</w:t>
      </w:r>
      <w:r>
        <w:rPr>
          <w:rFonts w:ascii="Times New Roman" w:cs="Times New Roman" w:eastAsia="Times New Roman" w:hAnsi="Times New Roman"/>
          <w:sz w:val="12"/>
          <w:szCs w:val="12"/>
          <w:color w:val="auto"/>
        </w:rPr>
        <w:t>”),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2"/>
          <w:szCs w:val="12"/>
          <w:color w:val="auto"/>
        </w:rPr>
        <w:t>proceeds of about $173 million. On June 8, 2021, GIG2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was steering many restructurings and refinancings of the company, including the sales of two divisions of the company, to IGI for $56 million in a cash deal in June 2023 and the sale of Cloudbreak for $180 million in a cash deal to GTCR in March 2024.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does business as Lightning eMotors, and the Company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aerospace and defense,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(NYSE American: formerly GIG), originally known as GigOptix, Inc. He served as Chairman of the Board, Chief Executive Officer and President of GigOptix / GigPeak from its inception in 2007 until its sale in April 2017 to IDT International (Nasdaq: IDTI) for $250 million in cash. While Dr. Katz was at GigPeak’s helm, the company completed 10 M&amp;A deals. From 2003 to 2005, Dr. Katz was the chief executive officer, president, and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our Chief Executive Officer and one of our directors.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believe that Dr. Katz is qualified to serve as Chairman of the Board based on his business experience as a founder, inventor, chief executive officer and director of a publicly-listed company and his investing experience.</w:t>
      </w:r>
    </w:p>
    <w:p>
      <w:pPr>
        <w:spacing w:after="0" w:line="110"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Dr. John C. Klock </w:t>
      </w:r>
      <w:r>
        <w:rPr>
          <w:rFonts w:ascii="Times New Roman" w:cs="Times New Roman" w:eastAsia="Times New Roman" w:hAnsi="Times New Roman"/>
          <w:sz w:val="12"/>
          <w:szCs w:val="12"/>
          <w:color w:val="auto"/>
        </w:rPr>
        <w:t>served as the Chief Executive Officer of QT Imaging, Inc. from 2014 to 2024, and as a Director and Founder of QT Imaging, Inc. and its predecessors since 2011. Following the Closing of the Business Combination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 March 2024, he has served as a member of our Board, and briefly served as our Chief Executive Officer until Dr. Dinu took over that role shortly after the closing of the Business Combination. Prior to serving in these positions with QT Imaging, Dr. Klock was involved in the start-up of five medical companies, including as Co-Founder and President of</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180"/>
        <w:spacing w:after="0" w:line="154" w:lineRule="exact"/>
        <w:rPr>
          <w:sz w:val="20"/>
          <w:szCs w:val="20"/>
          <w:color w:val="auto"/>
        </w:rPr>
      </w:pPr>
      <w:r>
        <w:rPr>
          <w:rFonts w:ascii="Times New Roman" w:cs="Times New Roman" w:eastAsia="Times New Roman" w:hAnsi="Times New Roman"/>
          <w:sz w:val="12"/>
          <w:szCs w:val="12"/>
          <w:color w:val="auto"/>
        </w:rPr>
        <w:t>BioMarin Pharmaceutical, Inc., which successfully commercialized five FDA drugs; and Scientific Founder and Vice President of Research of Glycomed, Inc., which was acquired by Ligand Pharmaceuticals, Inc. He also personally brought to market a novel cancer treatment, the first rapid AIDS test, comprehensive tests for detecting metabolic diseases in children, and several drugs for treating pediatric genetic conditions. Dr. Klock has authored over 100 peer</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reviewed medical and scientific publications and has been granted eight patents.</w:t>
      </w:r>
    </w:p>
    <w:p>
      <w:pPr>
        <w:spacing w:after="0" w:line="7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We believe Dr. Klock is qualified to serve on our Board due to his intimate knowledge of the business and operations of QT Imaging, including the scientific basis, regulatory requirements, sales and marketing channels of QT Imaging’s products, as well as Dr. Klock’s extensive medical experience.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CORPORATE GOVERNANCE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Independence</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Board has determined that, other than Dr. Raluca Dinu, Dr. Avi S. Katz and Dr. John C. Klock, each of the current members and nominees of the Board is an “independent director” for purposes of the listing standards of the Nasdaq Stock Exchange (“</w:t>
      </w:r>
      <w:r>
        <w:rPr>
          <w:rFonts w:ascii="Times New Roman" w:cs="Times New Roman" w:eastAsia="Times New Roman" w:hAnsi="Times New Roman"/>
          <w:sz w:val="12"/>
          <w:szCs w:val="12"/>
          <w:i w:val="1"/>
          <w:iCs w:val="1"/>
          <w:color w:val="auto"/>
        </w:rPr>
        <w:t>Nasdaq</w:t>
      </w:r>
      <w:r>
        <w:rPr>
          <w:rFonts w:ascii="Times New Roman" w:cs="Times New Roman" w:eastAsia="Times New Roman" w:hAnsi="Times New Roman"/>
          <w:sz w:val="12"/>
          <w:szCs w:val="12"/>
          <w:color w:val="auto"/>
        </w:rPr>
        <w:t>”) and Rule 10A-3(b)(1) under the Securities Exchange Act of 1934, as amended, as the term relates to membership on the Board and the various committees of the Board, and which is defined generally as a person other than an executive officer or employee of QT Imaging or its subsidiaries or any other individual having a relationship, which, in the opinion of our Board, would interfere with the director’s exercise of independent judgment in carrying out the responsibilities of a director.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Responsibilities and 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oversees, counsels, and directs management in the long-term interests of QT Imaging and our stockholders. The Board’s responsibilities include:</w:t>
      </w:r>
    </w:p>
    <w:p>
      <w:pPr>
        <w:spacing w:after="0" w:line="114"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selecting, evaluating the performance of, and determining the compensation of the Chief Executive Officer and other executive officers;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planning for succession with respect to the position of Chief Executive Officer and monitoring management’s succession planning for other executive officers;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our major financial objectives and strategic and operating plans, and other significant actions;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the conduct of our business and the assessment of our business and other enterprise risks to evaluate whether the business is being properly managed; and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the processes for maintaining our integrity with regard to our financial statements and other public disclosures, and compliance with law and ethics.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and its committees met throughout the year on a set schedule, held special meetings, and acted by written consent from time to time as appropriate.</w:t>
      </w:r>
    </w:p>
    <w:p>
      <w:pPr>
        <w:spacing w:after="0" w:line="11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Board Leadership Structure. </w:t>
      </w:r>
      <w:r>
        <w:rPr>
          <w:rFonts w:ascii="Times New Roman" w:cs="Times New Roman" w:eastAsia="Times New Roman" w:hAnsi="Times New Roman"/>
          <w:sz w:val="12"/>
          <w:szCs w:val="12"/>
          <w:color w:val="auto"/>
        </w:rPr>
        <w:t>The Board has leadership in the form of a Chairman of the Board. The Bylaws establish a fixed policy regarding the separation of the offices of Chairman of the Board and Chief Executive Officer.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accordance with this policy, the Board maintains a separate Chairman of the Board who is not the Chief Executive Officer of QT Imaging. The duties of the Chairman of the Board include:</w:t>
      </w:r>
    </w:p>
    <w:p>
      <w:pPr>
        <w:spacing w:after="0" w:line="73" w:lineRule="exact"/>
        <w:rPr>
          <w:sz w:val="20"/>
          <w:szCs w:val="20"/>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presiding over all meetings of the Board;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preparing the agenda for Board meetings in consultation with the Chief Executive Officer and other members of the Board;</w:t>
      </w:r>
    </w:p>
    <w:p>
      <w:pPr>
        <w:spacing w:after="0" w:line="114"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working with the Chairman of the Nominating and Corporate Governance Committee and the Compensation Committee to manage the Board’s process for annual director self-assessment and evaluation of the Board and of the Chief Executive Officer;</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supervision and control of the acquisition and financing activities of the Company; and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presiding over all meetings of stockholders.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Board’s Role in Risk Oversight at QT Imaging</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Board has an active role, as a whole and also at the committee level, in overseeing the management of the Company’s risks. The Board is responsible for general oversight of risks and regular review of information regarding the Company’s risks, including credit risks, liquidity risks, and operational risks. The Compensation Committee is responsible for overseeing the management of risks relating to the Company’s executive compensation plans and arrangements. The Audit Committee is responsible for overseeing the management of risks relating to accounting matters and financial reporting and potential conflicts of interest. The Nominating and Corporate Governance Committee is responsible for overseeing the management of risks associated with the independence of the Board. Although each committee is responsible for evaluating certain risks and overseeing the management of such risks, the entire Board is regularly informed through discussions from committee members about such risks.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Sessions</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QT Imaging regularly has executive sessions of the Board where members of management and members of the Board who are employees of the Company are not in attendance. The Chairman of the Board, Dr. Avi S. Katz, has presided at these executive sessions. Any party wishing to make their concerns known to non-management or independent directors of the Board may contact Dr. Avi S. Katz at the following email address: </w:t>
      </w:r>
      <w:r>
        <w:rPr>
          <w:rFonts w:ascii="Times New Roman" w:cs="Times New Roman" w:eastAsia="Times New Roman" w:hAnsi="Times New Roman"/>
          <w:sz w:val="12"/>
          <w:szCs w:val="12"/>
          <w:color w:val="0000FF"/>
        </w:rPr>
        <w:t>avi.katz@qtimaging.com</w:t>
      </w:r>
      <w:r>
        <w:rPr>
          <w:rFonts w:ascii="Times New Roman" w:cs="Times New Roman" w:eastAsia="Times New Roman" w:hAnsi="Times New Roman"/>
          <w:sz w:val="12"/>
          <w:szCs w:val="12"/>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Composition and Classification</w:t>
      </w:r>
    </w:p>
    <w:p>
      <w:pPr>
        <w:spacing w:after="0" w:line="11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2"/>
          <w:szCs w:val="12"/>
          <w:color w:val="auto"/>
        </w:rPr>
        <w:t>The Board consists of seven members. In accordance with the Second Amended and Restated Certificate of Incorporation (the “</w:t>
      </w:r>
      <w:r>
        <w:rPr>
          <w:rFonts w:ascii="Times New Roman" w:cs="Times New Roman" w:eastAsia="Times New Roman" w:hAnsi="Times New Roman"/>
          <w:sz w:val="12"/>
          <w:szCs w:val="12"/>
          <w:i w:val="1"/>
          <w:iCs w:val="1"/>
          <w:color w:val="auto"/>
        </w:rPr>
        <w:t>Charter</w:t>
      </w:r>
      <w:r>
        <w:rPr>
          <w:rFonts w:ascii="Times New Roman" w:cs="Times New Roman" w:eastAsia="Times New Roman" w:hAnsi="Times New Roman"/>
          <w:sz w:val="12"/>
          <w:szCs w:val="12"/>
          <w:color w:val="auto"/>
        </w:rPr>
        <w:t>”), the Board is classified. The Board believes it is in the best interests of the Company for the Board to be classified into three classes, each comprising as nearly as possible one-third of the directors to serve three-year terms, and only one class of directors will be elected at each annual meeting of stockholders, with the other classes continuing for the remainder of their respective three-year terms. The Board consists of the following members:</w:t>
      </w:r>
    </w:p>
    <w:p>
      <w:pPr>
        <w:spacing w:after="0" w:line="83" w:lineRule="exact"/>
        <w:rPr>
          <w:sz w:val="20"/>
          <w:szCs w:val="20"/>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I directors are Daniel Dickson and James Greene and their terms will expire at the annual meeting of stockholders to be held in 2028;</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II directors are Ross Taylor and Professor Zeev Weiner and their terms will expire at the annual meeting of stockholders to be held in 2026; and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III directors are Dr. Avi S. Katz, Dr. Raluca Dinu and Dr. John Klock and their terms will expire at the annual meeting of stockholders to be held in 2027.</w:t>
      </w:r>
    </w:p>
    <w:p>
      <w:pPr>
        <w:spacing w:after="0" w:line="114"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2"/>
          <w:szCs w:val="12"/>
          <w:color w:val="auto"/>
        </w:rPr>
        <w:t>At each annual meeting of stockholders, upon the expiration of the term of a class of directors, the successor to each such director in the class will be elected to serve from the time of election and qualification until the third annual meeting following their election and until their successor is duly elected and qualified, in accordance with the Charter. Any additional directorships resulting from an increase in the number of directors will be distributed among the three classes so that, as nearly as possible, each class will consist of one-third of the Company’s directors.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classification of the Company’s directors may have the effect of delaying or preventing changes in control of the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Meetings of the Board and Committees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Following the Business Combination, when the Board in its current form was constituted, the Board held eight meetings during the fiscal year ended December 31, 2025. The Board currently has three standing committees: an Audit Committee, a Compensation Committee and a Nominating and Corporate Governance Committee. During our last fiscal year, each of our incumbent directors attended at least 87.5% of the total number of meetings of the Board and all of the committees of the Board on which such director served during that period.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the standing committees of the Board and the members of each committee as of the date that this Proxy Statement was first made available to our stockholders: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Nominating and Corporate</w:t>
            </w:r>
          </w:p>
        </w:tc>
      </w:tr>
      <w:tr>
        <w:trPr>
          <w:trHeight w:val="125"/>
        </w:trPr>
        <w:tc>
          <w:tcPr>
            <w:tcW w:w="62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 of Director</w:t>
            </w:r>
          </w:p>
        </w:tc>
        <w:tc>
          <w:tcPr>
            <w:tcW w:w="8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Audit</w:t>
            </w:r>
          </w:p>
        </w:tc>
        <w:tc>
          <w:tcPr>
            <w:tcW w:w="80" w:type="dxa"/>
            <w:vAlign w:val="bottom"/>
          </w:tcPr>
          <w:p>
            <w:pPr>
              <w:spacing w:after="0"/>
              <w:rPr>
                <w:sz w:val="10"/>
                <w:szCs w:val="10"/>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Compensation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Governance</w:t>
            </w:r>
          </w:p>
        </w:tc>
      </w:tr>
      <w:tr>
        <w:trPr>
          <w:trHeight w:val="62"/>
        </w:trPr>
        <w:tc>
          <w:tcPr>
            <w:tcW w:w="62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212"/>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Dr. Avi S. Katz</w:t>
            </w: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198"/>
        </w:trPr>
        <w:tc>
          <w:tcPr>
            <w:tcW w:w="6220" w:type="dxa"/>
            <w:vAlign w:val="bottom"/>
          </w:tcPr>
          <w:p>
            <w:pPr>
              <w:spacing w:after="0"/>
              <w:rPr>
                <w:sz w:val="20"/>
                <w:szCs w:val="20"/>
                <w:color w:val="auto"/>
              </w:rPr>
            </w:pPr>
            <w:r>
              <w:rPr>
                <w:rFonts w:ascii="Times New Roman" w:cs="Times New Roman" w:eastAsia="Times New Roman" w:hAnsi="Times New Roman"/>
                <w:sz w:val="12"/>
                <w:szCs w:val="12"/>
                <w:color w:val="auto"/>
              </w:rPr>
              <w:t>Dr. Raluca Dinu</w:t>
            </w: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54"/>
        </w:trPr>
        <w:tc>
          <w:tcPr>
            <w:tcW w:w="6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32"/>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Dr. John C. Klock</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198"/>
        </w:trPr>
        <w:tc>
          <w:tcPr>
            <w:tcW w:w="6220" w:type="dxa"/>
            <w:vAlign w:val="bottom"/>
          </w:tcPr>
          <w:p>
            <w:pPr>
              <w:spacing w:after="0"/>
              <w:rPr>
                <w:sz w:val="20"/>
                <w:szCs w:val="20"/>
                <w:color w:val="auto"/>
              </w:rPr>
            </w:pPr>
            <w:r>
              <w:rPr>
                <w:rFonts w:ascii="Times New Roman" w:cs="Times New Roman" w:eastAsia="Times New Roman" w:hAnsi="Times New Roman"/>
                <w:sz w:val="12"/>
                <w:szCs w:val="12"/>
                <w:color w:val="auto"/>
              </w:rPr>
              <w:t>Ross Taylor</w:t>
            </w:r>
          </w:p>
        </w:tc>
        <w:tc>
          <w:tcPr>
            <w:tcW w:w="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Chair</w:t>
            </w: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X</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r>
      <w:tr>
        <w:trPr>
          <w:trHeight w:val="54"/>
        </w:trPr>
        <w:tc>
          <w:tcPr>
            <w:tcW w:w="6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32"/>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Daniel Dickson</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X</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1"/>
              </w:rPr>
              <w:t>X</w:t>
            </w:r>
          </w:p>
        </w:tc>
      </w:tr>
      <w:tr>
        <w:trPr>
          <w:trHeight w:val="198"/>
        </w:trPr>
        <w:tc>
          <w:tcPr>
            <w:tcW w:w="6220" w:type="dxa"/>
            <w:vAlign w:val="bottom"/>
          </w:tcPr>
          <w:p>
            <w:pPr>
              <w:spacing w:after="0"/>
              <w:rPr>
                <w:sz w:val="20"/>
                <w:szCs w:val="20"/>
                <w:color w:val="auto"/>
              </w:rPr>
            </w:pPr>
            <w:r>
              <w:rPr>
                <w:rFonts w:ascii="Times New Roman" w:cs="Times New Roman" w:eastAsia="Times New Roman" w:hAnsi="Times New Roman"/>
                <w:sz w:val="12"/>
                <w:szCs w:val="12"/>
                <w:color w:val="auto"/>
              </w:rPr>
              <w:t>James Greene</w:t>
            </w:r>
          </w:p>
        </w:tc>
        <w:tc>
          <w:tcPr>
            <w:tcW w:w="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Chair</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r>
      <w:tr>
        <w:trPr>
          <w:trHeight w:val="54"/>
        </w:trPr>
        <w:tc>
          <w:tcPr>
            <w:tcW w:w="6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198"/>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Professor Zeev Weiner</w:t>
            </w: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Chair</w:t>
            </w:r>
          </w:p>
        </w:tc>
      </w:tr>
      <w:tr>
        <w:trPr>
          <w:trHeight w:val="90"/>
        </w:trPr>
        <w:tc>
          <w:tcPr>
            <w:tcW w:w="6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r>
      <w:tr>
        <w:trPr>
          <w:trHeight w:val="198"/>
        </w:trPr>
        <w:tc>
          <w:tcPr>
            <w:tcW w:w="6220" w:type="dxa"/>
            <w:vAlign w:val="bottom"/>
          </w:tcPr>
          <w:p>
            <w:pPr>
              <w:spacing w:after="0"/>
              <w:rPr>
                <w:sz w:val="20"/>
                <w:szCs w:val="20"/>
                <w:color w:val="auto"/>
              </w:rPr>
            </w:pPr>
            <w:r>
              <w:rPr>
                <w:rFonts w:ascii="Times New Roman" w:cs="Times New Roman" w:eastAsia="Times New Roman" w:hAnsi="Times New Roman"/>
                <w:sz w:val="12"/>
                <w:szCs w:val="12"/>
                <w:color w:val="auto"/>
              </w:rPr>
              <w:t>Number of meetings during fiscal year 2025:</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66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Committees</w:t>
      </w:r>
    </w:p>
    <w:p>
      <w:pPr>
        <w:spacing w:after="0" w:line="118"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The standing committees of the Board consist of the Audit Committee, the Compensation Committee and a Nominating and Corporate Governance Committee, each of which has the composition and the responsibilities described below. Additionally, from time to time, special committees may be established under the direction of the Board when the Board deems it necessary or advisable to address specific matters.</w:t>
      </w:r>
    </w:p>
    <w:p>
      <w:pPr>
        <w:spacing w:after="0" w:line="7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Chief Executive Officer and other executive officers regularly report to the non-executive directors and each standing committee to ensure effective and efficient oversight of its activities and to assist in proper risk management and the ongoing evaluation of management controls.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Audit Committee</w:t>
      </w:r>
    </w:p>
    <w:p>
      <w:pPr>
        <w:spacing w:after="0" w:line="11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members of the Company’s Audit Committee are Ross Taylor, Professor Zeev Weiner and James Greene. Mr. Taylor is the Chair of the Audit Committee and the “audit committee financial expert,” as that term is defined under the SEC rules implementing Section 407 of SOX, and possesses financial sophistication, as defined under the rules of Nasdaq. The Company’s Audit Committee oversees the Company’s corporate accounting and financial reporting process and assists the Board in monitoring the Company’s financial systems. The Company’s Audit Committee also:</w:t>
      </w:r>
    </w:p>
    <w:p>
      <w:pPr>
        <w:spacing w:after="0" w:line="83" w:lineRule="exact"/>
        <w:rPr>
          <w:sz w:val="20"/>
          <w:szCs w:val="20"/>
          <w:color w:val="auto"/>
        </w:rPr>
      </w:pPr>
    </w:p>
    <w:p>
      <w:pPr>
        <w:jc w:val="both"/>
        <w:ind w:left="420" w:hanging="212"/>
        <w:spacing w:after="0" w:line="265"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assists the Board in the oversight of (1) the accounting and financial reporting processes of the Company and the audits of the consolidated financial statements of the Company, (2) the preparation and integrity of the consolidated financial statements of the Company, (3) the compliance by the Company with financial statement and regulatory requirements, (4) the performance of the Company’s internal finance and accounting personnel and its independent registered public accounting firm, and (5) the qualifications and independence of the Company’s independent registered public accounting firm;</w:t>
      </w:r>
    </w:p>
    <w:p>
      <w:pPr>
        <w:spacing w:after="0" w:line="82"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with each of the internal auditors and independent registered public accounting firm the overall scope and plans for audits, including authority and organizational reporting lines and adequacy of staffing and compensation.</w:t>
      </w:r>
    </w:p>
    <w:p>
      <w:pPr>
        <w:spacing w:after="0" w:line="75"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and discusses with management and internal auditors the Company’s system of internal control and discussing with the independent registered public accounting firm any significant matters regarding internal controls over financial reporting that have come to its attention during the conduct of its audit;</w:t>
      </w:r>
    </w:p>
    <w:p>
      <w:pPr>
        <w:spacing w:after="0" w:line="75"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and discusses with management, internal auditors and the independent registered public accounting firm the Company’s financial and critical accounting practices, and policies relating to risk assessment and management;</w:t>
      </w:r>
    </w:p>
    <w:p>
      <w:pPr>
        <w:spacing w:after="0" w:line="75" w:lineRule="exact"/>
        <w:rPr>
          <w:rFonts w:ascii="Times New Roman" w:cs="Times New Roman" w:eastAsia="Times New Roman" w:hAnsi="Times New Roman"/>
          <w:sz w:val="12"/>
          <w:szCs w:val="12"/>
          <w:color w:val="auto"/>
        </w:rPr>
      </w:pPr>
    </w:p>
    <w:p>
      <w:pPr>
        <w:jc w:val="both"/>
        <w:ind w:left="420" w:hanging="212"/>
        <w:spacing w:after="0" w:line="260"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receives and reviews reports of the independent registered public accounting firm discussing (1) all critical accounting policies and practices to be used in the independent registered public accounting firm’s audit of the Company’s consolidated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p>
      <w:pPr>
        <w:spacing w:after="0" w:line="86"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and discusses with management and the independent registered public accounting firm the annual and quarterly consolidated financial statements and section entitled “Management’s Discussion and Analysis of Financial Conditions and Results of Operations” of the Company prior to the filing of the Company’s annual report on Form 10-K and quarterly reports on Form 10-Q;</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or establishes, standards for the type of information and the type of presentation of such information to be included in, earnings press releases and earnings guidance provided to analysts and rating agencies;</w:t>
      </w:r>
    </w:p>
    <w:p>
      <w:pPr>
        <w:spacing w:after="0" w:line="114"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discusses with management and the independent registered public accounting firm any changes in the Company’s critical accounting principles and the effects of alternative GAAP methods, off-balance sheet structures and regulatory and accounting initiatives;</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material pending legal proceedings involving the Company and other contingent liabilities;</w:t>
      </w:r>
    </w:p>
    <w:p>
      <w:pPr>
        <w:spacing w:after="0" w:line="114"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meets periodically with the Chief Executive Officer, Chief Financial Officer, the senior internal auditing executive and the independent registered public accounting firm in separate executive sessions to discuss results of examinations;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420" w:hanging="212"/>
        <w:spacing w:after="0" w:line="279" w:lineRule="auto"/>
        <w:tabs>
          <w:tab w:leader="none" w:pos="417"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and approves all transactions between the Company and related parties or affiliates of the officers of the Company requiring disclosure under Item 404 of Regulation S-K prior to the Company entering into such transactions;</w:t>
      </w:r>
    </w:p>
    <w:p>
      <w:pPr>
        <w:spacing w:after="0" w:line="75"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establishes procedures for the receipt, retention and treatment of complaints received by the Company regarding accounting, internal accounting controls or auditing matters, and the confidential, anonymous submissions by employees or contractors of concerns regarding questionable accounting or accounting matters;</w:t>
      </w:r>
    </w:p>
    <w:p>
      <w:pPr>
        <w:spacing w:after="0" w:line="75" w:lineRule="exact"/>
        <w:rPr>
          <w:rFonts w:ascii="Times New Roman" w:cs="Times New Roman" w:eastAsia="Times New Roman" w:hAnsi="Times New Roman"/>
          <w:sz w:val="12"/>
          <w:szCs w:val="12"/>
          <w:color w:val="auto"/>
        </w:rPr>
      </w:pPr>
    </w:p>
    <w:p>
      <w:pPr>
        <w:jc w:val="both"/>
        <w:ind w:left="420" w:hanging="212"/>
        <w:spacing w:after="0" w:line="260" w:lineRule="auto"/>
        <w:tabs>
          <w:tab w:leader="none" w:pos="417"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periodically with the Company’s management, independent registered public accounting firm and outside legal counsel (i) legal and regulatory matters which may have a material effect on the consolidated financial statements, and (ii) corporate compliance policies or codes of conduct, including any correspondence with regulators or government agencies and any employee complaints or published reports that raise material issues regarding the Company’s consolidated financial statements or accounting policies and any significant changes in accounting standards or rules promulgated by the Financial Accounting Standards Board, the SEC or other regulatory authorities; and</w:t>
      </w:r>
    </w:p>
    <w:p>
      <w:pPr>
        <w:spacing w:after="0" w:line="8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establishes policies for the hiring of employees and former employees of the independent registered public accounting firm.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Audit Committee operates under a written charter, which satisfies the applicable rules of the SEC and the listing standards of Nasdaq.</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Compensation Committee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established a Compensation Committee of the Board. The members of our Compensation Committee are Daniel Dickson, Professor Zeev Weiner, Ross Taylor and James Greene. Mr. Greene serves as Chair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Compensation Committee. The Company has adopted a Compensation Committee charter, which details the purpose and responsibility of the compensation committee, including:</w:t>
      </w:r>
    </w:p>
    <w:p>
      <w:pPr>
        <w:spacing w:after="0" w:line="103"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the performance of the Chief Executive Officer and executive management;</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assisting the Board in developing and evaluating potential candidates for executive positions (including the Chief Executive Officer);</w:t>
      </w:r>
    </w:p>
    <w:p>
      <w:pPr>
        <w:spacing w:after="0" w:line="114"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goals and objectives relevant to the Chief Executive Officer and other executive officer compensation, evaluate the Chief Executive Officer’s and other executive officers’ performance in light of these corporate goals and objectives, and set Chief Executive Officer and other executive officer compensation levels consistent with its evaluation and the Company philosophy;</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approving the salaries, bonus and other compensation for all executive officers;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compensation packages for new corporate officers and termination packages for corporate officers as requested by management;</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discussing with the Board and senior officers plans for officer development and corporate succession plans for the Chief Executive Officer and other senior officers;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making recommendations concerning executive compensation policies and plans;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recommending to the Board the adoption of or changes to the compensation of the Company’s directors;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the awards made under any executive officer bonus plan, and provide an appropriate report to the Board;</w:t>
      </w:r>
    </w:p>
    <w:p>
      <w:pPr>
        <w:spacing w:after="0" w:line="114"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making recommendations concerning long-term incentive compensation plans, including the use of stock options and other equity-based plans, and, except as otherwise delegated by the Board, acting on as the “Plan Administrator” for equity-based and employee benefit plans;</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approving all special perquisites, special cash payments and other special compensation and benefit arrangements for the Company’s executive officers and employees;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periodic reports from management on matters relating to the Company’s personnel appointments and practices;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assisting management in complying with the Company’s proxy statement and annual report disclosure requirements;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issuing an annual report of the compensation committee on executive compensation for the Company’s annual proxy statement in compliance with applicable SEC rules and regulations;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annually evaluating the committee’s performance and the committee’s charter and recommending to the Board any proposed changes to the charter or the committee; and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undertaking all further actions and discharge all further responsibilities imposed upon the committee from time to time by the Board, the federal securities laws or the rules and regulations of the SEC.</w:t>
      </w:r>
    </w:p>
    <w:p>
      <w:pPr>
        <w:spacing w:after="0" w:line="11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Nominating and Corporate Governance Committee</w:t>
      </w:r>
    </w:p>
    <w:p>
      <w:pPr>
        <w:spacing w:after="0" w:line="116"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2"/>
          <w:szCs w:val="12"/>
          <w:color w:val="auto"/>
        </w:rPr>
        <w:t>The members of the Company’s Nominating and Corporate Governance Committee are Ross Taylor, James Greene, Daniel Dickson and Professor Zeev Weiner. Professor Zeev Weiner is the Chair of the Company’s Nominating and Corporate Governance Committee. The Company’s Nominating and Corporate Governance Committee oversees and assists the Board in reviewing and recommending nominees for election as directors. Specifically, the Nominating and Corporate Governance Committee will:</w:t>
      </w:r>
    </w:p>
    <w:p>
      <w:pPr>
        <w:spacing w:after="0" w:line="83"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 and recommend to the Board the criteria for appointment as a director;</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consider, recruit and recommend candidates to fill new positions on the Board;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candidates recommended by stockholders;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the appropriate and necessary inquiries into the backgrounds and qualifications of possible candidates; and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 director nominees for approval by the Board and election by the stockholders at the next annual meeting.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Nominating and Corporate Governance Committee operates under a written charter which satisfies the applicable rules of the SEC and the listing standards of Nasdaq.</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Business Conduct and Ethics</w:t>
      </w:r>
    </w:p>
    <w:p>
      <w:pPr>
        <w:spacing w:after="0" w:line="11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color w:val="auto"/>
        </w:rPr>
        <w:t xml:space="preserve">The Company has adopted a Code of Business Conduct and Ethics applicable to the Company’s directors, officers, and employees, including our principal executive officer, principal financial officer, principal accounting officer or controller or, persons performing similar functions, in accordance with applicable federal securities laws. We have filed a copy of our form of Code of Business Conduct and Ethics and our board committee charters as exhibits to the Company’s 2025 Annual Report. You are able to review these documents by accessing our public filings at the SEC’s web site at </w:t>
      </w:r>
      <w:r>
        <w:rPr>
          <w:rFonts w:ascii="Times New Roman" w:cs="Times New Roman" w:eastAsia="Times New Roman" w:hAnsi="Times New Roman"/>
          <w:sz w:val="12"/>
          <w:szCs w:val="12"/>
          <w:u w:val="single" w:color="auto"/>
          <w:color w:val="0000FF"/>
        </w:rPr>
        <w:t>www.sec.gov</w:t>
      </w:r>
      <w:r>
        <w:rPr>
          <w:rFonts w:ascii="Times New Roman" w:cs="Times New Roman" w:eastAsia="Times New Roman" w:hAnsi="Times New Roman"/>
          <w:sz w:val="12"/>
          <w:szCs w:val="12"/>
          <w:color w:val="auto"/>
        </w:rPr>
        <w:t xml:space="preserve">. The Company’s Code of Business Conduct and Ethics is also available on the investor relations section of our website at </w:t>
      </w:r>
      <w:r>
        <w:rPr>
          <w:rFonts w:ascii="Times New Roman" w:cs="Times New Roman" w:eastAsia="Times New Roman" w:hAnsi="Times New Roman"/>
          <w:sz w:val="12"/>
          <w:szCs w:val="12"/>
          <w:u w:val="single" w:color="auto"/>
          <w:color w:val="0000FF"/>
        </w:rPr>
        <w:t>www.qtimaging.com</w:t>
      </w:r>
      <w:r>
        <w:rPr>
          <w:rFonts w:ascii="Times New Roman" w:cs="Times New Roman" w:eastAsia="Times New Roman" w:hAnsi="Times New Roman"/>
          <w:sz w:val="12"/>
          <w:szCs w:val="12"/>
          <w:color w:val="auto"/>
        </w:rPr>
        <w:t>. We intend to disclose any amendments to or waivers of our Code of Business Conduct and Ethics in a Current Report on Form 8-K on our website identified above. Information contained on our website is not incorporated by reference into this registration statement and should not be considered to be part of this registration statement.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Committee Interlocks and Insider Participation</w:t>
      </w:r>
    </w:p>
    <w:p>
      <w:pPr>
        <w:spacing w:after="0" w:line="118"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None of the members of our Compensation Committee is or has been an officer or employee of the Company. None of our executive officers currently serves, or in the past fiscal year has served, as a member of the board of directors, or compensation committee (or other board committee performing equivalent functions) of any entity that has one or more executive officers serving on the Board or Compensation Committee.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Nominations</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QT Imaging (i) in the case of an annual meeting, not later than the close of business on the 90th day nor earlier than the opening of business on the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QT Imaging; and (ii) in the case of a special meeting of stockholders called for the purpose of electing directors, not later than the close of business on the 10th day following the day on which public announcement of the date of the special meeting is first made by QT Imaging. In no event shall the public announcement of an adjournment or postponement of an annual meeting or special meeting commence a new time period (or extend any time period) for the giving of a stockholder’s notice as described herein. For additional information regarding the nomination process and applicable requirements, see “</w:t>
      </w:r>
      <w:r>
        <w:rPr>
          <w:rFonts w:ascii="Times New Roman" w:cs="Times New Roman" w:eastAsia="Times New Roman" w:hAnsi="Times New Roman"/>
          <w:sz w:val="12"/>
          <w:szCs w:val="12"/>
          <w:i w:val="1"/>
          <w:iCs w:val="1"/>
          <w:color w:val="auto"/>
        </w:rPr>
        <w:t>Stockholder Proposals and Nominations to be Presented at 2027 Annual Meeting</w:t>
      </w:r>
      <w:r>
        <w:rPr>
          <w:rFonts w:ascii="Times New Roman" w:cs="Times New Roman" w:eastAsia="Times New Roman" w:hAnsi="Times New Roman"/>
          <w:sz w:val="12"/>
          <w:szCs w:val="12"/>
          <w:color w:val="auto"/>
        </w:rPr>
        <w:t>” on page 40 of this Proxy Statement.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Communications with Directors</w:t>
      </w:r>
    </w:p>
    <w:p>
      <w:pPr>
        <w:spacing w:after="0" w:line="11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Stockholders may communicate with QT Imaging’s Board through QT Imaging’s Secretary by writing to the following address: Board of Directors, c/o Secretary, QT Imaging Holdings, Inc., Three Hamilton Landing, Suite 160, Novato, California 94949. QT Imaging’s Secretary will forward all correspondence to the Board, except for spam, junk mail, mass mailings, product complaints or inquiries, job inquiries, surveys, business solicitations or advertisements, or patently offensive or otherwise inappropriate material. QT Imaging’s Secretary may forward certain correspondence, such as product-related inquiries, elsewhere within QT Imaging for review and possible response.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Attendance at Annual Meetings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attempt to schedule our annual meeting of stockholders at a time and date to accommodate attendance by directors taking into account the directors’ schedules. All directors are encouraged to attend our annual meeting of stockholders. This Annual Meeting is the first annual meeting of stockholders to be held by QT Imaging since the consummation of the Business Combinations that formed QT Imaging and the election of the current Board.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Committee Charters and Other Corporate Governance Materials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We have adopted a Code of Business Conduct and Ethics applicable to our management team and employees in accordance with applicable federal securities laws. We have previously filed copies of our Code of Business Conduct and Ethics and the charter for each of our committees. You can review those documents, as well as our other publicly filed documents, by accessing our public filings at our website at </w:t>
      </w:r>
      <w:r>
        <w:rPr>
          <w:rFonts w:ascii="Times New Roman" w:cs="Times New Roman" w:eastAsia="Times New Roman" w:hAnsi="Times New Roman"/>
          <w:sz w:val="12"/>
          <w:szCs w:val="12"/>
          <w:u w:val="single" w:color="auto"/>
          <w:color w:val="0000FF"/>
        </w:rPr>
        <w:t>https://qtimaging.com</w:t>
      </w:r>
      <w:r>
        <w:rPr>
          <w:rFonts w:ascii="Times New Roman" w:cs="Times New Roman" w:eastAsia="Times New Roman" w:hAnsi="Times New Roman"/>
          <w:sz w:val="12"/>
          <w:szCs w:val="12"/>
          <w:color w:val="auto"/>
        </w:rPr>
        <w:t xml:space="preserve"> or at the SEC’s website at </w:t>
      </w:r>
      <w:r>
        <w:rPr>
          <w:rFonts w:ascii="Times New Roman" w:cs="Times New Roman" w:eastAsia="Times New Roman" w:hAnsi="Times New Roman"/>
          <w:sz w:val="12"/>
          <w:szCs w:val="12"/>
          <w:u w:val="single" w:color="auto"/>
          <w:color w:val="0000FF"/>
        </w:rPr>
        <w:t>www.sec.gov</w:t>
      </w:r>
      <w:r>
        <w:rPr>
          <w:rFonts w:ascii="Times New Roman" w:cs="Times New Roman" w:eastAsia="Times New Roman" w:hAnsi="Times New Roman"/>
          <w:sz w:val="12"/>
          <w:szCs w:val="12"/>
          <w:color w:val="000000"/>
        </w:rPr>
        <w:t>. In addition, a copy of the Code of Business Conduct and Ethics will be provided without charge upon request from us. We intend to disclose any amendments to or waivers of certain provisions of our Code of Business</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Conduct and Ethics in a Current Report on Form 8-K.</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Our Board has adopted written charters for the Audit Committee, the Compensation Committee and the Nominating and Corporate Governance Committee that are available on our website at </w:t>
      </w:r>
      <w:r>
        <w:rPr>
          <w:rFonts w:ascii="Times New Roman" w:cs="Times New Roman" w:eastAsia="Times New Roman" w:hAnsi="Times New Roman"/>
          <w:sz w:val="12"/>
          <w:szCs w:val="12"/>
          <w:u w:val="single" w:color="auto"/>
          <w:color w:val="0000FF"/>
        </w:rPr>
        <w:t>https://www.qtimaging.com/governance-documents/</w:t>
      </w:r>
      <w:r>
        <w:rPr>
          <w:rFonts w:ascii="Times New Roman" w:cs="Times New Roman" w:eastAsia="Times New Roman" w:hAnsi="Times New Roman"/>
          <w:sz w:val="12"/>
          <w:szCs w:val="12"/>
          <w:color w:val="000000"/>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Governance Guidelines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We have adopted Corporate Governance Guidelines that address the composition of the Board, criteria for Board membership and other Board governance matters. These guidelines are available on our website at </w:t>
      </w:r>
      <w:r>
        <w:rPr>
          <w:rFonts w:ascii="Times New Roman" w:cs="Times New Roman" w:eastAsia="Times New Roman" w:hAnsi="Times New Roman"/>
          <w:sz w:val="12"/>
          <w:szCs w:val="12"/>
          <w:u w:val="single" w:color="auto"/>
          <w:color w:val="0000FF"/>
        </w:rPr>
        <w:t>https://www.qtimaging.com/governance-documents/</w:t>
      </w:r>
      <w:r>
        <w:rPr>
          <w:rFonts w:ascii="Times New Roman" w:cs="Times New Roman" w:eastAsia="Times New Roman" w:hAnsi="Times New Roman"/>
          <w:sz w:val="12"/>
          <w:szCs w:val="12"/>
          <w:color w:val="000000"/>
        </w:rPr>
        <w:t>. A printed copy of the guidelines may also be obtained by any stockholder upon request.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Insider Trading Policy</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have adopted an insider trading policy governing the purchase, sale and/or other dispositions of our securities by our directors, officers and employees that we believe is reasonably designed to promote compliance with insider trading laws, rules and regulations and the Nasdaq listing standards.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foregoing summary of our insider trading policy is qualified in its entirety by reference to the full text of the policy, which has been filed as Exhibit 19.1 to our 2025 Annual Report.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NO. 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RATIFICATION OF APPOINTMENT OF INDEPENDENT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REGISTERED PUBLIC ACCOUNTING FIRM</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The Audit Committee of our Board has selected BPM LLP (“</w:t>
      </w:r>
      <w:r>
        <w:rPr>
          <w:rFonts w:ascii="Times New Roman" w:cs="Times New Roman" w:eastAsia="Times New Roman" w:hAnsi="Times New Roman"/>
          <w:sz w:val="12"/>
          <w:szCs w:val="12"/>
          <w:i w:val="1"/>
          <w:iCs w:val="1"/>
          <w:color w:val="auto"/>
        </w:rPr>
        <w:t>BPM</w:t>
      </w:r>
      <w:r>
        <w:rPr>
          <w:rFonts w:ascii="Times New Roman" w:cs="Times New Roman" w:eastAsia="Times New Roman" w:hAnsi="Times New Roman"/>
          <w:sz w:val="12"/>
          <w:szCs w:val="12"/>
          <w:color w:val="auto"/>
        </w:rPr>
        <w:t>”), San Jose, CA, PCAOB ID: 207, to serve as our independent registered public accounting firm to audit the consolidated financial statements of QT Imaging for the fiscal year ending December 31, 2026. If not ratified, the Audit Committee will reconsider the selection, although the Audit Committee will not be required to select a different independent registered public accounting firm for QT Imaging. Even if the appointment is ratified, our Board may direct the appointment of a different independent registered public accounting firm at any time during the year if they determine that such a change would be in the best interests of QT Imaging and its stockholders.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this Annual Meeting, a representative of BPM is expected to be present, with the opportunity to make a statement if the representative desires to do so, and is expected to be available to respond to appropriate questions.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Accountant Fees and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aggregate fees billed for professional services rendered by BPM for the fiscal years ended December 31, 2025 and 2024.</w:t>
      </w:r>
    </w:p>
    <w:p>
      <w:pPr>
        <w:spacing w:after="0" w:line="144" w:lineRule="exact"/>
        <w:rPr>
          <w:sz w:val="20"/>
          <w:szCs w:val="20"/>
          <w:color w:val="auto"/>
        </w:rPr>
      </w:pPr>
    </w:p>
    <w:tbl>
      <w:tblPr>
        <w:tblLayout w:type="fixed"/>
        <w:tblInd w:w="600" w:type="dxa"/>
        <w:tblCellMar>
          <w:top w:w="0" w:type="dxa"/>
          <w:left w:w="0" w:type="dxa"/>
          <w:bottom w:w="0" w:type="dxa"/>
          <w:right w:w="0" w:type="dxa"/>
        </w:tblCellMar>
      </w:tblPr>
      <w:tr>
        <w:trPr>
          <w:trHeight w:val="125"/>
        </w:trPr>
        <w:tc>
          <w:tcPr>
            <w:tcW w:w="6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Fiscal Year 2025</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Fiscal Year 2024</w:t>
            </w:r>
          </w:p>
        </w:tc>
      </w:tr>
      <w:tr>
        <w:trPr>
          <w:trHeight w:val="26"/>
        </w:trPr>
        <w:tc>
          <w:tcPr>
            <w:tcW w:w="6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69"/>
        </w:trPr>
        <w:tc>
          <w:tcPr>
            <w:tcW w:w="662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color w:val="auto"/>
              </w:rPr>
              <w:t xml:space="preserve">Audit Fees </w:t>
            </w:r>
            <w:r>
              <w:rPr>
                <w:rFonts w:ascii="Times New Roman" w:cs="Times New Roman" w:eastAsia="Times New Roman" w:hAnsi="Times New Roman"/>
                <w:sz w:val="15"/>
                <w:szCs w:val="15"/>
                <w:color w:val="auto"/>
                <w:vertAlign w:val="superscript"/>
              </w:rPr>
              <w:t>(1)</w:t>
            </w:r>
          </w:p>
        </w:tc>
        <w:tc>
          <w:tcPr>
            <w:tcW w:w="1200" w:type="dxa"/>
            <w:vAlign w:val="bottom"/>
            <w:shd w:val="clear" w:color="auto" w:fill="CCEEFF"/>
          </w:tcPr>
          <w:p>
            <w:pPr>
              <w:jc w:val="right"/>
              <w:ind w:right="1064"/>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395,291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398,691</w:t>
            </w:r>
          </w:p>
        </w:tc>
        <w:tc>
          <w:tcPr>
            <w:tcW w:w="80" w:type="dxa"/>
            <w:vAlign w:val="bottom"/>
            <w:shd w:val="clear" w:color="auto" w:fill="CCEEFF"/>
          </w:tcPr>
          <w:p>
            <w:pPr>
              <w:spacing w:after="0"/>
              <w:rPr>
                <w:sz w:val="14"/>
                <w:szCs w:val="14"/>
                <w:color w:val="auto"/>
              </w:rPr>
            </w:pPr>
          </w:p>
        </w:tc>
      </w:tr>
      <w:tr>
        <w:trPr>
          <w:trHeight w:val="18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xml:space="preserve">Audit-Related Fees </w:t>
            </w:r>
            <w:r>
              <w:rPr>
                <w:rFonts w:ascii="Times New Roman" w:cs="Times New Roman" w:eastAsia="Times New Roman" w:hAnsi="Times New Roman"/>
                <w:sz w:val="15"/>
                <w:szCs w:val="15"/>
                <w:color w:val="auto"/>
                <w:vertAlign w:val="superscript"/>
              </w:rPr>
              <w:t>(2)</w:t>
            </w:r>
          </w:p>
        </w:tc>
        <w:tc>
          <w:tcPr>
            <w:tcW w:w="12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Tax Fees </w:t>
            </w:r>
            <w:r>
              <w:rPr>
                <w:rFonts w:ascii="Times New Roman" w:cs="Times New Roman" w:eastAsia="Times New Roman" w:hAnsi="Times New Roman"/>
                <w:sz w:val="15"/>
                <w:szCs w:val="15"/>
                <w:color w:val="auto"/>
                <w:vertAlign w:val="superscript"/>
              </w:rPr>
              <w:t>(3)</w:t>
            </w:r>
          </w:p>
        </w:tc>
        <w:tc>
          <w:tcPr>
            <w:tcW w:w="1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xml:space="preserve">All Other Fees </w:t>
            </w:r>
            <w:r>
              <w:rPr>
                <w:rFonts w:ascii="Times New Roman" w:cs="Times New Roman" w:eastAsia="Times New Roman" w:hAnsi="Times New Roman"/>
                <w:sz w:val="15"/>
                <w:szCs w:val="15"/>
                <w:color w:val="auto"/>
                <w:vertAlign w:val="superscript"/>
              </w:rPr>
              <w:t>(4)</w:t>
            </w:r>
          </w:p>
        </w:tc>
        <w:tc>
          <w:tcPr>
            <w:tcW w:w="12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85"/>
        </w:trPr>
        <w:tc>
          <w:tcPr>
            <w:tcW w:w="6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200" w:type="dxa"/>
            <w:vAlign w:val="bottom"/>
            <w:tcBorders>
              <w:top w:val="single" w:sz="8" w:color="auto"/>
              <w:bottom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395,291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398,691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96" w:lineRule="exact"/>
        <w:rPr>
          <w:sz w:val="20"/>
          <w:szCs w:val="20"/>
          <w:color w:val="auto"/>
        </w:rPr>
      </w:pPr>
    </w:p>
    <w:p>
      <w:pPr>
        <w:ind w:left="420" w:right="140" w:hanging="212"/>
        <w:spacing w:after="0" w:line="279" w:lineRule="auto"/>
        <w:tabs>
          <w:tab w:leader="none" w:pos="487"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fees consist of fees billed and to be billed for professional services rendered for the audit of our year-end financial statements, reviews of our condensed financial statements and services that are normally provided by our independent registered public accounting firm in connection with statutory and regulatory filings.</w:t>
      </w:r>
    </w:p>
    <w:p>
      <w:pPr>
        <w:spacing w:after="0" w:line="3" w:lineRule="exact"/>
        <w:rPr>
          <w:rFonts w:ascii="Times New Roman" w:cs="Times New Roman" w:eastAsia="Times New Roman" w:hAnsi="Times New Roman"/>
          <w:sz w:val="12"/>
          <w:szCs w:val="12"/>
          <w:color w:val="auto"/>
        </w:rPr>
      </w:pPr>
    </w:p>
    <w:p>
      <w:pPr>
        <w:ind w:left="420" w:right="120" w:hanging="212"/>
        <w:spacing w:after="0" w:line="265" w:lineRule="auto"/>
        <w:tabs>
          <w:tab w:leader="none" w:pos="487"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Audit-related fees consist of fees billed for assurance and related services that are reasonably related to performance of the audit or review of our year-end financial statements and are not reported under “Audit Fees.” These services include attest services that are not required by statute or regulation and consultation concerning financial accounting and reporting standards, including permitted due diligence services related to a potential business combination.</w:t>
      </w:r>
    </w:p>
    <w:p>
      <w:pPr>
        <w:spacing w:after="0" w:line="10" w:lineRule="exact"/>
        <w:rPr>
          <w:rFonts w:ascii="Times New Roman" w:cs="Times New Roman" w:eastAsia="Times New Roman" w:hAnsi="Times New Roman"/>
          <w:sz w:val="12"/>
          <w:szCs w:val="12"/>
          <w:color w:val="auto"/>
        </w:rPr>
      </w:pPr>
    </w:p>
    <w:p>
      <w:pPr>
        <w:ind w:left="500" w:hanging="292"/>
        <w:spacing w:after="0"/>
        <w:tabs>
          <w:tab w:leader="none" w:pos="5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fees consist of fees billed for professional services relating to tax compliance, tax planning and tax advice.</w:t>
      </w:r>
    </w:p>
    <w:p>
      <w:pPr>
        <w:spacing w:after="0" w:line="42" w:lineRule="exact"/>
        <w:rPr>
          <w:rFonts w:ascii="Times New Roman" w:cs="Times New Roman" w:eastAsia="Times New Roman" w:hAnsi="Times New Roman"/>
          <w:sz w:val="12"/>
          <w:szCs w:val="12"/>
          <w:color w:val="auto"/>
        </w:rPr>
      </w:pPr>
    </w:p>
    <w:p>
      <w:pPr>
        <w:ind w:left="500" w:hanging="292"/>
        <w:spacing w:after="0"/>
        <w:tabs>
          <w:tab w:leader="none" w:pos="5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fees consist of fees billed for all other services.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Policy on Board Pre-Approval of Audit and Permissible Non-Audit Services of the Independent Auditors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Audit Committee is responsible for appointing, setting compensation and overseeing the work of the independent registered public accounting firm. In recognition of this responsibility, the Audit Committee shall review and, in its sole discretion, pre-approve all audit and permitted non-audit services to be provided by the independent registered public accounting firm as provided under the Audit Committee charter.</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Audit Committee has determined that all services performed by BPM are compatible with maintaining the independence of BPM. The Audit Committee’s policy is to pre-approve all audit and permissible non-audit services provided by our independent registered public accounting firm. These services may include audit services, audit-related services, tax services and other services. The Audit Committee has delegated to the Chairman of the Audit Committee the authority to approve permitted services provided that the Chairman reports any decisions to the Audit Committee at its next scheduled meeting. The independent registered public accounting firm and management are required to periodically report to the Audit Committee regarding the extent of services provided by the independent registered public accounting firm in accordance with this pre-approval process.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 and Board Recommendation</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affirmative vote of a majority of the outstanding shares present and entitled to vote is required to approve this proposal. Abstentions will have the effect of a vote against this proposal. Broker non-votes will be counted as present for purposes of determining the presence of a quorum, but will not have any effect on the outcome of the proposal. If the stockholders do not approve the ratification of BPM as our independent registered public.</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accounting firm, the Audit Committee will reconsider its selection</w:t>
      </w:r>
    </w:p>
    <w:p>
      <w:pPr>
        <w:spacing w:after="0" w:line="1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b w:val="1"/>
          <w:bCs w:val="1"/>
          <w:color w:val="auto"/>
        </w:rPr>
        <w:t>The Board unanimously recommends that you vote “FOR” the ratification of the appointment of BPM as our independent registered public accounting firm for the fiscal year ending December 31, 2026.</w:t>
      </w:r>
    </w:p>
    <w:p>
      <w:pPr>
        <w:spacing w:after="0" w:line="38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00"/>
          </w:cols>
          <w:pgMar w:left="300" w:top="124" w:right="7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THE AUDIT COMMITTEE</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The Audit Committee currently consists of three directors, each of whom, in the judgment of the Board, is an “independent director” as defined in the listing standards of the Nasdaq. The Audit Committee acts pursuant to a written charter that has been adopted by the Board. A copy of the charter is available on QT Imaging’s website at </w:t>
      </w:r>
      <w:r>
        <w:rPr>
          <w:rFonts w:ascii="Times New Roman" w:cs="Times New Roman" w:eastAsia="Times New Roman" w:hAnsi="Times New Roman"/>
          <w:sz w:val="12"/>
          <w:szCs w:val="12"/>
          <w:u w:val="single" w:color="auto"/>
          <w:color w:val="0000FF"/>
        </w:rPr>
        <w:t>https://www.qtimaging.com/governance-documents/</w:t>
      </w:r>
      <w:r>
        <w:rPr>
          <w:rFonts w:ascii="Times New Roman" w:cs="Times New Roman" w:eastAsia="Times New Roman" w:hAnsi="Times New Roman"/>
          <w:sz w:val="12"/>
          <w:szCs w:val="12"/>
          <w:color w:val="auto"/>
        </w:rPr>
        <w:t>.</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Audit Committee oversees QT Imaging’s financial reporting process on behalf of the Board. The Audit Committee is responsible for retaining QT Imaging’s independent registered public accounting firm, evaluating its independence, qualifications and performance, and approving in advance the engagement of the independent registered public accounting firm for all audit and non-audit services. Management has the primary responsibility for the consolidated financial statements and the financial reporting process, including internal controls, and procedures designed to insure compliance with applicable laws and regulations. QT Imaging’s independent registered public accounting firm for the fiscal year ended December 31, 2025, BPM, is responsible for expressing an opinion as to the conformity of our audited consolidated financial statements for the fiscal year ended December 31, 2025 with accounting principles generally accepted in the United States of America.</w:t>
      </w:r>
    </w:p>
    <w:p>
      <w:pPr>
        <w:spacing w:after="0" w:line="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Audit Committee has reviewed and discussed with management QT Imaging’s audited consolidated financial statements. The Audit Committee has discussed with the independent registered public accounting firm the matters required to be discussed under the rules adopted by the Public Company Accounting Oversight Board (United States) (“</w:t>
      </w:r>
      <w:r>
        <w:rPr>
          <w:rFonts w:ascii="Times New Roman" w:cs="Times New Roman" w:eastAsia="Times New Roman" w:hAnsi="Times New Roman"/>
          <w:sz w:val="12"/>
          <w:szCs w:val="12"/>
          <w:i w:val="1"/>
          <w:iCs w:val="1"/>
          <w:color w:val="auto"/>
        </w:rPr>
        <w:t>PCAOB</w:t>
      </w:r>
      <w:r>
        <w:rPr>
          <w:rFonts w:ascii="Times New Roman" w:cs="Times New Roman" w:eastAsia="Times New Roman" w:hAnsi="Times New Roman"/>
          <w:sz w:val="12"/>
          <w:szCs w:val="12"/>
          <w:color w:val="auto"/>
        </w:rPr>
        <w:t>”). In addition, the Audit Committee has met with the independent registered public accounting firm, with and without management present, to discuss the overall scope of the independent registered public accounting firm’s audit, the results of its examinations, its evaluations of QT Imaging’s internal controls and the overall quality of QT Imaging’s financial reporting.</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Based on the review and discussions referred to above, the Audit Committee recommended to QT Imaging’s Board that QT Imaging’s audited consolidated financial statements be included in QT Imaging’s Annual Report on Form 10-K for the fiscal year ended December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AUDIT COMMITTEE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Mr. Ross Taylor, Chairman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Mr. James Greene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Professor Zeev Weiner</w:t>
      </w:r>
    </w:p>
    <w:p>
      <w:pPr>
        <w:spacing w:after="0" w:line="6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2"/>
          <w:szCs w:val="12"/>
          <w:i w:val="1"/>
          <w:iCs w:val="1"/>
          <w:color w:val="auto"/>
        </w:rPr>
        <w:t>The foregoing Report of the Audit Committee shall not be deemed to be incorporated by reference into any filing of QT Imaging under the Securities Act of 1933 or the Securities Exchange Act of 1934, except to the extent that QT Imaging specifically incorporates such information by reference in such filing and shall not otherwise be deemed “filed” under either the Securities Act or the Exchange Act or considered to be “soliciting material.”</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4" w:name="page25"/>
    <w:bookmarkEnd w:id="24"/>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PROPOSAL NO. 3</w:t>
      </w:r>
    </w:p>
    <w:p>
      <w:pPr>
        <w:spacing w:after="0" w:line="1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APPROVAL OF AN AMENDMENT TO OUR PLAN TO INCREASE THE NUMBER OF SHARES AUTHORIZED AND RESERVED FOR ISSUANCE</w:t>
      </w:r>
    </w:p>
    <w:p>
      <w:pPr>
        <w:spacing w:after="0" w:line="118" w:lineRule="exact"/>
        <w:rPr>
          <w:sz w:val="20"/>
          <w:szCs w:val="20"/>
          <w:color w:val="auto"/>
        </w:rPr>
      </w:pPr>
    </w:p>
    <w:p>
      <w:pPr>
        <w:ind w:left="8" w:right="200"/>
        <w:spacing w:after="0" w:line="279" w:lineRule="auto"/>
        <w:rPr>
          <w:sz w:val="20"/>
          <w:szCs w:val="20"/>
          <w:color w:val="auto"/>
        </w:rPr>
      </w:pPr>
      <w:r>
        <w:rPr>
          <w:rFonts w:ascii="Times New Roman" w:cs="Times New Roman" w:eastAsia="Times New Roman" w:hAnsi="Times New Roman"/>
          <w:sz w:val="12"/>
          <w:szCs w:val="12"/>
          <w:color w:val="auto"/>
        </w:rPr>
        <w:t>Our Board has approved, and is seeking stockholder approval of the Plan Amendment, to increase the number of shares authorized and reserved for issuance under the Plan by 550,900 shares, which is 4% of our currently issued and outstanding shares of Common Stock, to a new total of 2,378,178 shares.</w:t>
      </w:r>
    </w:p>
    <w:p>
      <w:pPr>
        <w:spacing w:after="0" w:line="75" w:lineRule="exact"/>
        <w:rPr>
          <w:sz w:val="20"/>
          <w:szCs w:val="20"/>
          <w:color w:val="auto"/>
        </w:rPr>
      </w:pPr>
    </w:p>
    <w:p>
      <w:pPr>
        <w:ind w:left="8" w:right="300"/>
        <w:spacing w:after="0" w:line="279" w:lineRule="auto"/>
        <w:rPr>
          <w:sz w:val="20"/>
          <w:szCs w:val="20"/>
          <w:color w:val="auto"/>
        </w:rPr>
      </w:pPr>
      <w:r>
        <w:rPr>
          <w:rFonts w:ascii="Times New Roman" w:cs="Times New Roman" w:eastAsia="Times New Roman" w:hAnsi="Times New Roman"/>
          <w:sz w:val="12"/>
          <w:szCs w:val="12"/>
          <w:color w:val="auto"/>
        </w:rPr>
        <w:t>On June 21, 2026, our Board unanimously determined that the Plan Amendment is advisable and in the best interests of the Company and our stockholders and recommended that our stockholders approve the Plan Amendment. In accordance with the General Corporation Law of the State of Delaware, we are hereby seeking approval of the Plan Amendment by our stockholders.</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 other changes to the Plan are being proposed.</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Reasons for the Plan Amendment Proposal</w:t>
      </w:r>
    </w:p>
    <w:p>
      <w:pPr>
        <w:spacing w:after="0" w:line="118"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As of the Record Date, 1,827,278 shares of Common Stock were reserved for issuance under the Plan, of which 136,737 shares of Common Stock remain available for issuance. We are seeking stockholder approval to amend the Plan to increase the number of shares of Common Stock reserved for issuance by 550,900 shares to 2,378,178 shares, which will result in a total of 687,637 shares of Common Stock being available for issuance. If our stockholders do not approve the Plan Amendment, we anticipate that there will not be sufficient shares available under the Plan for continued equity awards to our employees, non-employee directors, and independent contractors over the next year. This would result in the loss of an important compensation tool aligned with stockholder interests to attract, motivate, and retain highly qualified talent.</w:t>
      </w:r>
    </w:p>
    <w:p>
      <w:pPr>
        <w:spacing w:after="0" w:line="86" w:lineRule="exact"/>
        <w:rPr>
          <w:sz w:val="20"/>
          <w:szCs w:val="20"/>
          <w:color w:val="auto"/>
        </w:rPr>
      </w:pPr>
    </w:p>
    <w:p>
      <w:pPr>
        <w:ind w:left="8" w:right="20"/>
        <w:spacing w:after="0" w:line="280" w:lineRule="auto"/>
        <w:rPr>
          <w:sz w:val="20"/>
          <w:szCs w:val="20"/>
          <w:color w:val="auto"/>
        </w:rPr>
      </w:pPr>
      <w:r>
        <w:rPr>
          <w:rFonts w:ascii="Times New Roman" w:cs="Times New Roman" w:eastAsia="Times New Roman" w:hAnsi="Times New Roman"/>
          <w:sz w:val="11"/>
          <w:szCs w:val="11"/>
          <w:color w:val="auto"/>
        </w:rPr>
        <w:t>We recognize the dilutive impact of our equity compensation program on our stockholders and continuously strive to balance this concern with the competition for talent in the competitive business environment, as well as the current market conditions, in which we operate. In determining the appropriate number of shares to request and add to the pool of shares available for issuance pursuant to the Plan Amendment, our Board and Compensation Committee worked with management to evaluate a number of factors, and carefully considered (i) the potential dilutive impact on stockholders, (ii) our historical run rate and overhang, (iii) the current number of shares remaining available for issuance,</w:t>
      </w:r>
    </w:p>
    <w:p>
      <w:pPr>
        <w:ind w:left="8" w:right="360" w:hanging="8"/>
        <w:spacing w:after="0" w:line="260" w:lineRule="auto"/>
        <w:tabs>
          <w:tab w:leader="none" w:pos="211"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realities of equity awards being a key component of designing competitive compensation packages necessary for attracting and retaining key talent in a competitive marketplace, (v) our strategic growth plans, and (vi) the interests of our stockholders.</w:t>
      </w:r>
    </w:p>
    <w:p>
      <w:pPr>
        <w:spacing w:after="0" w:line="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Board and Compensation Committee considered the following in reaching its determination with respect to the Plan Amendment:</w:t>
      </w:r>
    </w:p>
    <w:p>
      <w:pPr>
        <w:spacing w:after="0" w:line="114" w:lineRule="exact"/>
        <w:rPr>
          <w:sz w:val="20"/>
          <w:szCs w:val="20"/>
          <w:color w:val="auto"/>
        </w:rPr>
      </w:pPr>
    </w:p>
    <w:p>
      <w:pPr>
        <w:ind w:left="428" w:right="480" w:hanging="212"/>
        <w:spacing w:after="0" w:line="279" w:lineRule="auto"/>
        <w:tabs>
          <w:tab w:leader="none" w:pos="425"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increase in the number of shares of Common Stock reserved for issuance under the Plan will support retention and critical talent acquisition in a highly technical workforce: Equity awards are a core component of compensation given the Company’s need to attract and retain specialized engineering, development, and operational talent in a competitive market environment.</w:t>
      </w:r>
    </w:p>
    <w:p>
      <w:pPr>
        <w:spacing w:after="0" w:line="75" w:lineRule="exact"/>
        <w:rPr>
          <w:rFonts w:ascii="Times New Roman" w:cs="Times New Roman" w:eastAsia="Times New Roman" w:hAnsi="Times New Roman"/>
          <w:sz w:val="12"/>
          <w:szCs w:val="12"/>
          <w:color w:val="auto"/>
        </w:rPr>
      </w:pPr>
    </w:p>
    <w:p>
      <w:pPr>
        <w:ind w:left="428" w:right="440" w:hanging="212"/>
        <w:spacing w:after="0" w:line="279" w:lineRule="auto"/>
        <w:tabs>
          <w:tab w:leader="none" w:pos="425"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Broad-based, employee-wide participation aligns interests with stockholders: The Company’s equity program is designed to provide meaningful participation across a wide employee population, reinforcing a culture of ownership and alignment with long-term stockholder value creation.</w:t>
      </w:r>
    </w:p>
    <w:p>
      <w:pPr>
        <w:spacing w:after="0" w:line="75" w:lineRule="exact"/>
        <w:rPr>
          <w:rFonts w:ascii="Times New Roman" w:cs="Times New Roman" w:eastAsia="Times New Roman" w:hAnsi="Times New Roman"/>
          <w:sz w:val="12"/>
          <w:szCs w:val="12"/>
          <w:color w:val="auto"/>
        </w:rPr>
      </w:pPr>
    </w:p>
    <w:p>
      <w:pPr>
        <w:ind w:left="428" w:right="140" w:hanging="212"/>
        <w:spacing w:after="0" w:line="279" w:lineRule="auto"/>
        <w:tabs>
          <w:tab w:leader="none" w:pos="425"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Amendment will sustain market-competitive compensation amid post-going public growth, and evolving business needs and exceptional global expansion and revenue increase in 2026 and beyond : The Company’s equity usage reflects its stage of growth, hiring demands, and the need to remain competitive with similarly situated companies for key talent.</w:t>
      </w:r>
    </w:p>
    <w:p>
      <w:pPr>
        <w:spacing w:after="0" w:line="75" w:lineRule="exact"/>
        <w:rPr>
          <w:rFonts w:ascii="Times New Roman" w:cs="Times New Roman" w:eastAsia="Times New Roman" w:hAnsi="Times New Roman"/>
          <w:sz w:val="12"/>
          <w:szCs w:val="12"/>
          <w:color w:val="auto"/>
        </w:rPr>
      </w:pPr>
    </w:p>
    <w:p>
      <w:pPr>
        <w:ind w:left="428" w:right="220" w:hanging="212"/>
        <w:spacing w:after="0" w:line="279" w:lineRule="auto"/>
        <w:tabs>
          <w:tab w:leader="none" w:pos="425"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Amendment makes a disciplined share request sized to support multi-year program stability: The requested share reserve of 687,637 shares of Common Stock, including those shares that are currently available for issuance, is intended to fund remaining 2026 grants until the January 1, 2027 ‘evergreen” refresh provided for by the Plan, at which point we do not anticipate another shareholder request for several years.</w:t>
      </w:r>
    </w:p>
    <w:p>
      <w:pPr>
        <w:spacing w:after="0" w:line="75" w:lineRule="exact"/>
        <w:rPr>
          <w:rFonts w:ascii="Times New Roman" w:cs="Times New Roman" w:eastAsia="Times New Roman" w:hAnsi="Times New Roman"/>
          <w:sz w:val="12"/>
          <w:szCs w:val="12"/>
          <w:color w:val="auto"/>
        </w:rPr>
      </w:pPr>
    </w:p>
    <w:p>
      <w:pPr>
        <w:ind w:left="428" w:right="100" w:hanging="212"/>
        <w:spacing w:after="0" w:line="279" w:lineRule="auto"/>
        <w:tabs>
          <w:tab w:leader="none" w:pos="425"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Amendment constitutes a balanced approach to dilution and program effectiveness: The Compensation Committee considered both the dilutive impact of equity awards and the importance of maintaining an effective long-term incentive program in determining the size of the requested share reserve.</w:t>
      </w:r>
    </w:p>
    <w:p>
      <w:pPr>
        <w:spacing w:after="0" w:line="3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60"/>
        <w:spacing w:after="0" w:line="147" w:lineRule="exact"/>
        <w:rPr>
          <w:sz w:val="20"/>
          <w:szCs w:val="20"/>
          <w:color w:val="auto"/>
        </w:rPr>
      </w:pPr>
      <w:r>
        <w:rPr>
          <w:rFonts w:ascii="Times New Roman" w:cs="Times New Roman" w:eastAsia="Times New Roman" w:hAnsi="Times New Roman"/>
          <w:sz w:val="12"/>
          <w:szCs w:val="12"/>
          <w:color w:val="auto"/>
        </w:rPr>
        <w:t>We anticipate the 550,900 additional shares requested under the Amendment, plus the 136,737 remaining shares that are available for issuance under the Plan, to be sufficient to fund remaining 2026 grants. The Plan is designed to attract and retain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employee directors and employees and reward them for making contributions to the success of the Company and its subsidiaries. These objectives are to be accomplished by making awards under the Plan and thereby providing participants with a proprietary interest in the growth and performance of the Company and aligning a portion of their compensation with the interests of our stockholders. Stockholder approval of this proposal will enable us to continue to grant equity awards to our employees and non-employee directors at such levels determined by our compensation committee and Board to be necessary to attract, retain and motivate the individuals who will be critical to our success in achieving our business objectives and thereby creating greater value for our stockholders.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Dilution, Stock Available and Historical Stock Usage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Dilution</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Subject to stockholder approval of the Plan Amendment, the number of shares of Common Stock that will be reserved for issuance pursuant to awards granted under the Plan shall be of 687,637 shares of Common Stock shares, which represents approximately 4.3% of the Company’s 15,880,565 issued and outstanding shares of the Common Stock and pre-funded warrants for the purchase of shares of Common Stock on a fully diluted basis as of the Record Date. The Board believes that this number of shares of Common Stock constitutes reasonable potential equity dilution and provides a significant incentive for employees and service providers to increase the value of the Company for all stockholders. The closing trading price of each share of Common Stock as of the Record Date was $3.85.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Shares Available; Certain Limitations</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1"/>
          <w:szCs w:val="11"/>
          <w:color w:val="auto"/>
        </w:rPr>
        <w:t>The maximum number of shares of Common Stock reserved and available for issuance under the Plan will be 2,378,178 shares; provided that shares of Common Stock issued under the Plan with respect to an Exempt Award (as defined herein) will not count against the share limit. We use the term “Exempt Award” to mean (i) an award granted in the assumption of, or in substitution for, outstanding awards previously granted by another business entity acquired by us or any of our subsidiaries or with which we or any of our subsidiaries merges, (ii) an award that a participant purchases at fair market value, or (iii) an award granted as an inducement award pursuant to Nasdaq Listing Rule 5635(c).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Subject to stockholder approval of the Plan Amendment, no more than 2,378,178 shares of Common Stock shall be issued pursuant to the exercise of incentive stock options.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issuable under the Plan may be authorized, but unissued, or reacquired shares of Common Stock. If an award expires or becomes unexercisable without having been exercised in full, is surrendered pursuant to an exchange</w:t>
      </w:r>
    </w:p>
    <w:p>
      <w:pPr>
        <w:spacing w:after="0" w:line="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program (as described below), or, with respect to restricted stock, restricted stock units (“</w:t>
      </w:r>
      <w:r>
        <w:rPr>
          <w:rFonts w:ascii="Times New Roman" w:cs="Times New Roman" w:eastAsia="Times New Roman" w:hAnsi="Times New Roman"/>
          <w:sz w:val="14"/>
          <w:szCs w:val="14"/>
          <w:i w:val="1"/>
          <w:iCs w:val="1"/>
          <w:color w:val="auto"/>
        </w:rPr>
        <w:t>RSUs</w:t>
      </w:r>
      <w:r>
        <w:rPr>
          <w:rFonts w:ascii="Times New Roman" w:cs="Times New Roman" w:eastAsia="Times New Roman" w:hAnsi="Times New Roman"/>
          <w:sz w:val="12"/>
          <w:szCs w:val="12"/>
          <w:color w:val="auto"/>
        </w:rPr>
        <w:t>”), or performance awards, is forfeited to or repurchased due to failure to vest, the unpurchased shares (or for awards other than stock options or stock appreciation rights, the forfeited or repurchased shares) will become available for future grant or sale under the Plan. With respect to stock appreciation rights, only the net shares actually issued will cease to be available under the Plan and all remaining shares under stock appreciation rights will remain available for future grant or sale under the Plan. Shares that actually have been issued under the Plan under any award will not be returned to the Plan; except if shares issued pursuant to awards of restricted stock, RSUs, or performance awards are repurchased or forfeited due to failure to vest, such shares will become available for future grant under the Plan. Shares used to pay the exercise price of an award or satisfy the tax liabilities or withholding obligations related to an award (which withholdings may be in amounts greater than the minimum statutory amount required to be withheld as determined by the administrator of the Plan) will become available for future grant or sale under the Plan. To the extent an award is paid out in cash rather than shares, such cash payment will not result in a reduction in the number of shares available for issuance under the Plan.</w:t>
      </w:r>
    </w:p>
    <w:p>
      <w:pPr>
        <w:spacing w:after="0" w:line="9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If any dividend or other distribution (whether in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(other than any ordinary dividends or other ordinary distributions), the administrator of the Plan, to prevent diminution or enlargement of the benefits or potential benefits intended to be made available under the Plan, will adjust the number and class of shares that may be delivered under the Plan; the number, class, and price of shares covered by each outstanding award; and the numerical share limits contained in the Plan.</w:t>
      </w:r>
    </w:p>
    <w:p>
      <w:pPr>
        <w:spacing w:after="0" w:line="8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As exhibited by our responsible use of equity over the past several years and good corporate governance practices associated with equity and executive compensation practices in general, we believe the stock reserved under the Plan, as amended pursuant to the Plan Amendment, will provide us with the platform needed for our continued growth, while managing program costs and share utilization levels within acceptable industry standards.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the Plan Amendment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full text of the Plan Amendment is set forth in </w:t>
      </w:r>
      <w:r>
        <w:rPr>
          <w:rFonts w:ascii="Times New Roman" w:cs="Times New Roman" w:eastAsia="Times New Roman" w:hAnsi="Times New Roman"/>
          <w:sz w:val="12"/>
          <w:szCs w:val="12"/>
          <w:u w:val="single" w:color="auto"/>
          <w:color w:val="auto"/>
        </w:rPr>
        <w:t>Appendix A</w:t>
      </w:r>
      <w:r>
        <w:rPr>
          <w:rFonts w:ascii="Times New Roman" w:cs="Times New Roman" w:eastAsia="Times New Roman" w:hAnsi="Times New Roman"/>
          <w:sz w:val="12"/>
          <w:szCs w:val="12"/>
          <w:color w:val="auto"/>
        </w:rPr>
        <w:t xml:space="preserve">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-80010</wp:posOffset>
            </wp:positionV>
            <wp:extent cx="737235" cy="85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7235" cy="85725"/>
                    </a:xfrm>
                    <a:prstGeom prst="rect">
                      <a:avLst/>
                    </a:prstGeom>
                    <a:noFill/>
                  </pic:spPr>
                </pic:pic>
              </a:graphicData>
            </a:graphic>
          </wp:anchor>
        </w:drawing>
      </w:r>
    </w:p>
    <w:p>
      <w:pPr>
        <w:spacing w:after="0" w:line="92"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2"/>
          <w:szCs w:val="12"/>
          <w:color w:val="auto"/>
        </w:rPr>
        <w:t>The following is a summary of the material features of the Plan. This summary does not purport to be complete and is qualified in its entirety by the full text of the Plan. For purposes of this summary, the “</w:t>
      </w:r>
      <w:r>
        <w:rPr>
          <w:rFonts w:ascii="Times New Roman" w:cs="Times New Roman" w:eastAsia="Times New Roman" w:hAnsi="Times New Roman"/>
          <w:sz w:val="12"/>
          <w:szCs w:val="12"/>
          <w:i w:val="1"/>
          <w:iCs w:val="1"/>
          <w:color w:val="auto"/>
        </w:rPr>
        <w:t>Committee</w:t>
      </w:r>
      <w:r>
        <w:rPr>
          <w:rFonts w:ascii="Times New Roman" w:cs="Times New Roman" w:eastAsia="Times New Roman" w:hAnsi="Times New Roman"/>
          <w:sz w:val="12"/>
          <w:szCs w:val="12"/>
          <w:color w:val="auto"/>
        </w:rPr>
        <w:t>” means the Compensation Committee.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Type of Awards Under the Plan</w:t>
      </w:r>
    </w:p>
    <w:p>
      <w:pPr>
        <w:spacing w:after="0" w:line="118"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The Plan authorizes awards in the form of stock options, stock appreciation rights, restricted stock awards, RSUs, performance shares, performance units, cash-based awards and other stock-based awards. Awards may be granted only to employees, consultants and directors, and participation is at the Committee’s discretion. The Company currently has six non-employee directors and approximately 37 employees (including employee directors) and consultants who are eligible to participate in the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Administration of the Plan</w:t>
      </w:r>
    </w:p>
    <w:p>
      <w:pPr>
        <w:spacing w:after="0" w:line="118"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The Plan is administered by the Committee. The Committee has broad authority to determine award recipients, award types, share or cash amounts, exercise or purchase prices, vesting and exercisability terms, performance goals, settlement methods and the effect of a participant’s termination of service. The Committee’s interpretations and determinations under the Plan are final, binding and conclusive unless fraudulent or made in bad faith.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Restricted Stock and Restricted Stock Units</w:t>
      </w:r>
    </w:p>
    <w:p>
      <w:pPr>
        <w:spacing w:after="0" w:line="118"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1"/>
          <w:szCs w:val="11"/>
          <w:color w:val="auto"/>
        </w:rPr>
        <w:t>Restricted Stock Awards may be granted as either Restricted Stock Bonuses or Restricted Stock Purchase Rights and may be subject to service-based, performance-based or other vesting conditions established by the Committee. Holders of restricted stock generally have stockholder rights, including voting and dividend rights, while the shares remain subject to vesting conditions, although dividends and distributions may also be subject to the same vesting</w:t>
      </w:r>
    </w:p>
    <w:p>
      <w:pPr>
        <w:spacing w:after="0" w:line="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conditions. RSUs may be granted subject to Committee-determined conditions and vesting terms, do not carry voting rights before share issuance, and may include dividend equivalent rights if provided in the award agreement. Unless otherwise provided in the applicable award agreement, unvested restricted stock or RSUs generally are repurchased or forfeited upon termination of service.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Options</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The Plan permits both incentive stock options and nonstatutory stock options. The per share exercise price of options granted under the Plan generally must be equal to at least 100% of the fair market value of a share of the Common Stock on the date of grant. The term of an option may not exceed ten years. With respect to any participant who owns more than 10% of the voting power of all classes of the Company’s (or any of its parent’s or subsidiary’s) outstanding stock, the term of an incentive stock option granted to such participant must not exceed five years and the per share exercise price must equal at least 110% of the fair market value of a share of the Common Stock on the grant date. The Committee will determine the methods of payment of the exercise price of an option, which may include cash, certain shares of the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Plan, the Committee determines the terms of options. Until shares are issued under an option, the participant will not have any right to vote or receive dividends or have any other rights as a stockholder with respect to such shares, and no adjustment will be made for a dividend or other right for which the record date is before the date such shares are issued, except as provided in the Plan, as summarized further above.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Restricted Stock Units</w:t>
      </w:r>
    </w:p>
    <w:p>
      <w:pPr>
        <w:spacing w:after="0" w:line="118"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2"/>
          <w:szCs w:val="12"/>
          <w:color w:val="auto"/>
        </w:rPr>
        <w:t>RSUs may be granted under the Plan. Each RSU is a bookkeeping entry representing an amount equal to the fair market value of one share of the Common Stock. Subject to the provisions of the Plan, the Committee determines the terms and conditions of RSUs, including any vesting criteria and the form and timing of payment. The Committee may set vesting criteria based upon the achievement of company-wide, divisional, business unit, or individual goals (including continued employment or service), applicable federal or state securities laws or any other basis determined by the administrator in its discretion. The Committee, in its sole discretion, may pay earned RSUs in the form of cash, shares, or a combination of both. Notwithstanding the foregoing, the Committee, in its sole discretion, may accelerate the time at which any restrictions will lapse or be removed.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Interests of Officers and Directors in this Proposal</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officers and directors do not have any substantial interest, direct or indirect, in this proposal.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 and Board Recommendation</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affirmative vote of a majority of the outstanding shares present and entitled to vote is required to approve this proposal. Abstentions will have the effect of a vote against this proposal. Broker non-votes will be counted as present for purposes of determining the presence of a quorum, but will not have any effect on the outcome of the proposal.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 unanimously recommends that you vote “FOR” this Proposal No. 3 to approve the Plan Amendment to increase the number of shares of Common Stock authorized and reserved for issuance under the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124"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Discussion and Analysis</w:t>
      </w:r>
    </w:p>
    <w:p>
      <w:pPr>
        <w:spacing w:after="0" w:line="11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The following discussion and analysis of our executive compensation philosophy, objectives and design, our compensation-setting process, the components of our executive compensation program, and the decisions made for compensation in respect of 2025 for our executive officers should be read together with the compensation tables and related disclosures set forth below. The discussion in this section contains forward-looking statements that are based on our current considerations and expectations relating to our executive compensation programs and philosophy. As our business and our needs evolve, the actual amount and form of compensation and the compensation programs that we adopt may differ materially from current or planned programs as summarized in this section.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Overview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section provides an overview of our executive compensation program, including a narrative description of the material factors necessary to understand the information disclosed in the summary compensation table below.</w:t>
      </w:r>
    </w:p>
    <w:p>
      <w:pPr>
        <w:spacing w:after="0" w:line="11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In evaluating our overall executive compensation program and decisions for the 2025 fiscal year, including awards under our compensation programs, the Compensation Committee considered a number of factors, including that 2024 was our first year operating as a public company, incentivizing the achievement of both strategic enterprise and financial objectives and our position as a transformational company. Going forward, the Compensation Committee will be making any determinations as it relates to the payout of the previous year’s compensation programs as well as the adoption of any performance measures for the current fiscal year. This allows the Compensation Committee to have a good understanding of the prior fiscal year financial performance in order to evaluate the performance of our named executive officers (each, a “</w:t>
      </w:r>
      <w:r>
        <w:rPr>
          <w:rFonts w:ascii="Times New Roman" w:cs="Times New Roman" w:eastAsia="Times New Roman" w:hAnsi="Times New Roman"/>
          <w:sz w:val="12"/>
          <w:szCs w:val="12"/>
          <w:i w:val="1"/>
          <w:iCs w:val="1"/>
          <w:color w:val="auto"/>
        </w:rPr>
        <w:t>NEO</w:t>
      </w:r>
      <w:r>
        <w:rPr>
          <w:rFonts w:ascii="Times New Roman" w:cs="Times New Roman" w:eastAsia="Times New Roman" w:hAnsi="Times New Roman"/>
          <w:sz w:val="12"/>
          <w:szCs w:val="12"/>
          <w:color w:val="auto"/>
        </w:rPr>
        <w:t>”) against previously adopted performance measures as well as develop plans and performance metrics based on the annual operating plan for the current fiscal year.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 ended December 31, 2025, our NEOs were:</w:t>
      </w:r>
    </w:p>
    <w:p>
      <w:pPr>
        <w:spacing w:after="0" w:line="144" w:lineRule="exact"/>
        <w:rPr>
          <w:sz w:val="20"/>
          <w:szCs w:val="20"/>
          <w:color w:val="auto"/>
        </w:rPr>
      </w:pPr>
    </w:p>
    <w:tbl>
      <w:tblPr>
        <w:tblLayout w:type="fixed"/>
        <w:tblInd w:w="200" w:type="dxa"/>
        <w:tblCellMar>
          <w:top w:w="0" w:type="dxa"/>
          <w:left w:w="0" w:type="dxa"/>
          <w:bottom w:w="0" w:type="dxa"/>
          <w:right w:w="0" w:type="dxa"/>
        </w:tblCellMar>
      </w:tblPr>
      <w:tr>
        <w:trPr>
          <w:trHeight w:val="125"/>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Age</w:t>
            </w:r>
          </w:p>
        </w:tc>
        <w:tc>
          <w:tcPr>
            <w:tcW w:w="4800" w:type="dxa"/>
            <w:vAlign w:val="bottom"/>
          </w:tcPr>
          <w:p>
            <w:pPr>
              <w:ind w:left="2240"/>
              <w:spacing w:after="0"/>
              <w:rPr>
                <w:sz w:val="20"/>
                <w:szCs w:val="20"/>
                <w:color w:val="auto"/>
              </w:rPr>
            </w:pPr>
            <w:r>
              <w:rPr>
                <w:rFonts w:ascii="Times New Roman" w:cs="Times New Roman" w:eastAsia="Times New Roman" w:hAnsi="Times New Roman"/>
                <w:sz w:val="10"/>
                <w:szCs w:val="10"/>
                <w:b w:val="1"/>
                <w:bCs w:val="1"/>
                <w:color w:val="auto"/>
              </w:rPr>
              <w:t>Position</w:t>
            </w:r>
          </w:p>
        </w:tc>
      </w:tr>
      <w:tr>
        <w:trPr>
          <w:trHeight w:val="26"/>
        </w:trPr>
        <w:tc>
          <w:tcPr>
            <w:tcW w:w="4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169"/>
        </w:trPr>
        <w:tc>
          <w:tcPr>
            <w:tcW w:w="486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color w:val="auto"/>
              </w:rPr>
              <w:t>Dr. Raluca Dinu</w:t>
            </w:r>
            <w:r>
              <w:rPr>
                <w:rFonts w:ascii="Times New Roman" w:cs="Times New Roman" w:eastAsia="Times New Roman" w:hAnsi="Times New Roman"/>
                <w:sz w:val="15"/>
                <w:szCs w:val="15"/>
                <w:color w:val="auto"/>
                <w:vertAlign w:val="superscript"/>
              </w:rPr>
              <w:t>(1)</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52</w:t>
            </w:r>
          </w:p>
        </w:tc>
        <w:tc>
          <w:tcPr>
            <w:tcW w:w="80" w:type="dxa"/>
            <w:vAlign w:val="bottom"/>
            <w:shd w:val="clear" w:color="auto" w:fill="CCEEFF"/>
          </w:tcPr>
          <w:p>
            <w:pPr>
              <w:spacing w:after="0"/>
              <w:rPr>
                <w:sz w:val="14"/>
                <w:szCs w:val="14"/>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Executive Officer and Director (Class III)</w:t>
            </w:r>
          </w:p>
        </w:tc>
      </w:tr>
      <w:tr>
        <w:trPr>
          <w:trHeight w:val="18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Jay Jennings</w:t>
            </w:r>
            <w:r>
              <w:rPr>
                <w:rFonts w:ascii="Times New Roman" w:cs="Times New Roman" w:eastAsia="Times New Roman" w:hAnsi="Times New Roman"/>
                <w:sz w:val="15"/>
                <w:szCs w:val="15"/>
                <w:color w:val="auto"/>
                <w:vertAlign w:val="superscript"/>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58</w:t>
            </w:r>
          </w:p>
        </w:tc>
        <w:tc>
          <w:tcPr>
            <w:tcW w:w="80" w:type="dxa"/>
            <w:vAlign w:val="bottom"/>
          </w:tcPr>
          <w:p>
            <w:pPr>
              <w:spacing w:after="0"/>
              <w:rPr>
                <w:sz w:val="15"/>
                <w:szCs w:val="15"/>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8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Anastas Budagov</w:t>
            </w:r>
            <w:r>
              <w:rPr>
                <w:rFonts w:ascii="Times New Roman" w:cs="Times New Roman" w:eastAsia="Times New Roman" w:hAnsi="Times New Roman"/>
                <w:sz w:val="15"/>
                <w:szCs w:val="15"/>
                <w:color w:val="auto"/>
                <w:vertAlign w:val="superscript"/>
              </w:rPr>
              <w:t>(3)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37</w:t>
            </w:r>
          </w:p>
        </w:tc>
        <w:tc>
          <w:tcPr>
            <w:tcW w:w="80" w:type="dxa"/>
            <w:vAlign w:val="bottom"/>
            <w:shd w:val="clear" w:color="auto" w:fill="CCEEFF"/>
          </w:tcPr>
          <w:p>
            <w:pPr>
              <w:spacing w:after="0"/>
              <w:rPr>
                <w:sz w:val="15"/>
                <w:szCs w:val="15"/>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Former Chief Financial Officer</w:t>
            </w:r>
          </w:p>
        </w:tc>
      </w:tr>
    </w:tbl>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________________</w:t>
      </w:r>
    </w:p>
    <w:p>
      <w:pPr>
        <w:spacing w:after="0" w:line="105"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Raluca Dinu has served as our Chief Executive Officer and Class III Director since March 12, 2024, when she was appointed by the Board to replace Dr. John C. Klock, effective immediately.</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August 22, 2025, the Board appointed Mr. Jay Jennings to serve as our Chief Financial Officer, effective September 2, 2025.</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Budagov served as our Chief Financial Officer since December 2023 and until August 29, 2025, when he was replaced by the Board with Mr. Jennings.</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Compensation Philosophy and Objectives</w:t>
      </w:r>
    </w:p>
    <w:p>
      <w:pPr>
        <w:spacing w:after="0" w:line="118"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The Company has developed an executive compensation program that is consistent with the compensation policies and philosophies of the Compensation Committee and the Board, which are designed to align compensation with the Company’s business objectives and the creation of stockholder value, while enabling the Company to attract, motivate and retain individuals who contribute to its long-term success. Decisions on the executive compensation program are made by the Compensation Committee.</w:t>
      </w:r>
    </w:p>
    <w:p>
      <w:pPr>
        <w:spacing w:after="0" w:line="8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The objectives of the Company’s executive compensation program are to encourage retention and recruitment of high-performing executives, to motivate employees and align executive interests across the organization and with the Company’s stockholders, to reward sustainable financial performance, accountability and innovation, to create consistency with the Company’s strategy and culture (mission, vision and values) and to balance innovation and performance with risk. In setting executive compensation in 2025, the Compensation Committee took into account the Company’s strategy, culture and stage in defining plan feature tradeoffs. The Compensation Committee also looked to manage exceptions to its approach based upon the individual profiles of various members of the Company’s management.</w:t>
      </w:r>
    </w:p>
    <w:p>
      <w:pPr>
        <w:spacing w:after="0" w:line="8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Decisions regarding executive compensation reflect a belief that the executive compensation program must be competitive in order to attract and retain highly competent executive officers as well as include a significant element of “pay for performance.” Total compensation will be comprised of base salary, short-term incentive and long-term incentive. A significant portion of compensation for the members of management of the Company is tied to annual performance objectives. All elements of the compensation are defined in absolute dollar values. Further, the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Compensation Committee seeks to tie our executive compensation levels to the compensation practices of our peer companies.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Base Salary</w:t>
      </w:r>
    </w:p>
    <w:p>
      <w:pPr>
        <w:spacing w:after="0" w:line="11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2"/>
          <w:szCs w:val="12"/>
          <w:color w:val="auto"/>
        </w:rPr>
        <w:t>Base salaries for our NEOs are established based on the individual’s scope of responsibilities, experience and market factors. The base salary is an annual total cash salary paid over 12 months in equal amounts. The Compensation Committee typically reviews base salaries on an annual basis, referencing peer group and survey data to understand the marketplace for individuals in similar positions. No formulaic base salary increases are provided to our NEOs; however, annual merit increases are provided when the Compensation Committee determines that such increases are warranted in light of national salary increase levels, salary levels within companies in our peer group, individual performance and/or overall Company performance. We pay base salaries to attract, recruit and retain qualified employees. The base salaries for 2025 for our NEOs take into account the initial base amount set forth in the executive’s respective employment agreement or employment offer letter, as applicable, and the scope of the executive’s responsibilities, individual contributions, prior experience and sustained performance.</w:t>
      </w:r>
    </w:p>
    <w:p>
      <w:pPr>
        <w:spacing w:after="0" w:line="120" w:lineRule="exact"/>
        <w:rPr>
          <w:sz w:val="20"/>
          <w:szCs w:val="20"/>
          <w:color w:val="auto"/>
        </w:rPr>
      </w:pPr>
    </w:p>
    <w:tbl>
      <w:tblPr>
        <w:tblLayout w:type="fixed"/>
        <w:tblInd w:w="200" w:type="dxa"/>
        <w:tblCellMar>
          <w:top w:w="0" w:type="dxa"/>
          <w:left w:w="0" w:type="dxa"/>
          <w:bottom w:w="0" w:type="dxa"/>
          <w:right w:w="0" w:type="dxa"/>
        </w:tblCellMar>
      </w:tblPr>
      <w:tr>
        <w:trPr>
          <w:trHeight w:val="125"/>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300" w:type="dxa"/>
            <w:vAlign w:val="bottom"/>
          </w:tcPr>
          <w:p>
            <w:pPr>
              <w:spacing w:after="0"/>
              <w:rPr>
                <w:sz w:val="10"/>
                <w:szCs w:val="10"/>
                <w:color w:val="auto"/>
              </w:rPr>
            </w:pPr>
          </w:p>
        </w:tc>
        <w:tc>
          <w:tcPr>
            <w:tcW w:w="1440" w:type="dxa"/>
            <w:vAlign w:val="bottom"/>
          </w:tcPr>
          <w:p>
            <w:pPr>
              <w:jc w:val="right"/>
              <w:ind w:right="464"/>
              <w:spacing w:after="0"/>
              <w:rPr>
                <w:sz w:val="20"/>
                <w:szCs w:val="20"/>
                <w:color w:val="auto"/>
              </w:rPr>
            </w:pPr>
            <w:r>
              <w:rPr>
                <w:rFonts w:ascii="Times New Roman" w:cs="Times New Roman" w:eastAsia="Times New Roman" w:hAnsi="Times New Roman"/>
                <w:sz w:val="10"/>
                <w:szCs w:val="10"/>
                <w:b w:val="1"/>
                <w:bCs w:val="1"/>
                <w:color w:val="auto"/>
              </w:rPr>
              <w:t>2025 Base Salary</w:t>
            </w:r>
          </w:p>
        </w:tc>
      </w:tr>
      <w:tr>
        <w:trPr>
          <w:trHeight w:val="26"/>
        </w:trPr>
        <w:tc>
          <w:tcPr>
            <w:tcW w:w="8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69"/>
        </w:trPr>
        <w:tc>
          <w:tcPr>
            <w:tcW w:w="892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color w:val="auto"/>
              </w:rPr>
              <w:t>Dr. Raluca Dinu</w:t>
            </w:r>
            <w:r>
              <w:rPr>
                <w:rFonts w:ascii="Times New Roman" w:cs="Times New Roman" w:eastAsia="Times New Roman" w:hAnsi="Times New Roman"/>
                <w:sz w:val="15"/>
                <w:szCs w:val="15"/>
                <w:color w:val="auto"/>
                <w:vertAlign w:val="superscript"/>
              </w:rPr>
              <w:t>(1)</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550,000</w:t>
            </w:r>
          </w:p>
        </w:tc>
      </w:tr>
      <w:tr>
        <w:trPr>
          <w:trHeight w:val="207"/>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Jay Jennings</w:t>
            </w:r>
            <w:r>
              <w:rPr>
                <w:rFonts w:ascii="Times New Roman" w:cs="Times New Roman" w:eastAsia="Times New Roman" w:hAnsi="Times New Roman"/>
                <w:sz w:val="15"/>
                <w:szCs w:val="15"/>
                <w:color w:val="auto"/>
                <w:vertAlign w:val="superscript"/>
              </w:rPr>
              <w:t>(2)</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400,000</w:t>
            </w:r>
          </w:p>
        </w:tc>
      </w:tr>
    </w:tbl>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171" w:lineRule="exact"/>
        <w:rPr>
          <w:sz w:val="20"/>
          <w:szCs w:val="20"/>
          <w:color w:val="auto"/>
        </w:rPr>
      </w:pPr>
    </w:p>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Dr. Raluca Dinu’s base salary is based on her employment agreement dated March 12, 2024.</w:t>
      </w:r>
    </w:p>
    <w:p>
      <w:pPr>
        <w:spacing w:after="0" w:line="4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Mr. Jennings’ base salary is based on his employment agreement dated August 22, 2025.</w:t>
      </w:r>
    </w:p>
    <w:p>
      <w:pPr>
        <w:spacing w:after="0" w:line="1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Annual Bonuses</w:t>
      </w:r>
    </w:p>
    <w:p>
      <w:pPr>
        <w:spacing w:after="0" w:line="10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Company uses annual cash incentive bonuses for the NEOs to tie a portion of their compensation to financial and operational objectives achievable within the applicable fiscal year. The annual cash incentive bonus is expressed as a percentage of an individual’s base salary. The Compensation Committee set the performance targets using two financial metrics for the 2025 fiscal year: total revenue; and cash balance. Determination of the achievement of the targets is based upon the full year financial results following the completion of the audit of the Company’s consolidated financial statements. Following the end of the year, the Compensation Committee will determine the extent to which the performance targets were achieved and the amount of the award that will payable to the NEOs.</w:t>
      </w:r>
    </w:p>
    <w:p>
      <w:pPr>
        <w:spacing w:after="0" w:line="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Equity-Based Awards</w:t>
      </w:r>
    </w:p>
    <w:p>
      <w:pPr>
        <w:spacing w:after="0" w:line="10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The Company uses equity-based awards to reward long-term performance of the NEOs. The Company believes that providing a meaningful portion of the total compensation package in the form of equity-based awards aligns the incentives of its NEOs with the interests of its stockholders and serves to motivate and retain the individual NEOs. Any awards would be made in accordance with the executive compensation program discussed above. Although the Company has not used a specific predetermined schedule to grant equity-based awards as 2024 was the first year that the Company made such awards as a public company, it is the policy of the Company regarding our grants of equity-based awards that the Company does not (a) backdate equity award grants, (b) time the public release of material information or (c) purposely accelerate or delay equity award grants with the intent of allowing an award recipient to benefit from a more favorable stock price. The Company is currently using time-based stock option awards to encourage long term performance.</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Other Compensation</w:t>
      </w:r>
    </w:p>
    <w:p>
      <w:pPr>
        <w:spacing w:after="0" w:line="100"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The Company maintains various employee benefit plans, including medical, dental, life insurance and 401(k) plans, in which the NEOs may participate. It also provides certain perquisites to its NEOs, subject to the Compensation Committee’s ongoing review.</w:t>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Deductibility of Executive Compensation</w:t>
      </w:r>
    </w:p>
    <w:p>
      <w:pPr>
        <w:spacing w:after="0" w:line="10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Section 162(m) of the Code denies a federal income tax deduction for certain compensation in excess of $1.0 million per year paid to the chief executive officer, the chief financial officer, the three other most highly paid executive officers of a publicly traded corporation, and anyone previously subject to Section 162(m) as a covered employee for any taxable year beginning after December 31, 2016. It is the policy of the Company to consider the tax impact of its compensation arrangements as one factor, among others, in evaluating and determining the structure, implementation, and amount of awards paid to its executive officers. However, to retain highly skilled executives and remain competitive with other employers, the Compensation Committee may authorize compensation that would not be deductible under Section 162(m) or otherwise if it determines that such compensation is in the best interests of the Company and its stockholders, and maintaining tax deductibility will not be the sole consideration taken into account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determining what compensation arrangements are in our and our stockholders’ best interests. The right to grant compensation that is not deductible is expressly reserved, and the Company may do so.</w:t>
      </w:r>
    </w:p>
    <w:p>
      <w:pPr>
        <w:spacing w:after="0" w:line="1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Summary of Compensation Table</w:t>
      </w:r>
    </w:p>
    <w:p>
      <w:pPr>
        <w:spacing w:after="0" w:line="1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table below sets forth the annual compensation levels of our NEOs for 2025 and 2024, who as a smaller reporting company consist of the principal executive officer who serves as Chief Executive Officer of QT Imaging, and the next two most highly compensated executive officers. The compensation totals and individual amounts reflect the compensation of such officers by the Company or QT Imaging as of December 31, 2025 and 2024. In the fiscal year 2025, such totals and amounts may change based on, among other things, changes to the terms of the employment of such persons.</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108"/>
        </w:trPr>
        <w:tc>
          <w:tcPr>
            <w:tcW w:w="39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All Other</w:t>
            </w:r>
          </w:p>
        </w:tc>
        <w:tc>
          <w:tcPr>
            <w:tcW w:w="1160" w:type="dxa"/>
            <w:vAlign w:val="bottom"/>
          </w:tcPr>
          <w:p>
            <w:pPr>
              <w:spacing w:after="0"/>
              <w:rPr>
                <w:sz w:val="9"/>
                <w:szCs w:val="9"/>
                <w:color w:val="auto"/>
              </w:rPr>
            </w:pPr>
          </w:p>
        </w:tc>
      </w:tr>
      <w:tr>
        <w:trPr>
          <w:trHeight w:val="99"/>
        </w:trPr>
        <w:tc>
          <w:tcPr>
            <w:tcW w:w="3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8"/>
                <w:szCs w:val="8"/>
                <w:b w:val="1"/>
                <w:bCs w:val="1"/>
                <w:color w:val="auto"/>
              </w:rPr>
              <w:t>Salary</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8"/>
                <w:szCs w:val="8"/>
                <w:b w:val="1"/>
                <w:bCs w:val="1"/>
                <w:color w:val="auto"/>
              </w:rPr>
              <w:t>Option Awards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8"/>
                <w:szCs w:val="8"/>
                <w:b w:val="1"/>
                <w:bCs w:val="1"/>
                <w:color w:val="auto"/>
              </w:rPr>
              <w:t>Bonus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Compensation</w:t>
            </w:r>
          </w:p>
        </w:tc>
        <w:tc>
          <w:tcPr>
            <w:tcW w:w="1160" w:type="dxa"/>
            <w:vAlign w:val="bottom"/>
          </w:tcPr>
          <w:p>
            <w:pPr>
              <w:jc w:val="right"/>
              <w:ind w:right="444"/>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130"/>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b w:val="1"/>
                <w:bCs w:val="1"/>
                <w:color w:val="auto"/>
              </w:rPr>
              <w:t>Name and Principal Position</w:t>
            </w: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Year</w:t>
            </w: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445"/>
              <w:spacing w:after="0" w:line="130"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5"/>
                <w:szCs w:val="5"/>
                <w:b w:val="1"/>
                <w:bCs w:val="1"/>
                <w:color w:val="auto"/>
              </w:rPr>
              <w:t xml:space="preserve"> (1)</w:t>
            </w: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69"/>
        </w:trPr>
        <w:tc>
          <w:tcPr>
            <w:tcW w:w="39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color w:val="auto"/>
              </w:rPr>
              <w:t>Dr. Raluca Dinu</w:t>
            </w:r>
            <w:r>
              <w:rPr>
                <w:rFonts w:ascii="Times New Roman" w:cs="Times New Roman" w:eastAsia="Times New Roman" w:hAnsi="Times New Roman"/>
                <w:sz w:val="15"/>
                <w:szCs w:val="15"/>
                <w:color w:val="auto"/>
                <w:vertAlign w:val="superscript"/>
              </w:rPr>
              <w:t>(2)</w:t>
            </w:r>
          </w:p>
        </w:tc>
        <w:tc>
          <w:tcPr>
            <w:tcW w:w="100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2024</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359,731</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279,070</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638,801</w:t>
            </w:r>
          </w:p>
        </w:tc>
      </w:tr>
      <w:tr>
        <w:trPr>
          <w:trHeight w:val="18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Chief Executive Officer &amp; Class III Director</w:t>
            </w:r>
          </w:p>
        </w:tc>
        <w:tc>
          <w:tcPr>
            <w:tcW w:w="100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2025</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493,077</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161,781</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142,817</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797,675</w:t>
            </w:r>
          </w:p>
        </w:tc>
      </w:tr>
      <w:tr>
        <w:trPr>
          <w:trHeight w:val="162"/>
        </w:trPr>
        <w:tc>
          <w:tcPr>
            <w:tcW w:w="3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John Klock, M.D.,</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9"/>
              </w:rPr>
              <w:t>2024</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3940" w:type="dxa"/>
            <w:vAlign w:val="bottom"/>
          </w:tcPr>
          <w:p>
            <w:pPr>
              <w:ind w:left="120"/>
              <w:spacing w:after="0"/>
              <w:rPr>
                <w:sz w:val="20"/>
                <w:szCs w:val="20"/>
                <w:color w:val="auto"/>
              </w:rPr>
            </w:pPr>
            <w:r>
              <w:rPr>
                <w:rFonts w:ascii="Times New Roman" w:cs="Times New Roman" w:eastAsia="Times New Roman" w:hAnsi="Times New Roman"/>
                <w:sz w:val="12"/>
                <w:szCs w:val="12"/>
                <w:i w:val="1"/>
                <w:iCs w:val="1"/>
                <w:color w:val="auto"/>
              </w:rPr>
              <w:t>Former President and Chief Executive Officer &amp; Chief Medical Officer</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9"/>
              </w:rPr>
              <w:t>2025</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Jay Jennings</w:t>
            </w:r>
            <w:r>
              <w:rPr>
                <w:rFonts w:ascii="Times New Roman" w:cs="Times New Roman" w:eastAsia="Times New Roman" w:hAnsi="Times New Roman"/>
                <w:sz w:val="15"/>
                <w:szCs w:val="15"/>
                <w:color w:val="auto"/>
                <w:vertAlign w:val="superscript"/>
              </w:rPr>
              <w:t>(3)</w:t>
            </w:r>
          </w:p>
        </w:tc>
        <w:tc>
          <w:tcPr>
            <w:tcW w:w="100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2024</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c>
          <w:tcPr>
            <w:tcW w:w="100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2025</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113,846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530,593</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644,439</w:t>
            </w:r>
          </w:p>
        </w:tc>
      </w:tr>
      <w:tr>
        <w:trPr>
          <w:trHeight w:val="185"/>
        </w:trPr>
        <w:tc>
          <w:tcPr>
            <w:tcW w:w="3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Anastas Budagov</w:t>
            </w:r>
            <w:r>
              <w:rPr>
                <w:rFonts w:ascii="Times New Roman" w:cs="Times New Roman" w:eastAsia="Times New Roman" w:hAnsi="Times New Roman"/>
                <w:sz w:val="15"/>
                <w:szCs w:val="15"/>
                <w:color w:val="auto"/>
                <w:vertAlign w:val="superscript"/>
              </w:rPr>
              <w:t>(4)(5)</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9"/>
              </w:rPr>
              <w:t>2024</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290,846</w:t>
            </w:r>
          </w:p>
        </w:tc>
        <w:tc>
          <w:tcPr>
            <w:tcW w:w="100" w:type="dxa"/>
            <w:vAlign w:val="bottom"/>
          </w:tcPr>
          <w:p>
            <w:pPr>
              <w:spacing w:after="0"/>
              <w:rPr>
                <w:sz w:val="16"/>
                <w:szCs w:val="16"/>
                <w:color w:val="auto"/>
              </w:rPr>
            </w:pP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153,725</w:t>
            </w:r>
          </w:p>
        </w:tc>
        <w:tc>
          <w:tcPr>
            <w:tcW w:w="80" w:type="dxa"/>
            <w:vAlign w:val="bottom"/>
          </w:tcPr>
          <w:p>
            <w:pPr>
              <w:spacing w:after="0"/>
              <w:rPr>
                <w:sz w:val="16"/>
                <w:szCs w:val="16"/>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63,333</w:t>
            </w:r>
          </w:p>
        </w:tc>
        <w:tc>
          <w:tcPr>
            <w:tcW w:w="8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507,904</w:t>
            </w:r>
          </w:p>
        </w:tc>
      </w:tr>
      <w:tr>
        <w:trPr>
          <w:trHeight w:val="175"/>
        </w:trPr>
        <w:tc>
          <w:tcPr>
            <w:tcW w:w="3940" w:type="dxa"/>
            <w:vAlign w:val="bottom"/>
          </w:tcPr>
          <w:p>
            <w:pPr>
              <w:ind w:left="120"/>
              <w:spacing w:after="0"/>
              <w:rPr>
                <w:sz w:val="20"/>
                <w:szCs w:val="20"/>
                <w:color w:val="auto"/>
              </w:rPr>
            </w:pPr>
            <w:r>
              <w:rPr>
                <w:rFonts w:ascii="Times New Roman" w:cs="Times New Roman" w:eastAsia="Times New Roman" w:hAnsi="Times New Roman"/>
                <w:sz w:val="12"/>
                <w:szCs w:val="12"/>
                <w:i w:val="1"/>
                <w:iCs w:val="1"/>
                <w:color w:val="auto"/>
              </w:rPr>
              <w:t>Former Chief Financial Officer</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9"/>
              </w:rPr>
              <w:t>2025</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302,595</w:t>
            </w:r>
          </w:p>
        </w:tc>
        <w:tc>
          <w:tcPr>
            <w:tcW w:w="10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21,559</w:t>
            </w:r>
          </w:p>
        </w:tc>
        <w:tc>
          <w:tcPr>
            <w:tcW w:w="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35,529</w:t>
            </w:r>
          </w:p>
        </w:tc>
        <w:tc>
          <w:tcPr>
            <w:tcW w:w="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150,000</w:t>
            </w:r>
          </w:p>
        </w:tc>
        <w:tc>
          <w:tcPr>
            <w:tcW w:w="80" w:type="dxa"/>
            <w:vAlign w:val="bottom"/>
          </w:tcPr>
          <w:p>
            <w:pPr>
              <w:spacing w:after="0"/>
              <w:rPr>
                <w:sz w:val="15"/>
                <w:szCs w:val="15"/>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509,683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105"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shares of Common Stock issuable upon vesting and exercise of stock options. The amounts in this column represent the aggregate grant date fair value computed in accordance with FASB ASC Topic 718.</w:t>
      </w:r>
    </w:p>
    <w:p>
      <w:pPr>
        <w:spacing w:after="0" w:line="42" w:lineRule="exact"/>
        <w:rPr>
          <w:rFonts w:ascii="Times New Roman" w:cs="Times New Roman" w:eastAsia="Times New Roman" w:hAnsi="Times New Roman"/>
          <w:sz w:val="12"/>
          <w:szCs w:val="12"/>
          <w:color w:val="auto"/>
        </w:rPr>
      </w:pPr>
    </w:p>
    <w:p>
      <w:pPr>
        <w:ind w:left="420" w:right="20" w:hanging="212"/>
        <w:spacing w:after="0" w:line="260" w:lineRule="auto"/>
        <w:tabs>
          <w:tab w:leader="none" w:pos="416"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12, 2024, the Board appointed Dr. Raluca Dinu to serve as the Chief Executive Officer of the Company, effective immediately. Dr. Raluca Dinu’s base salary per her employment agreement, which the Board approved on March 18, 2024, effective as of March 12, 2024 was $470,000. On July 3, 2024, the Board approved the grant of 550,000 stock options to Dr. Raluca Dinu. The stock options have an exercise price of $0.748 per option and a grant date fair value of $0.47 per option. One-third of the stock options granted will vest on February 15, 2025, and the remaining two-thirds of the stock options will vest quarterly over a two year period thereafter.</w:t>
      </w:r>
    </w:p>
    <w:p>
      <w:pPr>
        <w:spacing w:after="0" w:line="14" w:lineRule="exact"/>
        <w:rPr>
          <w:rFonts w:ascii="Times New Roman" w:cs="Times New Roman" w:eastAsia="Times New Roman" w:hAnsi="Times New Roman"/>
          <w:sz w:val="12"/>
          <w:szCs w:val="12"/>
          <w:color w:val="auto"/>
        </w:rPr>
      </w:pPr>
    </w:p>
    <w:p>
      <w:pPr>
        <w:ind w:left="420" w:hanging="212"/>
        <w:spacing w:after="0" w:line="265" w:lineRule="auto"/>
        <w:tabs>
          <w:tab w:leader="none" w:pos="416"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August 22, 2025, the Board appointed Mr. Jay Jennings to serve as the Chief Financial Officer of the Company, effective September 2, 2025. Mr. Jennings’s base salary per his employment agreement, dated August 22, 2025 is $400,000. The CFO Employment Agreement provides for the grant of equity awards, in a form to be determined, in the amount of 325,000 shares of Common Stock, pursuant to and subject to the terms of Company’s Inducement Equity Incentive Plan, adopted on August 22, 2025.</w:t>
      </w:r>
    </w:p>
    <w:p>
      <w:pPr>
        <w:spacing w:after="0" w:line="10" w:lineRule="exact"/>
        <w:rPr>
          <w:rFonts w:ascii="Times New Roman" w:cs="Times New Roman" w:eastAsia="Times New Roman" w:hAnsi="Times New Roman"/>
          <w:sz w:val="12"/>
          <w:szCs w:val="12"/>
          <w:color w:val="auto"/>
        </w:rPr>
      </w:pPr>
    </w:p>
    <w:p>
      <w:pPr>
        <w:ind w:left="420" w:hanging="212"/>
        <w:spacing w:after="0" w:line="260" w:lineRule="auto"/>
        <w:tabs>
          <w:tab w:leader="none" w:pos="416"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12, 2024, the Board ratified the prior appointment of Mr. Budagov as the Company’s Chief Financial Officer. Mr. Budagov’s base salary per his employment agreement, which the Board approved on March 18, 2024, effective as of March 12, 2024 was $380,000. On July 3, 2024, the Board approved the grant of 325,000 stock options to Mr. Budagov. The stock options have an exercise price of $0.748 per option and a grant date fair value of $0.47 per option. One-third of the stock options granted will vest on February 15, 2025, and the remaining two-thirds of the stock options will vest quarterly over a two year period thereafter. During 2024, Mr. Budagov received a sign-on bonus of $63,333 in accordance with his employment agreement.</w:t>
      </w:r>
    </w:p>
    <w:p>
      <w:pPr>
        <w:spacing w:after="0" w:line="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August 29, 2025, Anastas Budagov resigned from his full-time position as Chief Financial Officer.</w:t>
      </w:r>
    </w:p>
    <w:p>
      <w:pPr>
        <w:spacing w:after="0" w:line="3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24"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Outstanding Equity Awards at Fiscal Year-End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information concerning outstanding equity awards held by each of the Company’s NEOs as of December 31, 2025.</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125"/>
        </w:trPr>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Option Awards</w:t>
            </w: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6"/>
        </w:trPr>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08"/>
        </w:trPr>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jc w:val="center"/>
              <w:ind w:left="372"/>
              <w:spacing w:after="0" w:line="108"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117"/>
        </w:trPr>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17"/>
        </w:trPr>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Underlying</w:t>
            </w: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17"/>
        </w:trPr>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5"/>
              </w:rPr>
              <w:t>Unexercised</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Unexercised</w:t>
            </w:r>
          </w:p>
        </w:tc>
        <w:tc>
          <w:tcPr>
            <w:tcW w:w="300" w:type="dxa"/>
            <w:vAlign w:val="bottom"/>
          </w:tcPr>
          <w:p>
            <w:pPr>
              <w:spacing w:after="0"/>
              <w:rPr>
                <w:sz w:val="10"/>
                <w:szCs w:val="1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Option</w:t>
            </w:r>
          </w:p>
        </w:tc>
      </w:tr>
      <w:tr>
        <w:trPr>
          <w:trHeight w:val="108"/>
        </w:trPr>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jc w:val="center"/>
              <w:ind w:left="372"/>
              <w:spacing w:after="0" w:line="108" w:lineRule="exact"/>
              <w:rPr>
                <w:sz w:val="20"/>
                <w:szCs w:val="20"/>
                <w:color w:val="auto"/>
              </w:rPr>
            </w:pPr>
            <w:r>
              <w:rPr>
                <w:rFonts w:ascii="Times New Roman" w:cs="Times New Roman" w:eastAsia="Times New Roman" w:hAnsi="Times New Roman"/>
                <w:sz w:val="10"/>
                <w:szCs w:val="10"/>
                <w:b w:val="1"/>
                <w:bCs w:val="1"/>
                <w:color w:val="auto"/>
                <w:w w:val="94"/>
              </w:rPr>
              <w:t>Options</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rPr>
              <w:t>Options</w:t>
            </w:r>
          </w:p>
        </w:tc>
        <w:tc>
          <w:tcPr>
            <w:tcW w:w="300" w:type="dxa"/>
            <w:vAlign w:val="bottom"/>
          </w:tcPr>
          <w:p>
            <w:pPr>
              <w:spacing w:after="0"/>
              <w:rPr>
                <w:sz w:val="9"/>
                <w:szCs w:val="9"/>
                <w:color w:val="auto"/>
              </w:rPr>
            </w:pPr>
          </w:p>
        </w:tc>
        <w:tc>
          <w:tcPr>
            <w:tcW w:w="1160" w:type="dxa"/>
            <w:vAlign w:val="bottom"/>
            <w:gridSpan w:val="2"/>
          </w:tcPr>
          <w:p>
            <w:pPr>
              <w:jc w:val="center"/>
              <w:ind w:right="380"/>
              <w:spacing w:after="0" w:line="108"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14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Expiration</w:t>
            </w:r>
          </w:p>
        </w:tc>
      </w:tr>
      <w:tr>
        <w:trPr>
          <w:trHeight w:val="14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Grant Date</w:t>
            </w: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6"/>
              </w:rPr>
              <w:t>Exercisable</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Unexercisable</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242"/>
              <w:spacing w:after="0"/>
              <w:rPr>
                <w:sz w:val="20"/>
                <w:szCs w:val="20"/>
                <w:color w:val="auto"/>
              </w:rPr>
            </w:pPr>
            <w:r>
              <w:rPr>
                <w:rFonts w:ascii="Times New Roman" w:cs="Times New Roman" w:eastAsia="Times New Roman" w:hAnsi="Times New Roman"/>
                <w:sz w:val="10"/>
                <w:szCs w:val="10"/>
                <w:b w:val="1"/>
                <w:bCs w:val="1"/>
                <w:color w:val="auto"/>
                <w:w w:val="93"/>
              </w:rPr>
              <w:t>Price ($)</w:t>
            </w:r>
          </w:p>
        </w:tc>
        <w:tc>
          <w:tcPr>
            <w:tcW w:w="8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r>
      <w:tr>
        <w:trPr>
          <w:trHeight w:val="178"/>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Dr. Raluca Dinu</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07/03/2024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44,540</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59,816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07/03/2034</w:t>
            </w:r>
          </w:p>
        </w:tc>
      </w:tr>
      <w:tr>
        <w:trPr>
          <w:trHeight w:val="171"/>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07/03/2024</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62,405</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16,571</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07/03/2034</w:t>
            </w:r>
          </w:p>
        </w:tc>
      </w:tr>
      <w:tr>
        <w:trPr>
          <w:trHeight w:val="189"/>
        </w:trPr>
        <w:tc>
          <w:tcPr>
            <w:tcW w:w="3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07/03/2024</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7,777</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07/03/2034</w:t>
            </w:r>
          </w:p>
        </w:tc>
      </w:tr>
      <w:tr>
        <w:trPr>
          <w:trHeight w:val="180"/>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04/21/2025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10,416</w:t>
            </w:r>
          </w:p>
        </w:tc>
        <w:tc>
          <w:tcPr>
            <w:tcW w:w="8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04/21/2035</w:t>
            </w:r>
          </w:p>
        </w:tc>
      </w:tr>
      <w:tr>
        <w:trPr>
          <w:trHeight w:val="180"/>
        </w:trPr>
        <w:tc>
          <w:tcPr>
            <w:tcW w:w="3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04/21/2025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14,583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04/21/2035</w:t>
            </w:r>
          </w:p>
        </w:tc>
      </w:tr>
      <w:tr>
        <w:trPr>
          <w:trHeight w:val="180"/>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04/21/2025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58,437</w:t>
            </w:r>
          </w:p>
        </w:tc>
        <w:tc>
          <w:tcPr>
            <w:tcW w:w="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19,479</w:t>
            </w:r>
          </w:p>
        </w:tc>
        <w:tc>
          <w:tcPr>
            <w:tcW w:w="8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04/21/2035</w:t>
            </w:r>
          </w:p>
        </w:tc>
      </w:tr>
      <w:tr>
        <w:trPr>
          <w:trHeight w:val="180"/>
        </w:trPr>
        <w:tc>
          <w:tcPr>
            <w:tcW w:w="3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08/11/2025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08/11/2035</w:t>
            </w:r>
          </w:p>
        </w:tc>
      </w:tr>
      <w:tr>
        <w:trPr>
          <w:trHeight w:val="18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Jay Jennings</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09/02/2025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108,333</w:t>
            </w:r>
          </w:p>
        </w:tc>
        <w:tc>
          <w:tcPr>
            <w:tcW w:w="8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09/02/2035</w:t>
            </w:r>
          </w:p>
        </w:tc>
      </w:tr>
      <w:tr>
        <w:trPr>
          <w:trHeight w:val="18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Anastas Budagov</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07/03/2024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44,539</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02/13/2026</w:t>
            </w:r>
          </w:p>
        </w:tc>
      </w:tr>
      <w:tr>
        <w:trPr>
          <w:trHeight w:val="180"/>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07/03/2024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18,655</w:t>
            </w:r>
          </w:p>
        </w:tc>
        <w:tc>
          <w:tcPr>
            <w:tcW w:w="8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02/13/2026</w:t>
            </w:r>
          </w:p>
        </w:tc>
      </w:tr>
      <w:tr>
        <w:trPr>
          <w:trHeight w:val="180"/>
        </w:trPr>
        <w:tc>
          <w:tcPr>
            <w:tcW w:w="3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04/21/2025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02/13/2026</w:t>
            </w:r>
          </w:p>
        </w:tc>
      </w:tr>
      <w:tr>
        <w:trPr>
          <w:trHeight w:val="180"/>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04/21/2025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02/13/2026</w:t>
            </w:r>
          </w:p>
        </w:tc>
      </w:tr>
    </w:tbl>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Employment Arrangements with Named Executive Officers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Employment Agreement with Dr. Raluca Dinu</w:t>
      </w:r>
    </w:p>
    <w:p>
      <w:pPr>
        <w:spacing w:after="0" w:line="9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On August 28, 2025, the Board approved an increase in the base salary and the target annual bonus for Dr. Raluca Dinu, the Company’s Chief Executive Officer, effective as of September 1, 2025. Prior to this increase, Dr. Dinu’s base salary was $470,000 per year and her target annual bonus was 65% of her salary, and effective as of September 1, 2025, Dr. Dinu’s base salary is $550,000 per year and her target annual bonus is 75% of her salary. In addition, on March 20, 2026, our Board approved an increase in the base salary for Dr. Dinu effective that same day to $605,000 per year.</w:t>
      </w:r>
    </w:p>
    <w:p>
      <w:pPr>
        <w:spacing w:after="0" w:line="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On March 12, 2024, the Board appointed Dr. Raluca Dinu, who is also a member of the Board, to be employed as its Acting Chief Executive Officer effective as of March 12, 2024. Dr. Dinu will report to the Board. On March 18, 2024, the Board approved an employment agreement (the “CEO Employment Agreement”) between Dr. Dinu and the Company, effective as of March 12, 2024, governing the terms of Dr. Dinu’s employment by the Company, which the Company and Dr. Dinu then entered into.</w:t>
      </w:r>
    </w:p>
    <w:p>
      <w:pPr>
        <w:spacing w:after="0" w:line="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Under the terms of the CEO Employment Agreement, Dr. Dinu will be hired on an “at will” basis and shall serve as the Company’s Chief Executive Officer on an interim but full-time basis, performing her duties and responsibilities in such capacity. The CEO Employment Agreement provides that Dr. Dinu will serve as the Company’s Chief Executive Officer until the earlier of the twelve (12) month anniversary of the Effective Date or the date on which her employment is terminated in accordance with the terms of CEO Employment Agreement, but that the term of the CEO Employment Agreement may be renewed by written agreement between Dr. Dinu and the Company. Dr. Dinu’s employment is “at will” and terminable by the Company at any time and for any reason or no reason, including as a result of her death or disability, as provided in the CEO Employment Agreement, and with or without “cause”. Dr. Dinu may terminate her employment with the Company at any time and for any reason or no reason, including with or without “good reason”. Committee (hereinafter referred to as the “CEO Base Salary”). Such CEO Base Salary will be paid in accordance with the Company’s standard payroll practice. The CEO Base Salary will be reviewed annually and Dr. Dinu will be eligible to receive a salary increase annually, during the compensation cycle, in an amount to be determined by the Board or the Compensation Committee in its sole and exclusive discretion. Once adjusted, the new salary will become the CEO Base Salary for purposes of the CEO Employment Agreement.</w:t>
      </w:r>
    </w:p>
    <w:p>
      <w:pPr>
        <w:spacing w:after="0" w:line="9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Dr. Dinu will, in accordance with Company policy and the terms of the applicable plan documents, be eligible to participate in benefits under any executive benefit plan or arrangement which may be in effect from time to time and made available to the Company’s executives or key management employees. Dr. Dinu will be eligible to accrue up to sixty days of paid time off per year, in accordance with the Company’s policies as in effect from time to time. The Company will pay or reimburse all reasonable, customary and necessary business expenses, subject to any maximum annual limit or other restrictions as set by the Board or its designated committee.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For each fiscal year of the Company (“</w:t>
      </w:r>
      <w:r>
        <w:rPr>
          <w:rFonts w:ascii="Times New Roman" w:cs="Times New Roman" w:eastAsia="Times New Roman" w:hAnsi="Times New Roman"/>
          <w:sz w:val="12"/>
          <w:szCs w:val="12"/>
          <w:i w:val="1"/>
          <w:iCs w:val="1"/>
          <w:color w:val="auto"/>
        </w:rPr>
        <w:t>FY</w:t>
      </w:r>
      <w:r>
        <w:rPr>
          <w:rFonts w:ascii="Times New Roman" w:cs="Times New Roman" w:eastAsia="Times New Roman" w:hAnsi="Times New Roman"/>
          <w:sz w:val="12"/>
          <w:szCs w:val="12"/>
          <w:color w:val="auto"/>
        </w:rPr>
        <w:t>”) completed during the term of Dr. Dinu’s employment as Chief Executive Officer, Dr. Dinu shall have the opportunity to earn an annual bonus (“</w:t>
      </w:r>
      <w:r>
        <w:rPr>
          <w:rFonts w:ascii="Times New Roman" w:cs="Times New Roman" w:eastAsia="Times New Roman" w:hAnsi="Times New Roman"/>
          <w:sz w:val="12"/>
          <w:szCs w:val="12"/>
          <w:i w:val="1"/>
          <w:iCs w:val="1"/>
          <w:color w:val="auto"/>
        </w:rPr>
        <w:t>CEO Annual Bonus</w:t>
      </w:r>
      <w:r>
        <w:rPr>
          <w:rFonts w:ascii="Times New Roman" w:cs="Times New Roman" w:eastAsia="Times New Roman" w:hAnsi="Times New Roman"/>
          <w:sz w:val="12"/>
          <w:szCs w:val="12"/>
          <w:color w:val="auto"/>
        </w:rPr>
        <w:t>”) under the executive incentive plan then applicable to executives of the Company generally, as in effect from time to time, with the actual amount of each CEO Annual Bonus being determined by the Board or its designated committee based on the achievement of target objectives established by the Board or its designated committee after consultation with Dr. Dinu, and for which the target of the CEO Annual Bonus is an amount equal to 65% of the annual Base Salary during the specific FY. Any CEO Annual Bonus due to Dr. Dinu will be payable not later than two and one-half months following the close of the FY for which the bonus was earned. Except as otherwise provided in the CEO Employment Agreement, Dr. Dinu must be employed on the date annual bonuses are paid under the Company’s executive incentive plan in order to be eligible to earn an CEO Annual Bonus for the preceding FY.</w:t>
      </w:r>
    </w:p>
    <w:p>
      <w:pPr>
        <w:spacing w:after="0" w:line="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Dr. Dinu shall also have the opportunity to earn a bonus (the “Special Achievement Bonus”) upon completion of acquisitions or sales (in each case, whether by merger, asset purchase or stock purchase, or any other method as approved by the Board), or other special activities that generate value to the Company as recognized by the Board or a designated committee of the Board, including, but not limited to, the Compensation Committee, as being eligible for such special achievement bonus. To the extent any of the mentioned above activities are recognized, in good faith, by the Board (or its designated committee) as being eligible for a Special Achievements Bonus, then Dr. Dinu shall have the right to present a proposed bonus structure to the Board, who shall consider the benefit of the activity to the Company’s stockholders, the nature of the activity, the benefits of the activity to the Company’s technology, business development, or cash position and such other factors as the Board and Dr. Dinu agree in good faith are relevant and appropriate. Whether any Special Achievement Bonus is paid and the amount of any such bonus, shall be in the sole discretion of the Board (or its designated committee).</w:t>
      </w:r>
    </w:p>
    <w:p>
      <w:pPr>
        <w:spacing w:after="0" w:line="8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The CEO Employment Agreement provides for the grant of equity awards, in a form to be determined, in the amount of 550,000 shares of Common Stock to Dr. Dinu, pursuant to and subject to the terms of the Company’s 2024 Equity Incentive Plan (the “2024 EIP”), and subject to approval by the Board and the filing of an effective registration statement on Form S-8 by the Company. Any further equity awards shall be at the discretion of the Board or its designation committee. All of the outstanding and unvested awards held by Dr. Dinu shall vest in the event of a change in control, and if the awards require exercise, be exercisable for the duration of the maximum permitted exercise period as set forth in such grant or grants from the Board, and all of the remaining undelivered shares shall be delivered for such awards that are of stock units immediately prior to and contingent upon the change of control, to the extent delivery will not result in adverse Section 409A tax consequences.</w:t>
      </w:r>
    </w:p>
    <w:p>
      <w:pPr>
        <w:spacing w:after="0" w:line="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In the event of a change in control, the Company will pay Dr. Dinu the following payments, subject to her continued service through the closing of such change of control transaction and her return of a release of claims: (i) to the extent not already paid, the target amount of the CEO Annual Bonus (the “Target Bonus”) for the entire FY in which the change in control occurs, and (ii) a lump sum equal to (A) two (2) years of (a) the CEO Base Salary in effect and (B) the average of the entire CEO Annual Bonuses and Special Achievement Bonuses paid to Dr. Dinu for the two FYs completed prior to the change of control, as applicable, or, if only one such FY has been completed, then based on the amount of the CEO Annual Bonus and the Special Achievement Bonus for such FY (the “CEO Bonus”) (not including however in calculating the Bonus, any Special Achievement Bonus payable for the change of control transaction shall not be included in determining the entire Annual Bonuses and Special Achievement Bonuses). The occurrence of a change of control will trigger the vesting of all outstanding, unvested awards held by Dr. Dinu and a potential tax equalization payment or gross-up payment which would place Dr. Dinu in the same after-tax position as if any excise tax penalty did not apply with respect to compensation received by Dr. Dinu in connection with such change in control. For the purposes of the CEO Employment Agreement, a “change of control” means the occurrence of one or more of the following: (i) any “Person” or “group,”</w:t>
      </w:r>
    </w:p>
    <w:p>
      <w:pPr>
        <w:spacing w:after="0" w:line="9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2"/>
          <w:szCs w:val="12"/>
          <w:color w:val="auto"/>
        </w:rPr>
        <w:t>The Company will pay Dr. Dinu a base salary at the initial annualized rate of $470,000 per year, subject to standard deductions and withholdings, or such other rate as may be determined from time to time by the Board or the Compensation within the meaning of Section 13(d)(3) or 14(d)(2) of the Exchange Act, other than the Company or any of its affiliates, becomes a beneficial owner, directly or indirectly, in one or a series of transactions, of securities representing fifty percent or more of the total number of votes that may be cast for the election of directors of the Company; (ii) the consummation of a merger or consolidation of the Company with any other person (other than a member of the Company and/or its affiliates),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of the total voting power represented by the voting securities of the Company or such surviving entity outstanding immediately after such merger or consolidation; (iii) within twelve months after a tender offer or exchange offer for voting securities of the Company (other than by the Company) the individuals who were directors of the Company immediately prior thereto shall cease to constitute a majority of the Board; or (iv) there occurs a closing of a sale or other disposition by the Company of all or substantially all of the assets of the Company other than to one or more of the Company’s affiliates.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Dr. Dinu would be entitled to receive certain compensation if her employment with the Company is terminated without “cause” or she resigns for “good reason” (as those terms are defined in the CEO Employment Agreement) in the absence of a change of control transaction, including (i) six months’ of her annual base salary then being paid, payable in equal monthly installments, (ii) a final pro-rated bonus for the period of the year that she has worked prior to termination, (iii) additional compensation equal to eighteen months of Dr. Dinu’s base salary then in effect plus two times the amount of the CEO Bonus (with “CEO Bonus” being defined as the average of the entire CEO Annual Bonuses and Special Achievement Bonuses (each, as defined in the CEO Employment Agreement) paid to Dr. Dinu for the two fiscal years completed prior to her termination), payable in a lump sum subject to certain conditions more fully described in the CEO Employment Agreement.</w:t>
      </w:r>
    </w:p>
    <w:p>
      <w:pPr>
        <w:spacing w:after="0" w:line="8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In the event that Dr. Dinu’s employment is terminated as a result of her death, the Company shall pay to her estate within sixty days of the date of termination (the “Date of Termination”) (i) the CEO Base Salary earned but not paid as of the Date of Termination and any un-reimbursed business expenses (together, the “CEO Final Compensation”), (ii) twelve months’ CEO Base Salary in effect as of Date of Termination, (iii) the Target Bonus for the FY in which the Date of Termination occurs, and (iv) the full premium health and dental plan coverage for each of Dr. Dinu’s qualified beneficiaries for the later of the expiration of the term of the CEO Employment Agreement or one year following the Date of Termination, or until COBRA is no longer available to such beneficiaries (the “Beneficiary Benefits”).</w:t>
      </w:r>
    </w:p>
    <w:p>
      <w:pPr>
        <w:spacing w:after="0" w:line="8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If Dr. Dinu’s employment is terminated as a result of a disability (as defined in the CEO Employment Agreement), then, in addition to the Final Compensation, payable as a lump sum as of March 15th of the year following the Date of Termination, the Company will pay Dr. Dinu a pro-rated CEO Annual Bonus for the year during which the Date of Termination takes place, as determined by the Board, and the Beneficiary Benefits.</w:t>
      </w:r>
    </w:p>
    <w:p>
      <w:pPr>
        <w:spacing w:after="0" w:line="7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In the event that Dr. Dinu is terminated with “cause” (as is defined in the CEO Employment Agreement), then the Company shall make no payments to Dr. Dinu other than provision of the CEO Final Compensation, payable no later than ten days after the Date of Termination. Any equity in the Company held by Dr. Dinu in such case shall be governed by the terms of the Company’s equity incentive plans.</w:t>
      </w:r>
    </w:p>
    <w:p>
      <w:pPr>
        <w:spacing w:after="0" w:line="75"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If the Company terminates Dr. Dinu or Dr. Dinu terminates her employment for any reason, and a change in control has occurred within twelve months prior to the Date of Termination, then subject to Dr. Dinu’s providing a release of claims and compliance with surviving obligations, including confidentiality, the Company shall provide health and dental plan coverage for Dr. Dinu and her beneficiaries for at most two years.</w:t>
      </w:r>
    </w:p>
    <w:p>
      <w:pPr>
        <w:spacing w:after="0" w:line="7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If Dr. Dinu terminates her employment upon sixty days’ notice, other than for “good reason” and a change in control has not occurred, if the Board so elects, the Company will pay her the CEO Base Salary for the initial sixty days of the notice period in accordance with usual payroll practices.</w:t>
      </w:r>
    </w:p>
    <w:p>
      <w:pPr>
        <w:spacing w:after="0" w:line="75"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Concurrent with the CEO Employment Agreement and as a condition thereof, Dr. Dinu entered into a Proprietary Information and Inventions Agreement, which relates to the protection of confidential information of the Company and the ownership by the Company of proprietary information and patents and other intellectual property.</w:t>
      </w:r>
    </w:p>
    <w:p>
      <w:pPr>
        <w:spacing w:after="0" w:line="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Under the CEO Employment Agreement, the Company has agreed to indemnify Dr. Dinu in accordance with the bylaws and articles of organization of the Company in effect at the time indemnification is applicable, with Dr. Dinu agreeing to provide the Company with prompt notice of any actual or threated claim arising out of her employment. The Company shall also provide Dr. Dinu with the same coverage under any directors and officers liability insurance that the Company elects to maintain as it provides to its other executives, and the same as is provided other former executives, after the termination of her employment.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Employment Agreement with Jay Jennings</w:t>
      </w:r>
    </w:p>
    <w:p>
      <w:pPr>
        <w:spacing w:after="0" w:line="116"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On August 22, 2025, the Board appointed Jay Jennings to be employed as its Chief Financial Officer, effective as of September 2, 2025. Mr. Jennings will report to the Board. On August 22, 2025, the Board approved an employment agreement (the “CFO Employment Agreement”) between Mr. Jennings and the Company, which the Company and Mr. Jennings executed that same day, to be effective as of September 2, 2025, governing the terms of Mr. Jennings’s employment by the Company, which the Company and Mr. Jennings then entered into.</w:t>
      </w:r>
    </w:p>
    <w:p>
      <w:pPr>
        <w:spacing w:after="0" w:line="83"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Under the terms of the CFO Employment Agreement, Mr. Jennings shall serve as the Company’s Chief Financial Officer, performing his duties and responsibilities in such capacity. Mr. Jennings’s employment is “at will” and terminable by the Company or Mr. Jennings at any time and for any reason or no reason, subject to severance provisions described below.</w:t>
      </w:r>
    </w:p>
    <w:p>
      <w:pPr>
        <w:spacing w:after="0" w:line="75"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1"/>
          <w:szCs w:val="11"/>
          <w:color w:val="auto"/>
        </w:rPr>
        <w:t>The Company will pay Mr. Jennings a base salary at the initial annualized rate of $400,000 per year, subject to standard deductions and withholdings, or such other rate as may be determined from time to time by the Board or the Compensation Committee (hereinafter referred to as the “CFO Base Salary”). Such CFO Base Salary will be paid in accordance with the Company’s standard payroll practice. The CFO Base Salary will be reviewed annually and Mr.</w:t>
      </w: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4"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Jennings will be eligible to receive a salary increase annually, during the compensation cycle, in an amount to be determined by the Board or the Compensation Committee in its sole and exclusive discretion. Once adjusted, the new salary will become the CFO Base Salary for purposes of the CFO Employment Agreement.</w:t>
      </w:r>
    </w:p>
    <w:p>
      <w:pPr>
        <w:spacing w:after="0" w:line="7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Mr. Jennings will, in accordance with Company policy and the terms of the applicable plan documents, be eligible to participate in benefits under any executive benefit plan or arrangement which may be in effect from time to time and made available to the Company’s executives or key management employees.</w:t>
      </w:r>
    </w:p>
    <w:p>
      <w:pPr>
        <w:spacing w:after="0" w:line="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For each calendar year Mr. Jennings is employed by the Company, Mr. Jennings shall have the opportunity to earn an annual bonus (“</w:t>
      </w:r>
      <w:r>
        <w:rPr>
          <w:rFonts w:ascii="Times New Roman" w:cs="Times New Roman" w:eastAsia="Times New Roman" w:hAnsi="Times New Roman"/>
          <w:sz w:val="12"/>
          <w:szCs w:val="12"/>
          <w:i w:val="1"/>
          <w:iCs w:val="1"/>
          <w:color w:val="auto"/>
        </w:rPr>
        <w:t>CFO Annual Bonus</w:t>
      </w:r>
      <w:r>
        <w:rPr>
          <w:rFonts w:ascii="Times New Roman" w:cs="Times New Roman" w:eastAsia="Times New Roman" w:hAnsi="Times New Roman"/>
          <w:sz w:val="12"/>
          <w:szCs w:val="12"/>
          <w:color w:val="auto"/>
        </w:rPr>
        <w:t>”) under the executive incentive plan then applicable to executives of the Company generally, with the actual amount of each CFO Annual Bonus being determined by the Board or its designated committee based on the achievement of target objectives established by the Board or its designated committee, and for which the target of the CFO Annual Bonus is an amount equal to 45% of the annual CFO Base Salary during the specific calendar year. Any CFO Annual Bonus payable to Mr. Jennings will be payable not later than two and one-half months following the close of the calendar year to which it pertains. Except as otherwise provided in the CFO Employment Agreement, Mr. Jennings must be employed on the date annual bonuses are paid in order to be eligible and earn a CFO Annual Bonus for the calendar year to which the bonus pertains.</w:t>
      </w:r>
    </w:p>
    <w:p>
      <w:pPr>
        <w:spacing w:after="0" w:line="88"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2"/>
          <w:szCs w:val="12"/>
          <w:color w:val="auto"/>
        </w:rPr>
        <w:t>The CFO Employment Agreement provides for the grant of equity awards, in a form to be determined, in the amount of 325,000 shares of Common Stock to Mr. Jennings, pursuant to and subject to the terms of the Company’s Inducement Equity Incentive Plan, adopted on August 22, 2025, subject to approval by the Board and the filing of an effective registration statement on Form S-8 by the Company.</w:t>
      </w:r>
    </w:p>
    <w:p>
      <w:pPr>
        <w:spacing w:after="0" w:line="75" w:lineRule="exact"/>
        <w:rPr>
          <w:sz w:val="20"/>
          <w:szCs w:val="20"/>
          <w:color w:val="auto"/>
        </w:rPr>
      </w:pPr>
    </w:p>
    <w:p>
      <w:pPr>
        <w:ind w:right="20"/>
        <w:spacing w:after="0" w:line="145" w:lineRule="exact"/>
        <w:rPr>
          <w:sz w:val="20"/>
          <w:szCs w:val="20"/>
          <w:color w:val="auto"/>
        </w:rPr>
      </w:pPr>
      <w:r>
        <w:rPr>
          <w:rFonts w:ascii="Times New Roman" w:cs="Times New Roman" w:eastAsia="Times New Roman" w:hAnsi="Times New Roman"/>
          <w:sz w:val="12"/>
          <w:szCs w:val="12"/>
          <w:color w:val="auto"/>
        </w:rPr>
        <w:t>In the event of a Change in Control (as defined in the CFO Employment Agreement), the Company will grant to Mr. Jennings the following, subject to his continued service through the closing of such change of control transaction and effectiveness of a release of claims in favor of the Company: (i) an amount equal to nine months of his then-current CFO Base Salary, (ii) to the extent not already paid, a pro-rated CFO Annual Bonus for the calendar year in which the termination occurs, (iii) if participating in the Company’s health benefits, coverage for his insurance premium, including any amounts that the Company paid for benefits to his qualified family members, until the earlier of (A) nine months following his termination date or (B) the date on which Mr. Jennings begins full</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time employment with another company or business entity offering comparable health insurance coverage, and (iv) notwithstanding anything in the applicable option agreement or stock-based award agreement, immediate acceleration of all stock options and other stock-based awards. For purposes of the CFO Employment Agreement, a “Change in Control” means the occurrence of one or more of the following: (i) 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(ii) an Ownership Change Event or series of related Ownership Change Events (collectively, a “Transaction”)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 of the CFO Employment Agreement, the entity to which the assets of the Company were transferred, as the case may be and (iii) a date specified by the Committee following approval by the stockholders of a plan of complete liquidation or dissolution of the Company; provided, however, that a Change in Control shall be deemed not to include a transaction described in subsections (i) or (ii) of Section 2.1(h) of the CFO Employment Agreement in which a majority of the members of the board of directors of the continuing, surviving or successor entity, or parent thereof, immediately after such transaction is comprised of Incumbent Directors.</w:t>
      </w:r>
    </w:p>
    <w:p>
      <w:pPr>
        <w:spacing w:after="0" w:line="10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Mr. Jennings would be eligible to receive certain severance compensation if his employment with the Company is terminated without “Cause” of if he resigns for “Good Reason” (as those terms are defined in the CFO Employment Agreement) in the absence of a Change of Control transaction, conditioned upon effectiveness of a release of claims in favor of the Company. The severance comprises (i) nine months of his then-current annual base salary, payable in equal monthly installments over nine months following the date on which the release of claims becomes effective, (ii) if participating in the Company’s health benefits, coverage for his insurance premium, including any amounts that the Company paid for benefits to his qualified family members, until the earlier of (A) the date that is nine months from his termination date or (B) the date on which Mr. Jennings begins full-time employment with another company or business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entity offering comparable health insurance coverage, and (iii), immediate vesting of equity awards through the next scheduled vesting date for such equity awards following the date on which the release of claims becomes effective.</w:t>
      </w:r>
    </w:p>
    <w:p>
      <w:pPr>
        <w:spacing w:after="0" w:line="11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Concurrent with the CFO Employment Agreement and as a condition thereof, Mr. Jennings entered into a Proprietary Information and Inventions Agreement, which relates to the protection of confidential information of the Company and the ownership by the Company of proprietary information and patents and other intellectual property.</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Director Compensation</w:t>
      </w:r>
    </w:p>
    <w:p>
      <w:pPr>
        <w:spacing w:after="0" w:line="109"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2"/>
          <w:szCs w:val="12"/>
          <w:color w:val="auto"/>
        </w:rPr>
        <w:t>The following table sets forth the compensation earned for services performed for us as a director by each member of our Board as of December 31, 2025, other than any directors who are also our NEOs, during the year ended December 31, 2025.</w:t>
      </w:r>
    </w:p>
    <w:p>
      <w:pPr>
        <w:spacing w:after="0" w:line="99" w:lineRule="exact"/>
        <w:rPr>
          <w:sz w:val="20"/>
          <w:szCs w:val="20"/>
          <w:color w:val="auto"/>
        </w:rPr>
      </w:pPr>
    </w:p>
    <w:tbl>
      <w:tblPr>
        <w:tblLayout w:type="fixed"/>
        <w:tblInd w:w="200" w:type="dxa"/>
        <w:tblCellMar>
          <w:top w:w="0" w:type="dxa"/>
          <w:left w:w="0" w:type="dxa"/>
          <w:bottom w:w="0" w:type="dxa"/>
          <w:right w:w="0" w:type="dxa"/>
        </w:tblCellMar>
      </w:tblPr>
      <w:tr>
        <w:trPr>
          <w:trHeight w:val="115"/>
        </w:trPr>
        <w:tc>
          <w:tcPr>
            <w:tcW w:w="4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2"/>
              </w:rPr>
              <w:t>All Other</w:t>
            </w:r>
          </w:p>
        </w:tc>
        <w:tc>
          <w:tcPr>
            <w:tcW w:w="1400" w:type="dxa"/>
            <w:vAlign w:val="bottom"/>
          </w:tcPr>
          <w:p>
            <w:pPr>
              <w:spacing w:after="0"/>
              <w:rPr>
                <w:sz w:val="10"/>
                <w:szCs w:val="10"/>
                <w:color w:val="auto"/>
              </w:rPr>
            </w:pPr>
          </w:p>
        </w:tc>
      </w:tr>
      <w:tr>
        <w:trPr>
          <w:trHeight w:val="108"/>
        </w:trPr>
        <w:tc>
          <w:tcPr>
            <w:tcW w:w="4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146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3"/>
              </w:rPr>
              <w:t>Compensation</w:t>
            </w:r>
          </w:p>
        </w:tc>
        <w:tc>
          <w:tcPr>
            <w:tcW w:w="1400" w:type="dxa"/>
            <w:vAlign w:val="bottom"/>
          </w:tcPr>
          <w:p>
            <w:pPr>
              <w:jc w:val="right"/>
              <w:ind w:right="543"/>
              <w:spacing w:after="0" w:line="108" w:lineRule="exact"/>
              <w:rPr>
                <w:sz w:val="20"/>
                <w:szCs w:val="20"/>
                <w:color w:val="auto"/>
              </w:rPr>
            </w:pPr>
            <w:r>
              <w:rPr>
                <w:rFonts w:ascii="Times New Roman" w:cs="Times New Roman" w:eastAsia="Times New Roman" w:hAnsi="Times New Roman"/>
                <w:sz w:val="10"/>
                <w:szCs w:val="10"/>
                <w:b w:val="1"/>
                <w:bCs w:val="1"/>
                <w:color w:val="auto"/>
              </w:rPr>
              <w:t>Total</w:t>
            </w:r>
          </w:p>
        </w:tc>
      </w:tr>
      <w:tr>
        <w:trPr>
          <w:trHeight w:val="160"/>
        </w:trPr>
        <w:tc>
          <w:tcPr>
            <w:tcW w:w="4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Fees earned or paid in cash (S)</w:t>
            </w:r>
          </w:p>
        </w:tc>
        <w:tc>
          <w:tcPr>
            <w:tcW w:w="1380" w:type="dxa"/>
            <w:vAlign w:val="bottom"/>
          </w:tcPr>
          <w:p>
            <w:pPr>
              <w:jc w:val="center"/>
              <w:spacing w:after="0" w:line="161" w:lineRule="exact"/>
              <w:rPr>
                <w:sz w:val="20"/>
                <w:szCs w:val="20"/>
                <w:color w:val="auto"/>
              </w:rPr>
            </w:pPr>
            <w:r>
              <w:rPr>
                <w:rFonts w:ascii="Times New Roman" w:cs="Times New Roman" w:eastAsia="Times New Roman" w:hAnsi="Times New Roman"/>
                <w:sz w:val="18"/>
                <w:szCs w:val="18"/>
                <w:b w:val="1"/>
                <w:bCs w:val="1"/>
                <w:color w:val="auto"/>
                <w:w w:val="88"/>
                <w:vertAlign w:val="subscript"/>
              </w:rPr>
              <w:t>($)</w:t>
            </w:r>
            <w:r>
              <w:rPr>
                <w:rFonts w:ascii="Times New Roman" w:cs="Times New Roman" w:eastAsia="Times New Roman" w:hAnsi="Times New Roman"/>
                <w:sz w:val="6"/>
                <w:szCs w:val="6"/>
                <w:b w:val="1"/>
                <w:bCs w:val="1"/>
                <w:color w:val="auto"/>
                <w:w w:val="88"/>
              </w:rPr>
              <w:t xml:space="preserve"> (1)</w:t>
            </w: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80" w:type="dxa"/>
            <w:vAlign w:val="bottom"/>
          </w:tcPr>
          <w:p>
            <w:pPr>
              <w:spacing w:after="0"/>
              <w:rPr>
                <w:sz w:val="13"/>
                <w:szCs w:val="13"/>
                <w:color w:val="auto"/>
              </w:rPr>
            </w:pPr>
          </w:p>
        </w:tc>
        <w:tc>
          <w:tcPr>
            <w:tcW w:w="140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9"/>
        </w:trPr>
        <w:tc>
          <w:tcPr>
            <w:tcW w:w="47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color w:val="auto"/>
              </w:rPr>
              <w:t>Dr. Avi S. Katz</w:t>
            </w:r>
            <w:r>
              <w:rPr>
                <w:rFonts w:ascii="Times New Roman" w:cs="Times New Roman" w:eastAsia="Times New Roman" w:hAnsi="Times New Roman"/>
                <w:sz w:val="15"/>
                <w:szCs w:val="15"/>
                <w:color w:val="auto"/>
                <w:vertAlign w:val="superscript"/>
              </w:rPr>
              <w:t>(2)</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18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Chairman of the Board</w:t>
            </w:r>
          </w:p>
        </w:tc>
        <w:tc>
          <w:tcPr>
            <w:tcW w:w="1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65,000</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129,442</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194,442</w:t>
            </w:r>
          </w:p>
        </w:tc>
      </w:tr>
      <w:tr>
        <w:trPr>
          <w:trHeight w:val="18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 John C. Klock</w:t>
            </w:r>
            <w:r>
              <w:rPr>
                <w:rFonts w:ascii="Times New Roman" w:cs="Times New Roman" w:eastAsia="Times New Roman" w:hAnsi="Times New Roman"/>
                <w:sz w:val="15"/>
                <w:szCs w:val="15"/>
                <w:color w:val="auto"/>
                <w:vertAlign w:val="superscript"/>
              </w:rPr>
              <w:t>(3)</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66"/>
        </w:trPr>
        <w:tc>
          <w:tcPr>
            <w:tcW w:w="4720" w:type="dxa"/>
            <w:vAlign w:val="bottom"/>
          </w:tcPr>
          <w:p>
            <w:pPr>
              <w:ind w:left="120"/>
              <w:spacing w:after="0"/>
              <w:rPr>
                <w:sz w:val="20"/>
                <w:szCs w:val="20"/>
                <w:color w:val="auto"/>
              </w:rPr>
            </w:pPr>
            <w:r>
              <w:rPr>
                <w:rFonts w:ascii="Times New Roman" w:cs="Times New Roman" w:eastAsia="Times New Roman" w:hAnsi="Times New Roman"/>
                <w:sz w:val="12"/>
                <w:szCs w:val="12"/>
                <w:i w:val="1"/>
                <w:iCs w:val="1"/>
                <w:color w:val="auto"/>
              </w:rPr>
              <w:t>Director (Class III)</w:t>
            </w: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30,000</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31,221</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26,100</w:t>
            </w:r>
          </w:p>
        </w:tc>
        <w:tc>
          <w:tcPr>
            <w:tcW w:w="80" w:type="dxa"/>
            <w:vAlign w:val="bottom"/>
          </w:tcPr>
          <w:p>
            <w:pPr>
              <w:spacing w:after="0"/>
              <w:rPr>
                <w:sz w:val="14"/>
                <w:szCs w:val="14"/>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87,321</w:t>
            </w:r>
          </w:p>
        </w:tc>
      </w:tr>
      <w:tr>
        <w:trPr>
          <w:trHeight w:val="18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Ross Taylor</w:t>
            </w:r>
            <w:r>
              <w:rPr>
                <w:rFonts w:ascii="Times New Roman" w:cs="Times New Roman" w:eastAsia="Times New Roman" w:hAnsi="Times New Roman"/>
                <w:sz w:val="15"/>
                <w:szCs w:val="15"/>
                <w:color w:val="auto"/>
                <w:vertAlign w:val="superscript"/>
              </w:rPr>
              <w:t>(4)</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Director (Class II)</w:t>
            </w:r>
          </w:p>
        </w:tc>
        <w:tc>
          <w:tcPr>
            <w:tcW w:w="1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62,250</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66,938</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129,188</w:t>
            </w:r>
          </w:p>
        </w:tc>
      </w:tr>
      <w:tr>
        <w:trPr>
          <w:trHeight w:val="18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Daniel Dickson</w:t>
            </w:r>
            <w:r>
              <w:rPr>
                <w:rFonts w:ascii="Times New Roman" w:cs="Times New Roman" w:eastAsia="Times New Roman" w:hAnsi="Times New Roman"/>
                <w:sz w:val="15"/>
                <w:szCs w:val="15"/>
                <w:color w:val="auto"/>
                <w:vertAlign w:val="superscript"/>
              </w:rPr>
              <w:t>(5)</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66"/>
        </w:trPr>
        <w:tc>
          <w:tcPr>
            <w:tcW w:w="4720" w:type="dxa"/>
            <w:vAlign w:val="bottom"/>
          </w:tcPr>
          <w:p>
            <w:pPr>
              <w:ind w:left="120"/>
              <w:spacing w:after="0"/>
              <w:rPr>
                <w:sz w:val="20"/>
                <w:szCs w:val="20"/>
                <w:color w:val="auto"/>
              </w:rPr>
            </w:pPr>
            <w:r>
              <w:rPr>
                <w:rFonts w:ascii="Times New Roman" w:cs="Times New Roman" w:eastAsia="Times New Roman" w:hAnsi="Times New Roman"/>
                <w:sz w:val="12"/>
                <w:szCs w:val="12"/>
                <w:i w:val="1"/>
                <w:iCs w:val="1"/>
                <w:color w:val="auto"/>
              </w:rPr>
              <w:t>Director (Class I)</w:t>
            </w: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42,250</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49,079</w:t>
            </w:r>
          </w:p>
        </w:tc>
        <w:tc>
          <w:tcPr>
            <w:tcW w:w="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91,329</w:t>
            </w:r>
          </w:p>
        </w:tc>
      </w:tr>
      <w:tr>
        <w:trPr>
          <w:trHeight w:val="18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James Greene</w:t>
            </w:r>
            <w:r>
              <w:rPr>
                <w:rFonts w:ascii="Times New Roman" w:cs="Times New Roman" w:eastAsia="Times New Roman" w:hAnsi="Times New Roman"/>
                <w:sz w:val="15"/>
                <w:szCs w:val="15"/>
                <w:color w:val="auto"/>
                <w:vertAlign w:val="superscript"/>
              </w:rPr>
              <w:t>(6)</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Director (Class I)</w:t>
            </w:r>
          </w:p>
        </w:tc>
        <w:tc>
          <w:tcPr>
            <w:tcW w:w="1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59,500</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120,513</w:t>
            </w: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180,013</w:t>
            </w:r>
          </w:p>
        </w:tc>
      </w:tr>
      <w:tr>
        <w:trPr>
          <w:trHeight w:val="185"/>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Professor Zeev Weiner</w:t>
            </w:r>
            <w:r>
              <w:rPr>
                <w:rFonts w:ascii="Times New Roman" w:cs="Times New Roman" w:eastAsia="Times New Roman" w:hAnsi="Times New Roman"/>
                <w:sz w:val="15"/>
                <w:szCs w:val="15"/>
                <w:color w:val="auto"/>
                <w:vertAlign w:val="superscript"/>
              </w:rPr>
              <w:t>(7)</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57"/>
        </w:trPr>
        <w:tc>
          <w:tcPr>
            <w:tcW w:w="4720" w:type="dxa"/>
            <w:vAlign w:val="bottom"/>
          </w:tcPr>
          <w:p>
            <w:pPr>
              <w:ind w:left="120"/>
              <w:spacing w:after="0"/>
              <w:rPr>
                <w:sz w:val="20"/>
                <w:szCs w:val="20"/>
                <w:color w:val="auto"/>
              </w:rPr>
            </w:pPr>
            <w:r>
              <w:rPr>
                <w:rFonts w:ascii="Times New Roman" w:cs="Times New Roman" w:eastAsia="Times New Roman" w:hAnsi="Times New Roman"/>
                <w:sz w:val="12"/>
                <w:szCs w:val="12"/>
                <w:i w:val="1"/>
                <w:iCs w:val="1"/>
                <w:color w:val="auto"/>
              </w:rPr>
              <w:t>Director (Class II)</w:t>
            </w: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57,250</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49,079</w:t>
            </w:r>
          </w:p>
        </w:tc>
        <w:tc>
          <w:tcPr>
            <w:tcW w:w="80" w:type="dxa"/>
            <w:vAlign w:val="bottom"/>
          </w:tcPr>
          <w:p>
            <w:pPr>
              <w:spacing w:after="0"/>
              <w:rPr>
                <w:sz w:val="13"/>
                <w:szCs w:val="13"/>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106,329</w:t>
            </w:r>
          </w:p>
        </w:tc>
      </w:tr>
    </w:tbl>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_______________</w:t>
      </w:r>
    </w:p>
    <w:p>
      <w:pPr>
        <w:spacing w:after="0" w:line="105" w:lineRule="exact"/>
        <w:rPr>
          <w:sz w:val="20"/>
          <w:szCs w:val="20"/>
          <w:color w:val="auto"/>
        </w:rPr>
      </w:pPr>
    </w:p>
    <w:p>
      <w:pPr>
        <w:ind w:left="420" w:right="260" w:hanging="212"/>
        <w:spacing w:after="0" w:line="279" w:lineRule="auto"/>
        <w:tabs>
          <w:tab w:leader="none" w:pos="41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shares of Common Stock of the Company issuable upon vesting and exercise of stock options. The amounts in this column represent the aggregate grant date fair value computed in accordance with FASB ASC Topic 718.</w:t>
      </w:r>
    </w:p>
    <w:p>
      <w:pPr>
        <w:spacing w:after="0" w:line="3" w:lineRule="exact"/>
        <w:rPr>
          <w:rFonts w:ascii="Times New Roman" w:cs="Times New Roman" w:eastAsia="Times New Roman" w:hAnsi="Times New Roman"/>
          <w:sz w:val="12"/>
          <w:szCs w:val="12"/>
          <w:color w:val="auto"/>
        </w:rPr>
      </w:pPr>
    </w:p>
    <w:p>
      <w:pPr>
        <w:ind w:left="420" w:right="40" w:hanging="212"/>
        <w:spacing w:after="0" w:line="147" w:lineRule="exact"/>
        <w:tabs>
          <w:tab w:leader="none" w:pos="41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earned or paid in cash” consists of cash paid in the 2025 fiscal year including $30,000 for services as a director and $35,000 as consideration for serving as the Chairman of the Board. “Option Awards” consist of (i) 77,916 stock options granted on April 21, 2025 with four equal quarterly vesting starting May 15, 2025 and (ii) 8,333 stock options granted on August 11, 2025 with one-third vesting on August 15, 2026 and remaining two</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thirds vesting quarterly over two years thereafter. The stock options granted on April 21, 2025 have an exercise price of $2.00 per option and a grant date fair value of $2.00 per option. The stock options granted on August 11, 2025 have an exercise price of $5.70 per option and a grant date fair value of $6.00 per option.</w:t>
      </w:r>
    </w:p>
    <w:p>
      <w:pPr>
        <w:spacing w:after="0" w:line="25" w:lineRule="exact"/>
        <w:rPr>
          <w:rFonts w:ascii="Times New Roman" w:cs="Times New Roman" w:eastAsia="Times New Roman" w:hAnsi="Times New Roman"/>
          <w:sz w:val="12"/>
          <w:szCs w:val="12"/>
          <w:color w:val="auto"/>
        </w:rPr>
      </w:pPr>
    </w:p>
    <w:p>
      <w:pPr>
        <w:ind w:left="420" w:hanging="212"/>
        <w:spacing w:after="0" w:line="148" w:lineRule="exact"/>
        <w:tabs>
          <w:tab w:leader="none" w:pos="41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earned or paid in cash” consists of cash paid in the 2025 fiscal year including $30,000 for services as a director and $29,500 as consideration for services on special board committee. “Option Awards” consist of 8,333 stock options granted on August 11, 2025 with one-third vesting on August 15, 2026 and remaining two</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thirds vesting quarterly over two years thereafter. The stock options granted on August 11, 2025 have an exercise price of $5.70 per option and a grant date fair value of $6.00 per option. “All Other Compensation” consists of $26,100 cash paid in the 2025 fiscal year for consulting service completed in the 2024 fiscal year.</w:t>
      </w:r>
    </w:p>
    <w:p>
      <w:pPr>
        <w:spacing w:after="0" w:line="26" w:lineRule="exact"/>
        <w:rPr>
          <w:rFonts w:ascii="Times New Roman" w:cs="Times New Roman" w:eastAsia="Times New Roman" w:hAnsi="Times New Roman"/>
          <w:sz w:val="12"/>
          <w:szCs w:val="12"/>
          <w:color w:val="auto"/>
        </w:rPr>
      </w:pPr>
    </w:p>
    <w:p>
      <w:pPr>
        <w:ind w:left="420" w:right="40" w:hanging="212"/>
        <w:spacing w:after="0" w:line="147" w:lineRule="exact"/>
        <w:tabs>
          <w:tab w:leader="none" w:pos="41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earned or paid in cash” consists of cash paid in the 2025 fiscal year including $30,000 for services as a director and $32,250 as consideration for services on special board committee. “Option Awards” consist of (i) 28,333 stock options granted on April 21, 2025 with four equal quarterly vesting starting May 15, 2025 and (ii) 8,333 stock options granted on August 11, 2025 with one-third vesting on August 15, 2026 and remaining two</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thirds vesting quarterly over two years thereafter. The stock options granted on April 21, 2025 have an exercise price of $2.00 per option and a grant date fair value of $2.00 per option. The stock options granted on August 11, 2025 have an exercise price of $5.70 per option and a grant date fair value of $6.00 per option.</w:t>
      </w:r>
    </w:p>
    <w:p>
      <w:pPr>
        <w:spacing w:after="0" w:line="25" w:lineRule="exact"/>
        <w:rPr>
          <w:rFonts w:ascii="Times New Roman" w:cs="Times New Roman" w:eastAsia="Times New Roman" w:hAnsi="Times New Roman"/>
          <w:sz w:val="12"/>
          <w:szCs w:val="12"/>
          <w:color w:val="auto"/>
        </w:rPr>
      </w:pPr>
    </w:p>
    <w:p>
      <w:pPr>
        <w:ind w:left="420" w:right="40" w:hanging="212"/>
        <w:spacing w:after="0" w:line="147" w:lineRule="exact"/>
        <w:tabs>
          <w:tab w:leader="none" w:pos="41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earned or paid in cash” consists of cash paid in the 2025 fiscal year including $30,000 for services as a director and $12,250 as consideration for services on special board committee. “Option Awards” consist of (i) 14,166 stock options granted on April 21, 2025 with four equal quarterly vesting starting May 15, 2025 and (ii) 8,333 stock options granted on August 11, 2025 with one-third vesting on August 15, 2026 and remaining two</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thirds vesting quarterly over two years thereafter. The stock options granted on April 21, 2025 have an exercise price of $2.00 per option and a grant date fair value of $2.00 per option. The stock options granted on August 11, 2025 have an exercise price of $5.70 per option and a grant date fair value of $6.00 per option.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420" w:right="20" w:hanging="212"/>
        <w:spacing w:after="0" w:line="147" w:lineRule="exact"/>
        <w:tabs>
          <w:tab w:leader="none" w:pos="416"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earned or paid in cash” consists of cash paid in the 2025 fiscal year including $30,000 for services as a director and $29,500 as consideration for services on special board committee. “Option Awards” consist of (i) 70,833 stock options granted on April 21, 2025 with four equal quarterly vesting starting May 15, 2025 and (ii) 8,333 stock options granted on August 11, 2025 with one-third vesting on August 15, 2026 and remaining two</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thirds vesting quarterly over two years thereafter. The stock options granted on April 21, 2025 have an exercise price of $2.00 per option and a grant date fair value of $2.00 per option. The stock options granted on August 11, 2025 have an exercise price of $5.70 per option and a grant date fair value of $6.00 per option.</w:t>
      </w:r>
    </w:p>
    <w:p>
      <w:pPr>
        <w:spacing w:after="0" w:line="25" w:lineRule="exact"/>
        <w:rPr>
          <w:rFonts w:ascii="Times New Roman" w:cs="Times New Roman" w:eastAsia="Times New Roman" w:hAnsi="Times New Roman"/>
          <w:sz w:val="12"/>
          <w:szCs w:val="12"/>
          <w:color w:val="auto"/>
        </w:rPr>
      </w:pPr>
    </w:p>
    <w:p>
      <w:pPr>
        <w:ind w:left="420" w:right="20" w:hanging="212"/>
        <w:spacing w:after="0" w:line="147" w:lineRule="exact"/>
        <w:tabs>
          <w:tab w:leader="none" w:pos="416"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earned or paid in cash” consists of cash paid in the 2025 fiscal year including $30,000 for services as a director and $27,250 as consideration for services on special board committee. “Option Awards” consist of (i) 14,166 stock options granted on April 21, 2025 with four equal quarterly vesting starting May 15, 2025 and (ii) 8,333 stock options granted on August 11, 2025 with one-third vesting on August 15, 2026 and remaining two</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thirds vesting quarterly over two years thereafter. The stock options granted on April 21, 2025 have an exercise price of $2.00 per option and a grant date fair value of $2.00 per option. The stock options granted on August 11, 2025 have an exercise price of $5.70 per option and a grant date fair value of $6.00 per option.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Rule 10b5-1 Sales Plans</w:t>
      </w:r>
    </w:p>
    <w:p>
      <w:pPr>
        <w:spacing w:after="0" w:line="10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Emerging Growth Company Status</w:t>
      </w:r>
    </w:p>
    <w:p>
      <w:pPr>
        <w:spacing w:after="0" w:line="10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We are an “emerging growth company,” as defined in the JOBS Act. As an emerging growth company, we are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GigCapital5 Related Agreements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GigCapital5 Registration Rights Agreement</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In connection with the Business Combination, at the closing, the Company, GigAcquisitions5 and certain securityholders of GigCapital5 and QT Imaging entered into the GigCapital5 Registration Rights Agreement. In addition, pursuant to the terms of the GigCapital5 Registration Rights Agreement and subject to certain requirements and customary conditions, such securityholders may demand at any time or from time to time, that the Company file a registration statement on Form S-3 (or any similar short-form registration which may be available) to register the resale of the registrable securities of the Company held by such securityholders. The GigCapital5 Registration Rights Agreement provides these securityholders (and their permitted transferees) with the right to require the Company, at the Company’s expense, to register shares of Common Stock that they hold on customary terms, including customary demand and piggyback registration rights. The GigCapital5 Registration Rights Agreement also provides that the Company pay certain expenses of the electing holders relating to such registrations and indemnify them against certain liabilities that may arise under the Securities Act.</w:t>
      </w:r>
    </w:p>
    <w:p>
      <w:pPr>
        <w:spacing w:after="0" w:line="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Under the GigCapital5 Registration Rights Agreement, the Company will indemnify such securityholders and certain persons or entities related to such securityholders such as their officers, employees, directors, and agents against any losses or damages resulting from any untrue or alleged untrue statement, or omission or alleged omission, of a material fact in any registration statement or prospectus pursuant to which the securityholders sell their registrable securities, unless such liability arose from such securityholder’s misstatement or alleged misstatement, or omission or alleged omission, and the securityholders including registrable securities in any registration statement or prospectus will indemnify the Company and certain persons or entities related to the Company such as its officers and directors and underwriters against all losses caused by their misstatements or omissions (or alleged misstatements or omissions) in those documents.</w:t>
      </w:r>
    </w:p>
    <w:p>
      <w:pPr>
        <w:spacing w:after="0" w:line="89" w:lineRule="exact"/>
        <w:rPr>
          <w:sz w:val="20"/>
          <w:szCs w:val="20"/>
          <w:color w:val="auto"/>
        </w:rPr>
      </w:pPr>
    </w:p>
    <w:p>
      <w:pPr>
        <w:ind w:right="640"/>
        <w:spacing w:after="0" w:line="436" w:lineRule="auto"/>
        <w:rPr>
          <w:sz w:val="20"/>
          <w:szCs w:val="20"/>
          <w:color w:val="auto"/>
        </w:rPr>
      </w:pPr>
      <w:r>
        <w:rPr>
          <w:rFonts w:ascii="Times New Roman" w:cs="Times New Roman" w:eastAsia="Times New Roman" w:hAnsi="Times New Roman"/>
          <w:sz w:val="12"/>
          <w:szCs w:val="12"/>
          <w:color w:val="auto"/>
        </w:rPr>
        <w:t xml:space="preserve">The Company registered securities for resale in accordance with the terms of the GigCapital5 Registration Rights Agreement in a registration statement on Form S-1 that was declared effective by the SEC on May 22, 2024. </w:t>
      </w:r>
      <w:r>
        <w:rPr>
          <w:rFonts w:ascii="Times New Roman" w:cs="Times New Roman" w:eastAsia="Times New Roman" w:hAnsi="Times New Roman"/>
          <w:sz w:val="12"/>
          <w:szCs w:val="12"/>
          <w:b w:val="1"/>
          <w:bCs w:val="1"/>
          <w:i w:val="1"/>
          <w:iCs w:val="1"/>
          <w:color w:val="auto"/>
        </w:rPr>
        <w:t>Working Capital Notes</w:t>
      </w:r>
    </w:p>
    <w:p>
      <w:pPr>
        <w:spacing w:after="0" w:line="1" w:lineRule="exact"/>
        <w:rPr>
          <w:sz w:val="20"/>
          <w:szCs w:val="20"/>
          <w:color w:val="auto"/>
        </w:rPr>
      </w:pPr>
    </w:p>
    <w:p>
      <w:pPr>
        <w:jc w:val="both"/>
        <w:spacing w:after="0" w:line="148" w:lineRule="exact"/>
        <w:rPr>
          <w:sz w:val="20"/>
          <w:szCs w:val="20"/>
          <w:color w:val="auto"/>
        </w:rPr>
      </w:pPr>
      <w:r>
        <w:rPr>
          <w:rFonts w:ascii="Times New Roman" w:cs="Times New Roman" w:eastAsia="Times New Roman" w:hAnsi="Times New Roman"/>
          <w:sz w:val="12"/>
          <w:szCs w:val="12"/>
          <w:color w:val="auto"/>
        </w:rPr>
        <w:t>On December 13, 2023, GigCapital5 issued that certain Eleventh Amended and Restated Working Capital Note (the “</w:t>
      </w:r>
      <w:r>
        <w:rPr>
          <w:rFonts w:ascii="Times New Roman" w:cs="Times New Roman" w:eastAsia="Times New Roman" w:hAnsi="Times New Roman"/>
          <w:sz w:val="12"/>
          <w:szCs w:val="12"/>
          <w:i w:val="1"/>
          <w:iCs w:val="1"/>
          <w:color w:val="auto"/>
        </w:rPr>
        <w:t>Working Capital Note</w:t>
      </w:r>
      <w:r>
        <w:rPr>
          <w:rFonts w:ascii="Times New Roman" w:cs="Times New Roman" w:eastAsia="Times New Roman" w:hAnsi="Times New Roman"/>
          <w:sz w:val="12"/>
          <w:szCs w:val="12"/>
          <w:color w:val="auto"/>
        </w:rPr>
        <w:t>”) to GigAcquisitions5 for an aggregate principal amount of $1,500,000, the terms of which provide that GigAcquisitions5 may elect to convert the Working Capital Note, at a price of $10.00 per unit, into units identical to the private placement units issued in connection with GigCapital5’s initial public offering. In connection with the closing, (i) GigAcquisitions5 elected to partially convert (the “</w:t>
      </w:r>
      <w:r>
        <w:rPr>
          <w:rFonts w:ascii="Times New Roman" w:cs="Times New Roman" w:eastAsia="Times New Roman" w:hAnsi="Times New Roman"/>
          <w:sz w:val="12"/>
          <w:szCs w:val="12"/>
          <w:i w:val="1"/>
          <w:iCs w:val="1"/>
          <w:color w:val="auto"/>
        </w:rPr>
        <w:t>Conversion</w:t>
      </w:r>
      <w:r>
        <w:rPr>
          <w:rFonts w:ascii="Times New Roman" w:cs="Times New Roman" w:eastAsia="Times New Roman" w:hAnsi="Times New Roman"/>
          <w:sz w:val="12"/>
          <w:szCs w:val="12"/>
          <w:color w:val="auto"/>
        </w:rPr>
        <w:t>”) $943,640 in principal balance outstanding under the Working Capital Note into 94,364 shares of Common Stock and 94,364 GigAcquisitions5’s private warrants of the Company, and (ii) the Company repaid the remaining principal balance of $556,360 to GigAcquisitions5 concurrently with the Conversion, such that the Company’s obligations under the Working Capital Note have been satisfied in full. In addition, on December 13, 2023, GigAcquisitions5 made an additional, unsecured, loan in the principal amount of $66,360 to GigAcquisitions5 (the “</w:t>
      </w:r>
      <w:r>
        <w:rPr>
          <w:rFonts w:ascii="Times New Roman" w:cs="Times New Roman" w:eastAsia="Times New Roman" w:hAnsi="Times New Roman"/>
          <w:sz w:val="12"/>
          <w:szCs w:val="12"/>
          <w:i w:val="1"/>
          <w:iCs w:val="1"/>
          <w:color w:val="auto"/>
        </w:rPr>
        <w:t>Non-Convertible Working Capital Note</w:t>
      </w:r>
      <w:r>
        <w:rPr>
          <w:rFonts w:ascii="Times New Roman" w:cs="Times New Roman" w:eastAsia="Times New Roman" w:hAnsi="Times New Roman"/>
          <w:sz w:val="12"/>
          <w:szCs w:val="12"/>
          <w:color w:val="auto"/>
        </w:rPr>
        <w:t>”). The Non-Convertible Working Capital Note was issued to provide the Company with additional working capital and was not deposited into the Trust Account. On February 7, 2024, the Company amended and restated the Non-Convertible Working Capital Note (the “Second Non-Convertible Working Capital Note”) to reflect an additional principal amount of $195,887 extended by GigAcquisitions5 to the Company for a collective principal amount under the Second Non-Convertible Working Capital Note of $262,247. The Second Non-Convertible Working Capital Note was issued to provide the Company with additional working capital and was not deposited into the Trust Account. The Company issued the Second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Convertible Working Capital Note in consideration for an additional loan from GigAcquisitions5 to fund the Company’s working capital requirements.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Extension Note</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On August 28, 2023, GigCapital5 issued that certain non-convertible Eleventh Amended and Restated Promissory Note (as amended, the “</w:t>
      </w:r>
      <w:r>
        <w:rPr>
          <w:rFonts w:ascii="Times New Roman" w:cs="Times New Roman" w:eastAsia="Times New Roman" w:hAnsi="Times New Roman"/>
          <w:sz w:val="12"/>
          <w:szCs w:val="12"/>
          <w:i w:val="1"/>
          <w:iCs w:val="1"/>
          <w:color w:val="auto"/>
        </w:rPr>
        <w:t>Extension Note</w:t>
      </w:r>
      <w:r>
        <w:rPr>
          <w:rFonts w:ascii="Times New Roman" w:cs="Times New Roman" w:eastAsia="Times New Roman" w:hAnsi="Times New Roman"/>
          <w:sz w:val="12"/>
          <w:szCs w:val="12"/>
          <w:color w:val="auto"/>
        </w:rPr>
        <w:t>”) to GigAcquisitions5 for an aggregate principal amount of $1,560,000. On March 4, 2024, the Company and GigAcquisitions5 agreed to amend and restate the Extension Note to extend the date of maturity until March 4, 2025. On November 22, 2024, GigAcquisitions5 exchanged the Extension Note for the purchase of PIPE Shares and PIPE Warrants in the Private Placement.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QT Imaging Related Agreements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QTI Working Capital Note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In July 2020, QT Imaging, Inc. issued a convertible promissory note to Dr. John Klock that was amended on September 1, 2022 and November 14, 2022 (the “</w:t>
      </w:r>
      <w:r>
        <w:rPr>
          <w:rFonts w:ascii="Times New Roman" w:cs="Times New Roman" w:eastAsia="Times New Roman" w:hAnsi="Times New Roman"/>
          <w:sz w:val="12"/>
          <w:szCs w:val="12"/>
          <w:i w:val="1"/>
          <w:iCs w:val="1"/>
          <w:color w:val="auto"/>
        </w:rPr>
        <w:t>2022 Klock Note</w:t>
      </w:r>
      <w:r>
        <w:rPr>
          <w:rFonts w:ascii="Times New Roman" w:cs="Times New Roman" w:eastAsia="Times New Roman" w:hAnsi="Times New Roman"/>
          <w:sz w:val="12"/>
          <w:szCs w:val="12"/>
          <w:color w:val="auto"/>
        </w:rPr>
        <w:t>”), for a principal amount of $2,643,725. In addition, on May 3, 2023, QT Imaging, Inc. issued a promissory note (the “</w:t>
      </w:r>
      <w:r>
        <w:rPr>
          <w:rFonts w:ascii="Times New Roman" w:cs="Times New Roman" w:eastAsia="Times New Roman" w:hAnsi="Times New Roman"/>
          <w:sz w:val="12"/>
          <w:szCs w:val="12"/>
          <w:i w:val="1"/>
          <w:iCs w:val="1"/>
          <w:color w:val="auto"/>
        </w:rPr>
        <w:t>QTI Working Capital Note</w:t>
      </w:r>
      <w:r>
        <w:rPr>
          <w:rFonts w:ascii="Times New Roman" w:cs="Times New Roman" w:eastAsia="Times New Roman" w:hAnsi="Times New Roman"/>
          <w:sz w:val="12"/>
          <w:szCs w:val="12"/>
          <w:color w:val="auto"/>
        </w:rPr>
        <w:t>”) to Dr. Klock for a principal amount of $250,000. The QTI Working Capital Note was subsequently amended and restated five times on June 12, 2023 to add an additional principal amount of $100,000, August 15, 2023 to add an additional principal amount of $75,000, August 29, 2023 to add an additional principal amount of $100,000, September 12, 2023 to add an additional principal amount of $75,000, and September 15, 2023 to add an additional principal amount of $50,000, for an aggregate principal amount outstanding as of September 30, 2023 under the QTI Working Capital Note of $650,000. The QTI Working Capital Note was issued to provide the Company with additional working capital during the period prior to consummation of the business combination agreement with GigCapital5, Inc. The QTI Working Capital Note is interest-free and matures on the earlier of (i) the date on which the Company consummates the business combination with GigCapital5, Inc.; (ii) the date the Company winds up; or (iii) December 1, 2023. The QTI Working Capital Note may be prepaid without penalty. On October 26, 2023, the QTI Working Capital Note was amended to increase the outstanding principal amount to $705,000 and extend the potential maturity date from December 1, 2023 to December 31, 2023. In connection with the closing of the Business Combination, the 2022 Klock Note and the QTI Working Capital Note maturity date was extended to July 1, 2025, the Company assumed the obligations under both of these notes, and all security interests and liens in favor of Dr. Klock were removed. In connection with the issuance of the note to Lynrock Lake, on February 26, 2025, the maturity dates on both of these notes held by Dr. Klock were extended to October 21, 2027.</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QT Imaging Holdings Agreements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Dr. Klock has previously operated a medical practice as a sole proprietorship under the name QT Imaging Center (the “Practice”), where, among other things, patients can receive scans using a QT Breast Scanner. Dr. Klock retired effective December 31, 2024, and notified the Company that he is no longer operating the Practice, which since that time, has been run by a different party that is not affiliated with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Data Use and License Agreement</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April 3, 2024, the Company entered into a Data Use and License Agreement with the Practice, that conducts a medical practice and provides medical services, pursuant to which the Company was granted a license to use and disclose certain de-identified health information, as has been de-identified by the Practice in accordance with applicable law, for use in research and analytical processes in connection with the Company’s development and commercialization of the QT Ultrasound Breast Scanner-1 and other technologies.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Space Sublease</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On January 23, 2025, the Company entered into a Sublease Agreement (the “Sublease”) with the Practice, pursuant to which the Practice will sublease certain space, currently leased from Hamilton Landing Novato LLC by the Company pursuant to the “Prime Lease” (as defined in the Sublease), to the Practice for use in its operations, on a full-time and exclusive basis. The Practice shall pay to the Company a rental fee (the “Rent”) for the Subleased Space (as defined in the Sublease) in an amount equal to $5,666.00 until May 31, 2025, with such amount increasing to $5,836.24 during the period from June 1, 2025 until May 31, 2026, and subsequently $6,011.33 during the period from June 1, 2026 until May 31, 2027. The Rent shall be payable on a monthly basis, payable on the first day of each month and no later than five days thereafter, with the Rent to be pro-rated for any partial month. The parties have determined that the Rent equals the fair market value of the Subleased Space (as defined in the Sublease), without taking into account the proximity of the parties or the Subleased Space to any source, volume or value of referrals between the parties or any patient thereof. Further, the Practice shall pay when due all sales, use, personal property, leasing, excise or other fees, taxes, charges or withholdings of any kind imposed against the Company, the Practice or the Subleased Space with respect to the Subleased Space, or any related fees, receipts or earnings, including local taxes and personal property taxes. The term of the Sublease is one year unless terminated and shall auto-renew on a month-to-month basis thereafter, unless otherwise terminated. The Sublease shall expire automatically upon the termination of the Prime Lease, which is set to terminate in April 2027.</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Related Person Transactions Policy</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Board expects to adopt a related person transaction policy that will set forth the Company’s procedures for the identification, review, consideration and approval or ratification of related person transactions. The policy became effective upon approval by the Board following the consummation of the Business Combination. The Company’s audit committee will have the primary responsibility for reviewing and approving or disapproving “related party transactions.” The charter of the Company’s audit committee will provide that the audit committee will review and approve in advance any related party transaction.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related person transaction is a transaction, arrangement or relationship, or any series of similar transactions, arrangements or relationships, between the Company and related persons in which the aggregate amount involved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exceeds or may be expected to exceed $120,000 and in which a related person has or will have a direct or indirect material interest. Transactions involving compensation for services provided to the Company as an employee or director are not expected to be covered by this policy. A related person is any executive officer, director or beneficial owner of more than 5% of any class of the Company’s voting securities and any of their respective immediate family members and any entity owned or controlled by such persons.</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It is expected that 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the Company’s management must present information regarding the related person transaction to the Company’s audit committee, or, if audit committee approval would be inappropriate, to another independent committee of the Board, for review, consideration ,and approval or ratification. The presentation must include a description of, among other things, the material facts, the interests (direct and indirect) of the related persons, the benefits to the Company of the transaction and whether the transaction is on terms that are comparable to the terms available to or from (as the case may be) an unrelated third party or to or from employees generally. Under the policy, the Company will collect information that it deems reasonably necessary from each director, executive officer and, to the extent feasible, significant stockholder to enable the Company to identify any existing or potential related person transactions and to effectuate the terms of the policy. In addition, under the Code of Business Conduct and Ethics that the Company expects the Board to adopt following the closing of the Business Combination, the Company’s employees and directors will have an affirmative responsibility to disclose any transaction or relationship that reasonably could be expected to give rise to a conflict of interest. In considering related person transactions, it is expected that the Company’s audit committee, or other independent committee of the Board, will take into account the relevant available facts and circumstances including, but not limited to:</w:t>
      </w:r>
    </w:p>
    <w:p>
      <w:pPr>
        <w:spacing w:after="0" w:line="92" w:lineRule="exact"/>
        <w:rPr>
          <w:sz w:val="20"/>
          <w:szCs w:val="20"/>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risks, costs and benefits to the Company;</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on a director’s independence in the event that the related person is a director, immediate family member of a director or an entity with which a director is affiliated;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other sources for comparable services or products; and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available to or from, as the case may be, unrelated third parties or to or from employees generally.</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It is also expected that the policy will require that, in determining whether to approve, ratify or reject a related person transaction, the Company’s audit committee, or other independent committee of the Board, will consider, in light of known circumstances, whether or not the transaction is consistent with the Company’s best interests and those of the Company’s stockholders, as the Company’s audit committee, or other independent committee of the Board, determines in the good faith exercise of its discretion.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Independence</w:t>
      </w:r>
    </w:p>
    <w:p>
      <w:pPr>
        <w:spacing w:after="0" w:line="11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The Board has undertaken a review of the independence of each director. Based upon information requested from and provided by each director concerning their background, employment, and affiliations, including family relationships, the following members of the Board do not have a relationship that would interfere with the exercise of independent judgment in carrying out the responsibilities of a director and the Board has determined that each of these directors is “independent” as that term is defined under Nasdaq rules: Ross Taylor, Daniel Dickson, James Greene and Professor Zeev Weiner. The Board has also determined that director nominee, Bryan Timm, will be “independent” as that term is defined under Nasdaq rules.</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making these determinations, the Board has considered the current and prior relationships that each non-employee director has with the Company and all other facts and circumstances that the Board deems relevant in determining their independence, including the beneficial ownership of the Company’s capital stock by each non-employee director, and the transactions involving them described in the section titled “Certain Relationships and Related Transactions, and Director Independence.” Other than that Drs. Katz and Dinu are married to each other, there are no family relationships among any of the directors or executive officers of the Company.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 OWNERS AND MANAGEMENT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Security Ownership of Certain Beneficial Owners and Management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information as of June 16, 2026 regarding the beneficial ownership of shares of Common Stock of the Company by:</w:t>
      </w:r>
    </w:p>
    <w:p>
      <w:pPr>
        <w:spacing w:after="0" w:line="114" w:lineRule="exact"/>
        <w:rPr>
          <w:sz w:val="20"/>
          <w:szCs w:val="20"/>
          <w:color w:val="auto"/>
        </w:rPr>
      </w:pPr>
    </w:p>
    <w:p>
      <w:pPr>
        <w:ind w:left="320" w:hanging="112"/>
        <w:spacing w:after="0"/>
        <w:tabs>
          <w:tab w:leader="none" w:pos="3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including any “group” as defined in Section 13(d)(3) of the Exchange Act, known to be the beneficial owner of more than 5% of the Common Stock of the Company;</w:t>
      </w:r>
    </w:p>
    <w:p>
      <w:pPr>
        <w:spacing w:after="0" w:line="11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Company’s NEOs as of December 31, 2025;</w:t>
      </w:r>
    </w:p>
    <w:p>
      <w:pPr>
        <w:spacing w:after="0" w:line="11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Company’s directors and director nominees as of June 16, 2026; and</w:t>
      </w:r>
    </w:p>
    <w:p>
      <w:pPr>
        <w:spacing w:after="0" w:line="114"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Company’s NEOs as of December 31, 2025 and directors as of March 24, 2026, as a group.</w:t>
      </w:r>
    </w:p>
    <w:p>
      <w:pPr>
        <w:spacing w:after="0" w:line="11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As of June 16, 2026, there were 13,768,903 shares of our Common Stock outstanding.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otherwise indicated, the Company believes that all persons named in the table have sole voting and investment power with respect to all shares of Common Stock of the Company beneficially owned by them.</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Percentage of</w:t>
            </w:r>
          </w:p>
        </w:tc>
        <w:tc>
          <w:tcPr>
            <w:tcW w:w="0" w:type="dxa"/>
            <w:vAlign w:val="bottom"/>
          </w:tcPr>
          <w:p>
            <w:pPr>
              <w:spacing w:after="0"/>
              <w:rPr>
                <w:sz w:val="1"/>
                <w:szCs w:val="1"/>
                <w:color w:val="auto"/>
              </w:rPr>
            </w:pPr>
          </w:p>
        </w:tc>
      </w:tr>
      <w:tr>
        <w:trPr>
          <w:trHeight w:val="144"/>
        </w:trPr>
        <w:tc>
          <w:tcPr>
            <w:tcW w:w="7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Outstanding</w:t>
            </w:r>
          </w:p>
        </w:tc>
        <w:tc>
          <w:tcPr>
            <w:tcW w:w="0" w:type="dxa"/>
            <w:vAlign w:val="bottom"/>
          </w:tcPr>
          <w:p>
            <w:pPr>
              <w:spacing w:after="0"/>
              <w:rPr>
                <w:sz w:val="1"/>
                <w:szCs w:val="1"/>
                <w:color w:val="auto"/>
              </w:rPr>
            </w:pPr>
          </w:p>
        </w:tc>
      </w:tr>
      <w:tr>
        <w:trPr>
          <w:trHeight w:val="144"/>
        </w:trPr>
        <w:tc>
          <w:tcPr>
            <w:tcW w:w="7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of Common Stock</w:t>
            </w: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Common</w:t>
            </w:r>
          </w:p>
        </w:tc>
        <w:tc>
          <w:tcPr>
            <w:tcW w:w="0" w:type="dxa"/>
            <w:vAlign w:val="bottom"/>
          </w:tcPr>
          <w:p>
            <w:pPr>
              <w:spacing w:after="0"/>
              <w:rPr>
                <w:sz w:val="1"/>
                <w:szCs w:val="1"/>
                <w:color w:val="auto"/>
              </w:rPr>
            </w:pPr>
          </w:p>
        </w:tc>
      </w:tr>
      <w:tr>
        <w:trPr>
          <w:trHeight w:val="144"/>
        </w:trPr>
        <w:tc>
          <w:tcPr>
            <w:tcW w:w="77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Address of Beneficial Owner</w:t>
            </w:r>
            <w:r>
              <w:rPr>
                <w:rFonts w:ascii="Times New Roman" w:cs="Times New Roman" w:eastAsia="Times New Roman" w:hAnsi="Times New Roman"/>
                <w:sz w:val="15"/>
                <w:szCs w:val="15"/>
                <w:b w:val="1"/>
                <w:bCs w:val="1"/>
                <w:color w:val="auto"/>
                <w:vertAlign w:val="superscript"/>
              </w:rPr>
              <w:t>(1)</w:t>
            </w:r>
          </w:p>
        </w:tc>
        <w:tc>
          <w:tcPr>
            <w:tcW w:w="80" w:type="dxa"/>
            <w:vAlign w:val="bottom"/>
            <w:vMerge w:val="restart"/>
          </w:tcPr>
          <w:p>
            <w:pPr>
              <w:spacing w:after="0"/>
              <w:rPr>
                <w:sz w:val="12"/>
                <w:szCs w:val="12"/>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Beneficially</w:t>
            </w: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0" w:type="dxa"/>
            <w:vAlign w:val="bottom"/>
          </w:tcPr>
          <w:p>
            <w:pPr>
              <w:spacing w:after="0"/>
              <w:rPr>
                <w:sz w:val="1"/>
                <w:szCs w:val="1"/>
                <w:color w:val="auto"/>
              </w:rPr>
            </w:pPr>
          </w:p>
        </w:tc>
      </w:tr>
      <w:tr>
        <w:trPr>
          <w:trHeight w:val="177"/>
        </w:trPr>
        <w:tc>
          <w:tcPr>
            <w:tcW w:w="7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Owned</w:t>
            </w:r>
          </w:p>
        </w:tc>
        <w:tc>
          <w:tcPr>
            <w:tcW w:w="8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169"/>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Directors and Named Executive Officers:</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20"/>
                <w:szCs w:val="20"/>
                <w:color w:val="auto"/>
                <w:vertAlign w:val="subscript"/>
              </w:rPr>
              <w:t>Dr. Avi Katz</w:t>
            </w:r>
            <w:r>
              <w:rPr>
                <w:rFonts w:ascii="Times New Roman" w:cs="Times New Roman" w:eastAsia="Times New Roman" w:hAnsi="Times New Roman"/>
                <w:sz w:val="7"/>
                <w:szCs w:val="7"/>
                <w:color w:val="auto"/>
              </w:rPr>
              <w:t xml:space="preserve"> (3)(4)(5)(6)</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1,006,983</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180"/>
        </w:trPr>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xml:space="preserve">Dr. John Klock </w:t>
            </w:r>
            <w:r>
              <w:rPr>
                <w:rFonts w:ascii="Times New Roman" w:cs="Times New Roman" w:eastAsia="Times New Roman" w:hAnsi="Times New Roman"/>
                <w:sz w:val="15"/>
                <w:szCs w:val="15"/>
                <w:color w:val="auto"/>
                <w:vertAlign w:val="superscript"/>
              </w:rPr>
              <w:t>(7)(8)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976,017</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180"/>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xml:space="preserve">Dr. Raluca Dinu </w:t>
            </w:r>
            <w:r>
              <w:rPr>
                <w:rFonts w:ascii="Times New Roman" w:cs="Times New Roman" w:eastAsia="Times New Roman" w:hAnsi="Times New Roman"/>
                <w:sz w:val="15"/>
                <w:szCs w:val="15"/>
                <w:color w:val="auto"/>
                <w:vertAlign w:val="superscript"/>
              </w:rPr>
              <w:t>(4)(9)</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1,162,438</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80"/>
        </w:trPr>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xml:space="preserve">Ross Taylor </w:t>
            </w:r>
            <w:r>
              <w:rPr>
                <w:rFonts w:ascii="Times New Roman" w:cs="Times New Roman" w:eastAsia="Times New Roman" w:hAnsi="Times New Roman"/>
                <w:sz w:val="15"/>
                <w:szCs w:val="15"/>
                <w:color w:val="auto"/>
                <w:vertAlign w:val="superscript"/>
              </w:rPr>
              <w:t>(4)(10)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158,013</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80"/>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xml:space="preserve">Professor Zeev Weiner </w:t>
            </w:r>
            <w:r>
              <w:rPr>
                <w:rFonts w:ascii="Times New Roman" w:cs="Times New Roman" w:eastAsia="Times New Roman" w:hAnsi="Times New Roman"/>
                <w:sz w:val="15"/>
                <w:szCs w:val="15"/>
                <w:color w:val="auto"/>
                <w:vertAlign w:val="superscript"/>
              </w:rPr>
              <w:t>(4)(11)</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86,825</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xml:space="preserve">Daniel Dickson </w:t>
            </w:r>
            <w:r>
              <w:rPr>
                <w:rFonts w:ascii="Times New Roman" w:cs="Times New Roman" w:eastAsia="Times New Roman" w:hAnsi="Times New Roman"/>
                <w:sz w:val="15"/>
                <w:szCs w:val="15"/>
                <w:color w:val="auto"/>
                <w:vertAlign w:val="superscript"/>
              </w:rPr>
              <w:t>(4)(12)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86,825</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xml:space="preserve">James Greene </w:t>
            </w:r>
            <w:r>
              <w:rPr>
                <w:rFonts w:ascii="Times New Roman" w:cs="Times New Roman" w:eastAsia="Times New Roman" w:hAnsi="Times New Roman"/>
                <w:sz w:val="15"/>
                <w:szCs w:val="15"/>
                <w:color w:val="auto"/>
                <w:vertAlign w:val="superscript"/>
              </w:rPr>
              <w:t>(4)(13)(14)</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438,243</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80"/>
        </w:trPr>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xml:space="preserve">Jay Jennings </w:t>
            </w:r>
            <w:r>
              <w:rPr>
                <w:rFonts w:ascii="Times New Roman" w:cs="Times New Roman" w:eastAsia="Times New Roman" w:hAnsi="Times New Roman"/>
                <w:sz w:val="15"/>
                <w:szCs w:val="15"/>
                <w:color w:val="auto"/>
                <w:vertAlign w:val="superscript"/>
              </w:rPr>
              <w:t>(15)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36,111</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Bryan Timm</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i w:val="1"/>
                <w:iCs w:val="1"/>
                <w:color w:val="auto"/>
              </w:rPr>
              <w:t>All Directors, Director Nominees and Executive Officers of the Company as a Group (9 Individuals)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3,951,455</w:t>
            </w: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0" w:type="dxa"/>
            <w:vAlign w:val="bottom"/>
          </w:tcPr>
          <w:p>
            <w:pPr>
              <w:spacing w:after="0"/>
              <w:rPr>
                <w:sz w:val="1"/>
                <w:szCs w:val="1"/>
                <w:color w:val="auto"/>
              </w:rPr>
            </w:pPr>
          </w:p>
        </w:tc>
      </w:tr>
      <w:tr>
        <w:trPr>
          <w:trHeight w:val="171"/>
        </w:trPr>
        <w:tc>
          <w:tcPr>
            <w:tcW w:w="7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Five Percent or Greater Holders:</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21"/>
                <w:szCs w:val="21"/>
                <w:color w:val="auto"/>
                <w:vertAlign w:val="subscript"/>
              </w:rPr>
              <w:t>Dr. Avi Katz</w:t>
            </w:r>
            <w:r>
              <w:rPr>
                <w:rFonts w:ascii="Times New Roman" w:cs="Times New Roman" w:eastAsia="Times New Roman" w:hAnsi="Times New Roman"/>
                <w:sz w:val="7"/>
                <w:szCs w:val="7"/>
                <w:color w:val="auto"/>
              </w:rPr>
              <w:t xml:space="preserve"> (3)(4)(5)(6)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1,006,983</w:t>
            </w: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180"/>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xml:space="preserve">Dr. Raluca Dinu </w:t>
            </w:r>
            <w:r>
              <w:rPr>
                <w:rFonts w:ascii="Times New Roman" w:cs="Times New Roman" w:eastAsia="Times New Roman" w:hAnsi="Times New Roman"/>
                <w:sz w:val="15"/>
                <w:szCs w:val="15"/>
                <w:color w:val="auto"/>
                <w:vertAlign w:val="superscript"/>
              </w:rPr>
              <w:t>(4)(9)</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1,162,438</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80"/>
        </w:trPr>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John C. Klock, Jr. and Cynthia L. Klock Trust Dated 7/27/07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960,380</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180"/>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xml:space="preserve">Lynrock Lake Master Fund LP </w:t>
            </w:r>
            <w:r>
              <w:rPr>
                <w:rFonts w:ascii="Times New Roman" w:cs="Times New Roman" w:eastAsia="Times New Roman" w:hAnsi="Times New Roman"/>
                <w:sz w:val="15"/>
                <w:szCs w:val="15"/>
                <w:color w:val="auto"/>
                <w:vertAlign w:val="superscript"/>
              </w:rPr>
              <w:t>(15)</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1,154,586</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80"/>
        </w:trPr>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xml:space="preserve">Alyeska Master Fund, L.P. </w:t>
            </w:r>
            <w:r>
              <w:rPr>
                <w:rFonts w:ascii="Times New Roman" w:cs="Times New Roman" w:eastAsia="Times New Roman" w:hAnsi="Times New Roman"/>
                <w:sz w:val="15"/>
                <w:szCs w:val="15"/>
                <w:color w:val="auto"/>
                <w:vertAlign w:val="superscript"/>
              </w:rPr>
              <w:t>(16)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1,262,131</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17" w:lineRule="exact"/>
        <w:rPr>
          <w:sz w:val="20"/>
          <w:szCs w:val="20"/>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Less than 1%.</w:t>
      </w:r>
    </w:p>
    <w:p>
      <w:pPr>
        <w:spacing w:after="0" w:line="6" w:lineRule="exact"/>
        <w:rPr>
          <w:sz w:val="20"/>
          <w:szCs w:val="20"/>
          <w:color w:val="auto"/>
        </w:rPr>
      </w:pPr>
    </w:p>
    <w:p>
      <w:pPr>
        <w:ind w:left="480" w:hanging="272"/>
        <w:spacing w:after="0"/>
        <w:tabs>
          <w:tab w:leader="none" w:pos="4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indicated, the business address of each of the individuals is 3 Hamilton Landing, Suite 160, Novato, CA 94949.</w:t>
      </w:r>
    </w:p>
    <w:p>
      <w:pPr>
        <w:spacing w:after="0" w:line="6" w:lineRule="exact"/>
        <w:rPr>
          <w:rFonts w:ascii="Times New Roman" w:cs="Times New Roman" w:eastAsia="Times New Roman" w:hAnsi="Times New Roman"/>
          <w:sz w:val="12"/>
          <w:szCs w:val="12"/>
          <w:color w:val="auto"/>
        </w:rPr>
      </w:pPr>
    </w:p>
    <w:p>
      <w:pPr>
        <w:ind w:left="500" w:hanging="292"/>
        <w:spacing w:after="0"/>
        <w:tabs>
          <w:tab w:leader="none" w:pos="5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13,768,903 shares of Common Stock of the Company outstanding as of June 16, 2026.</w:t>
      </w:r>
    </w:p>
    <w:p>
      <w:pPr>
        <w:spacing w:after="0" w:line="6" w:lineRule="exact"/>
        <w:rPr>
          <w:rFonts w:ascii="Times New Roman" w:cs="Times New Roman" w:eastAsia="Times New Roman" w:hAnsi="Times New Roman"/>
          <w:sz w:val="12"/>
          <w:szCs w:val="12"/>
          <w:color w:val="auto"/>
        </w:rPr>
      </w:pPr>
    </w:p>
    <w:p>
      <w:pPr>
        <w:ind w:left="500" w:hanging="292"/>
        <w:spacing w:after="0"/>
        <w:tabs>
          <w:tab w:leader="none" w:pos="5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address for this person is 1731 Embarcadero Road, Suite 200, Palo Alto, California 94303.</w:t>
      </w:r>
    </w:p>
    <w:p>
      <w:pPr>
        <w:spacing w:after="0" w:line="6" w:lineRule="exact"/>
        <w:rPr>
          <w:rFonts w:ascii="Times New Roman" w:cs="Times New Roman" w:eastAsia="Times New Roman" w:hAnsi="Times New Roman"/>
          <w:sz w:val="12"/>
          <w:szCs w:val="12"/>
          <w:color w:val="auto"/>
        </w:rPr>
      </w:pPr>
    </w:p>
    <w:p>
      <w:pPr>
        <w:ind w:left="500" w:hanging="292"/>
        <w:spacing w:after="0"/>
        <w:tabs>
          <w:tab w:leader="none" w:pos="5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shares of Common Stock underlying warrants that are exercisable within 60 days.</w:t>
      </w:r>
    </w:p>
    <w:p>
      <w:pPr>
        <w:spacing w:after="0" w:line="6" w:lineRule="exact"/>
        <w:rPr>
          <w:rFonts w:ascii="Times New Roman" w:cs="Times New Roman" w:eastAsia="Times New Roman" w:hAnsi="Times New Roman"/>
          <w:sz w:val="12"/>
          <w:szCs w:val="12"/>
          <w:color w:val="auto"/>
        </w:rPr>
      </w:pPr>
    </w:p>
    <w:p>
      <w:pPr>
        <w:ind w:left="500" w:hanging="292"/>
        <w:spacing w:after="0"/>
        <w:tabs>
          <w:tab w:leader="none" w:pos="5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91,803 shares of Common Stock underlying stock options that are exercisable and 875 shares of Common Stock underlying restricted stock units that will vest within 60 days.</w:t>
      </w:r>
    </w:p>
    <w:p>
      <w:pPr>
        <w:spacing w:after="0" w:line="6" w:lineRule="exact"/>
        <w:rPr>
          <w:rFonts w:ascii="Times New Roman" w:cs="Times New Roman" w:eastAsia="Times New Roman" w:hAnsi="Times New Roman"/>
          <w:sz w:val="12"/>
          <w:szCs w:val="12"/>
          <w:color w:val="auto"/>
        </w:rPr>
      </w:pPr>
    </w:p>
    <w:p>
      <w:pPr>
        <w:ind w:left="500" w:hanging="292"/>
        <w:spacing w:after="0"/>
        <w:tabs>
          <w:tab w:leader="none" w:pos="5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warrants to purchase 499,978 shares of Common Stock that are exercisable within 60 days.</w:t>
      </w:r>
    </w:p>
    <w:p>
      <w:pPr>
        <w:spacing w:after="0" w:line="6" w:lineRule="exact"/>
        <w:rPr>
          <w:rFonts w:ascii="Times New Roman" w:cs="Times New Roman" w:eastAsia="Times New Roman" w:hAnsi="Times New Roman"/>
          <w:sz w:val="12"/>
          <w:szCs w:val="12"/>
          <w:color w:val="auto"/>
        </w:rPr>
      </w:pPr>
    </w:p>
    <w:p>
      <w:pPr>
        <w:ind w:left="500" w:hanging="292"/>
        <w:spacing w:after="0"/>
        <w:tabs>
          <w:tab w:leader="none" w:pos="5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held by John C. Klock, Jr. and Cynthia L. Klock Trust Dated 7/27/07.</w:t>
      </w:r>
    </w:p>
    <w:p>
      <w:pPr>
        <w:spacing w:after="0" w:line="6" w:lineRule="exact"/>
        <w:rPr>
          <w:rFonts w:ascii="Times New Roman" w:cs="Times New Roman" w:eastAsia="Times New Roman" w:hAnsi="Times New Roman"/>
          <w:sz w:val="12"/>
          <w:szCs w:val="12"/>
          <w:color w:val="auto"/>
        </w:rPr>
      </w:pPr>
    </w:p>
    <w:p>
      <w:pPr>
        <w:ind w:left="500" w:hanging="292"/>
        <w:spacing w:after="0"/>
        <w:tabs>
          <w:tab w:leader="none" w:pos="5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13,887 shares of Common Stock underlying stock options exercisable within 60 days and 875 shares of Common Stock underlying restricted stock units that will vest within 60 days.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480" w:hanging="272"/>
        <w:spacing w:after="0" w:line="259" w:lineRule="auto"/>
        <w:tabs>
          <w:tab w:leader="none" w:pos="48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451,763 shares of Common Stock underlying warrants and 257,080 shares of Common Stock underlying stock options that are exercisable within 60 days and 32,125 shares of Common Stock underlying restricted stock units that will vest within 60 days.</w:t>
      </w:r>
    </w:p>
    <w:p>
      <w:pPr>
        <w:spacing w:after="0" w:line="1" w:lineRule="exact"/>
        <w:rPr>
          <w:rFonts w:ascii="Times New Roman" w:cs="Times New Roman" w:eastAsia="Times New Roman" w:hAnsi="Times New Roman"/>
          <w:sz w:val="12"/>
          <w:szCs w:val="12"/>
          <w:color w:val="auto"/>
        </w:rPr>
      </w:pPr>
    </w:p>
    <w:p>
      <w:pPr>
        <w:ind w:left="480" w:right="20" w:hanging="272"/>
        <w:spacing w:after="0" w:line="250" w:lineRule="auto"/>
        <w:tabs>
          <w:tab w:leader="none" w:pos="445"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56,965 shares of Common Stock underlying warrants and 42,220 shares of Common Stock underlying stock options that are exercisable within 60 days and 875 shares of Common Stock underlying restricted stock units that will vest within 60 days.</w:t>
      </w:r>
    </w:p>
    <w:p>
      <w:pPr>
        <w:ind w:left="480" w:hanging="272"/>
        <w:spacing w:after="0" w:line="250" w:lineRule="auto"/>
        <w:tabs>
          <w:tab w:leader="none" w:pos="543"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28,483 shares of Common Stock underlying warrants and 4,999 shares of Common Stock underlying options that are exercisable within 60 days and 875 shares of Common Stock underlying restricted stock units that will vest within 60 days.</w:t>
      </w:r>
    </w:p>
    <w:p>
      <w:pPr>
        <w:ind w:left="480" w:hanging="272"/>
        <w:spacing w:after="0" w:line="250" w:lineRule="auto"/>
        <w:tabs>
          <w:tab w:leader="none" w:pos="445"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28,483 shares of Common Stock underlying warrants and 28,053 shares of Common Stock underlying options that are exercisable within 60 days and 875 shares of Common Stock underlying restricted stock units that will vest within 60 days.</w:t>
      </w:r>
    </w:p>
    <w:p>
      <w:pPr>
        <w:jc w:val="both"/>
        <w:ind w:left="480" w:hanging="272"/>
        <w:spacing w:after="0" w:line="250" w:lineRule="auto"/>
        <w:tabs>
          <w:tab w:leader="none" w:pos="539"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210,236 shares of Common Stock held by Sky D Ventures, LLC and 142,412 shares of Common Stock underlying warrants held by Sky D Ventures, LLC that are exercisable within 60 days. The securities held by Sky D Ventures, LLC are beneficially owned by James Greene, a member of our Board. Mr. Greene is also the Managing Member of Sky D Ventures, LLC, who has sole voting and dispositive power over the securities held by Sky D Ventures, LLC.</w:t>
      </w:r>
    </w:p>
    <w:p>
      <w:pPr>
        <w:ind w:left="520" w:hanging="312"/>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84,720 shares of Common Stock underlying stock options that are exercisable within 60 days and 875 shares of Common Stock underlying restricted stock units that will vest within 60 days.</w:t>
      </w:r>
    </w:p>
    <w:p>
      <w:pPr>
        <w:spacing w:after="0" w:line="6" w:lineRule="exact"/>
        <w:rPr>
          <w:rFonts w:ascii="Times New Roman" w:cs="Times New Roman" w:eastAsia="Times New Roman" w:hAnsi="Times New Roman"/>
          <w:sz w:val="12"/>
          <w:szCs w:val="12"/>
          <w:color w:val="auto"/>
        </w:rPr>
      </w:pPr>
    </w:p>
    <w:p>
      <w:pPr>
        <w:ind w:left="560" w:hanging="352"/>
        <w:spacing w:after="0"/>
        <w:tabs>
          <w:tab w:leader="none" w:pos="5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36,111 shares of common stock underlying stock options that are exercisable within 60 days.</w:t>
      </w:r>
    </w:p>
    <w:p>
      <w:pPr>
        <w:spacing w:after="0" w:line="6" w:lineRule="exact"/>
        <w:rPr>
          <w:rFonts w:ascii="Times New Roman" w:cs="Times New Roman" w:eastAsia="Times New Roman" w:hAnsi="Times New Roman"/>
          <w:sz w:val="12"/>
          <w:szCs w:val="12"/>
          <w:color w:val="auto"/>
        </w:rPr>
      </w:pPr>
    </w:p>
    <w:p>
      <w:pPr>
        <w:jc w:val="both"/>
        <w:ind w:left="480" w:hanging="272"/>
        <w:spacing w:after="0" w:line="250" w:lineRule="auto"/>
        <w:tabs>
          <w:tab w:leader="none" w:pos="53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1,154,586 shares of Common Stock pursuant to a Schedule 13G/A filed with the SEC on February 17, 2026. Shares held by Lynrock Lake Master Fund LP. Lynrock Lake LP is the investment manager of Lynrock Lake Master Fund LP, and pursuant to an investment management agreement, Lynrock Lake LP has been delegated full voting and investment power over the shares held by Lynrock Lake Master Fund LP. Cynthia Paul, the Chief Investment Officer of Lynrock Lake LP and Sole Member of Lynrock Lake Partners LLC, the general partner of Lynrock Lake LP, may be deemed to exercise voting and investment power over the shares held by Lynrock Lake Master Fund LP. Pursuant to the terms of the Subscription Warrant issued to Lynrock Lake Master Fund LP, Lynrock Lake Master Fund LP has elected to not have the right to exercise such Subscription Warrant, to the extent that after giving effect to such exercise, it would beneficially own in excess of 4.9% of the shares of Common Stock issued and outstanding immediately after giving effect to such exercise. Pursuant to the terms of the Lynrock Lake Warrant held by Lynrock Lake Master Fund LP, Lynrock Lake Master Fund LP may not exercise such Lynrock Lake Warrant to the extent that after giving effect to such exercise, it would beneficially own in excess of 4.99% of the shares of Common Stock issued and outstanding immediately after giving effect to such exercise (which percentage may be decreased upon notice by Lynrock Lake Master Fund LP or increased to 9.99% upon 61 days’ notice by Lynrock Lake Master Fund LP). The address of the foregoing entities is c/o Lynrock Lake LP, 2 International Drive, Suite 130, Rye Brook, New York 10573.</w:t>
      </w:r>
    </w:p>
    <w:p>
      <w:pPr>
        <w:spacing w:after="0" w:line="2" w:lineRule="exact"/>
        <w:rPr>
          <w:rFonts w:ascii="Times New Roman" w:cs="Times New Roman" w:eastAsia="Times New Roman" w:hAnsi="Times New Roman"/>
          <w:sz w:val="12"/>
          <w:szCs w:val="12"/>
          <w:color w:val="auto"/>
        </w:rPr>
      </w:pPr>
    </w:p>
    <w:p>
      <w:pPr>
        <w:jc w:val="both"/>
        <w:ind w:left="480" w:hanging="272"/>
        <w:spacing w:after="0" w:line="252" w:lineRule="auto"/>
        <w:tabs>
          <w:tab w:leader="none" w:pos="444"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upon a Schedule 13G filed with the SEC on February 17, 2026, consists of (a) 670,684 shares of Common Stock, (b) Pre-Funded Warrants to purchase 440,434 shares of Common Stock upon the exercise of such Pre-Funded Warrants, and (c) Subscription Warrants to purchase 151,013 shares of Common Stock upon the exercise of such Subscription Warrants, which is the maximum that can be exercised as of March 24, 2026 as Alyeska Master Fund, L.P. has elected to not have the right to exercise such Subscription Warrant to the extent that after giving effect to such exercise, it would beneficially own in excess of 9.99% of the shares of Common Stock issued and outstanding immediately after giving effect to such exercise.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Securities Authorized for Issuance Under Equity Compensation Plans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information as of December 31, 2025 regarding equity compensation plans under which the Company’s equity securities are authorized for issuance: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Number of Securities</w:t>
            </w:r>
          </w:p>
        </w:tc>
      </w:tr>
      <w:tr>
        <w:trPr>
          <w:trHeight w:val="144"/>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 Securities to</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Weighted-Average</w:t>
            </w:r>
          </w:p>
        </w:tc>
        <w:tc>
          <w:tcPr>
            <w:tcW w:w="1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Remaining Available for</w:t>
            </w:r>
          </w:p>
        </w:tc>
      </w:tr>
      <w:tr>
        <w:trPr>
          <w:trHeight w:val="144"/>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be Issued upon Exercise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Exercise Price of</w:t>
            </w:r>
          </w:p>
        </w:tc>
        <w:tc>
          <w:tcPr>
            <w:tcW w:w="1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Future Issuance under</w:t>
            </w:r>
          </w:p>
        </w:tc>
      </w:tr>
      <w:tr>
        <w:trPr>
          <w:trHeight w:val="168"/>
        </w:trPr>
        <w:tc>
          <w:tcPr>
            <w:tcW w:w="4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Plan Category</w:t>
            </w:r>
          </w:p>
        </w:tc>
        <w:tc>
          <w:tcPr>
            <w:tcW w:w="1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Outstanding Options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Outstanding Options</w:t>
            </w:r>
          </w:p>
        </w:tc>
        <w:tc>
          <w:tcPr>
            <w:tcW w:w="1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 Compensation Plans</w:t>
            </w:r>
          </w:p>
        </w:tc>
      </w:tr>
      <w:tr>
        <w:trPr>
          <w:trHeight w:val="169"/>
        </w:trPr>
        <w:tc>
          <w:tcPr>
            <w:tcW w:w="4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r>
      <w:tr>
        <w:trPr>
          <w:trHeight w:val="151"/>
        </w:trPr>
        <w:tc>
          <w:tcPr>
            <w:tcW w:w="4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Equity compensation</w:t>
            </w: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44"/>
        </w:trPr>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plans approved by</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64"/>
        </w:trPr>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security holders</w:t>
            </w: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1,116,000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83,276</w:t>
            </w:r>
          </w:p>
        </w:tc>
      </w:tr>
      <w:tr>
        <w:trPr>
          <w:trHeight w:val="160"/>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compensation</w:t>
            </w: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44"/>
        </w:trPr>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plans not approved</w:t>
            </w: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r>
      <w:tr>
        <w:trPr>
          <w:trHeight w:val="164"/>
        </w:trPr>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by security holders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108,000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w:t>
            </w:r>
          </w:p>
        </w:tc>
        <w:tc>
          <w:tcPr>
            <w:tcW w:w="8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4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1,224,000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83,276</w:t>
            </w: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color w:val="auto"/>
        </w:rPr>
        <w:t>On August 22, 2025, the Company adopted the Equity Incentive Plan (the “</w:t>
      </w:r>
      <w:r>
        <w:rPr>
          <w:rFonts w:ascii="Times New Roman" w:cs="Times New Roman" w:eastAsia="Times New Roman" w:hAnsi="Times New Roman"/>
          <w:sz w:val="12"/>
          <w:szCs w:val="12"/>
          <w:i w:val="1"/>
          <w:iCs w:val="1"/>
          <w:color w:val="auto"/>
        </w:rPr>
        <w:t>Inducement EIP</w:t>
      </w:r>
      <w:r>
        <w:rPr>
          <w:rFonts w:ascii="Times New Roman" w:cs="Times New Roman" w:eastAsia="Times New Roman" w:hAnsi="Times New Roman"/>
          <w:sz w:val="12"/>
          <w:szCs w:val="12"/>
          <w:color w:val="auto"/>
        </w:rPr>
        <w:t>”), which authorized 108,333 shares of Common Stock. On November 14, 2025, the Company authorized an additional 220,000 shares of Common Stock under the Inducement EIP. RSUs to purchase 220,000 shares of Common Stock at a weighted-average fair value of $6.25 per share, were issued during the year ended December 31, 2025.</w:t>
      </w:r>
    </w:p>
    <w:p>
      <w:pPr>
        <w:spacing w:after="0" w:line="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purpose of the Inducement EIP is to advance the interests of the Company’s stockholders by enhancing the Company’s ability to attract, retain and motivate Eligible Persons who are expected to make important contributions to the Company with an inducement material for such Eligible Persons to enter into employment with the Company and by providing such persons with equity ownership opportunities and incentives that are intended to better align the interests of such Eligible Persons with those of the Company’s stockholders. Similar to the Plan, the Inducement EIP seeks to achieve this purpose by providing for Awards to Eligible Persons in the form of Nonstatutory Stock Options, Stock Appreciation Rights, Restricted Stock Awards, Restricted Stock Units, Performance Shares, Performance Units, Cash-Based Awards and Other Stock-Based Awards.</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It is expressly intended that approval of the Company’s stockholders is not required as a condition to the effectiveness of the Inducement EIP as permitted by the Inducement Listing Rule, and the Inducement EIP’s provisions shall be interpreted in a manner consistent with such intent for all purposes.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16(a) BENEFICIAL OWNERSHIP REPORTING COMPLIANCE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Delinquent Section 16(a) Reports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Section 16(a) of the Exchange Act requires our management team and persons who beneficially own more than ten percent of our Common Stock to file reports of ownership and changes in ownership with the SEC. These reporting persons are also required to furnish us with copies of all Section 16(a) forms they file. Based solely upon a review of such forms, we believe that during the fiscal year ended December 31, 2025, none of our directors and executive officers were delinquent.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STOCKHOLDER PROPOSALS AND NOMINATIONS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 BE PRESENTED AT 2027 ANNUAL MEETING</w:t>
      </w:r>
    </w:p>
    <w:p>
      <w:pPr>
        <w:spacing w:after="0" w:line="6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SEC rules permit stockholders to submit proposals for inclusion in our 2027 proxy statement by satisfying the requirements set forth in Rule 14a-8 of the Exchange Act. These stockholder proposals must be submitted, along with proof of ownership of our stock in accordance with Rule 14a-8(b)(2), to the Secretary at our principal executive offices, located at Three Hamilton Landing, Suite 160, Novato, California 94949, no later than the close of business on March 4, 2027 (120 days prior to the anniversary of this year’s mailing date). If the 2027 annual meeting is held more than 30 days before or after the first anniversary of the date of the Annual Meeting, then the deadline is a reasonable time before the Company begins to print and send its proxy materials for the 2027 annual meeting, which we deem to be the later of 90 days prior to the 2027 annual meeting or 10 days following the Company’s first public announcement of the date of such meeting. Failure to deliver a proposal in accordance with these procedures may result in it being deemed not timely received.</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Submitting a stockholder proposal does not guarantee that we will include it in our 2027 proxy statement. Stockholder proposals that do not meet the requirements set forth above may be excluded from our 2027 proxy statement as provided under Rule 14a-8. Our Nominating and Corporate Governance Committee reviews all stockholder proposals submitted for inclusion in our proxy statements and makes recommendations to the Board for actions on such proposals. For information on qualifications of director nominees considered by our Nominating and Corporate Governance committee, see the “Corporate Governance” section of this Proxy Statement.</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Stockholders who intend to present a director nomination or other proposal at an annual meeting must comply with the advance notice provisions contained in our Bylaws, which include delivering notice of such nomination or other proposal to our Secretary at our principal executive offices no earlier than 120 and no later than 90 days prior to the first anniversary of the prior year’s annual meeting as first specified in the Company’s notice of meeting (without regard to any postponements or adjournments of such meeting after the notice was first given). Based on the Annual Meeting date of July 28, 2026, a stockholder’s notice will be considered timely for the 2027 annual meeting if it is received by our Secretary no earlier than March 30, 2027, and no later than April 29, 2027. However, if the 2027 annual meeting is held more than 30 days before or after the first anniversary of the Annual Meeting, such stockholder’s notice must be delivered to our Secretary by the later of 90 days prior to the 2026 annual meeting or 10 days following the Company’s first public announcement of the date of such meeting. The stockholder’s notice must satisfy the information requirements of Section 3.2 of our Bylaws with respect to each director nomination and Section 2.7 of our Bylaws with respect to each other proposal that such stockholder intends to present at the 2026 annual meeting.</w:t>
      </w:r>
    </w:p>
    <w:p>
      <w:pPr>
        <w:spacing w:after="0" w:line="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to satisfying the foregoing advance notice requirements under our Bylaws, to comply with the universal proxy rules, the notice given by any stockholder who intends to solicit proxies in support of director nominees other than the Company’s nominees must comply with any additional requirements of Rule 14a-19 under the Exchange Act.</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will not entertain any nominations or other proposals at an annual meeting that do not satisfy the advance notice requirements set forth in our Bylaws or the requirements established by the SEC. For nominations or other proposals that are properly submitted and timely filed, if the stockholder does not also comply with the requirements of Rule 14a-4(c)(2) under the Exchange Act, we may exercise discretionary voting under proxies that we solicit to vote in accordance with our best judgment on any such stockholder proposal, provided that we include in our proxy statement advice on the nature of the proposal and how we intend to exercise our voting discretion. To make a submission or request a copy of our Bylaws, stockholders should contact our Secretary at our principal executive offices. Our Bylaws are also available online through the SEC’s EDGAR website as Exhibit 3.2 to our Annual Report on Form 10-K filed with the SEC on March 25, 2026. We strongly encourage stockholders to seek advice from knowledgeable counsel before submitting a nomination or other proposal.</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TRANSACTION OF OTHER BUSINESS</w:t>
      </w:r>
    </w:p>
    <w:p>
      <w:pPr>
        <w:spacing w:after="0" w:line="8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At the date of this Proxy Statement, the Board knows of no other business that will be conducted at this Annual Meeting other than as described in this Proxy Statement. If any other matter or matters are properly brought before the meeting or any adjournment or postponement of the meeting, it is the intention of the persons named in the accompanying proxy to vote the proxy on such matters in accordance with their best judgment.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STOCKHOLDERS SHARING THE SAME LAST NAME AND ADDRESS</w:t>
      </w:r>
    </w:p>
    <w:p>
      <w:pPr>
        <w:spacing w:after="0" w:line="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To reduce the expense of delivering duplicate proxy materials to stockholders who may have more than one account holding QT Imaging stock but sharing the same address, we have adopted a procedure approved by the SEC called “householding.” Under this procedure, certain stockholders of record who have the same address and last name will receive only one copy of our proxy materials until such time as one or more of these stockholders notifies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If you receive a single set of proxy materials as a result of householding, and you would like to have separate copies of our proxy materials mailed to you, please submit a request to our Secretary at our principal executive offices, or contact Sodali, our proxy solicitor, at (800) 662-5200 or by emailing </w:t>
      </w:r>
      <w:r>
        <w:rPr>
          <w:rFonts w:ascii="Times New Roman" w:cs="Times New Roman" w:eastAsia="Times New Roman" w:hAnsi="Times New Roman"/>
          <w:sz w:val="12"/>
          <w:szCs w:val="12"/>
          <w:u w:val="single" w:color="auto"/>
          <w:color w:val="0000FF"/>
        </w:rPr>
        <w:t>QTI@investor.sodali.com</w:t>
      </w:r>
      <w:r>
        <w:rPr>
          <w:rFonts w:ascii="Times New Roman" w:cs="Times New Roman" w:eastAsia="Times New Roman" w:hAnsi="Times New Roman"/>
          <w:sz w:val="12"/>
          <w:szCs w:val="12"/>
          <w:color w:val="auto"/>
        </w:rPr>
        <w:t>, and we will promptly send you what you have requested. You can also contact Sodali at the phone number above if you received multiple copies of the proxy materials and would prefer to receive a single copy in the future, or if you would like to opt out of householding for future mailings.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357759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DR. AVI S. KATZ</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Chairman of the Board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July 2, 2026</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5" w:name="page46"/>
    <w:bookmarkEnd w:id="45"/>
    <w:p>
      <w:pPr>
        <w:ind w:left="5288"/>
        <w:spacing w:after="0"/>
        <w:rPr>
          <w:sz w:val="20"/>
          <w:szCs w:val="20"/>
          <w:color w:val="auto"/>
        </w:rPr>
      </w:pPr>
      <w:r>
        <w:rPr>
          <w:rFonts w:ascii="Times New Roman" w:cs="Times New Roman" w:eastAsia="Times New Roman" w:hAnsi="Times New Roman"/>
          <w:sz w:val="12"/>
          <w:szCs w:val="12"/>
          <w:b w:val="1"/>
          <w:bCs w:val="1"/>
          <w:color w:val="auto"/>
        </w:rPr>
        <w:t>APPENDIX A</w:t>
      </w:r>
    </w:p>
    <w:p>
      <w:pPr>
        <w:spacing w:after="0" w:line="114" w:lineRule="exact"/>
        <w:rPr>
          <w:sz w:val="20"/>
          <w:szCs w:val="20"/>
          <w:color w:val="auto"/>
        </w:rPr>
      </w:pPr>
    </w:p>
    <w:p>
      <w:pPr>
        <w:ind w:left="4768"/>
        <w:spacing w:after="0"/>
        <w:rPr>
          <w:sz w:val="20"/>
          <w:szCs w:val="20"/>
          <w:color w:val="auto"/>
        </w:rPr>
      </w:pPr>
      <w:r>
        <w:rPr>
          <w:rFonts w:ascii="Times New Roman" w:cs="Times New Roman" w:eastAsia="Times New Roman" w:hAnsi="Times New Roman"/>
          <w:sz w:val="12"/>
          <w:szCs w:val="12"/>
          <w:b w:val="1"/>
          <w:bCs w:val="1"/>
          <w:color w:val="auto"/>
        </w:rPr>
        <w:t>QT IMAGING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ind w:right="-1128"/>
        <w:spacing w:after="0"/>
        <w:rPr>
          <w:sz w:val="20"/>
          <w:szCs w:val="20"/>
          <w:color w:val="auto"/>
        </w:rPr>
      </w:pPr>
      <w:r>
        <w:rPr>
          <w:rFonts w:ascii="Times New Roman" w:cs="Times New Roman" w:eastAsia="Times New Roman" w:hAnsi="Times New Roman"/>
          <w:sz w:val="11"/>
          <w:szCs w:val="11"/>
          <w:b w:val="1"/>
          <w:bCs w:val="1"/>
          <w:color w:val="auto"/>
        </w:rPr>
        <w:t>AMENDED AND RESTATED 2024 EQUITY INCENTIVE PLAN</w:t>
      </w:r>
    </w:p>
    <w:p>
      <w:pPr>
        <w:spacing w:after="0" w:line="147" w:lineRule="exact"/>
        <w:rPr>
          <w:sz w:val="20"/>
          <w:szCs w:val="20"/>
          <w:color w:val="auto"/>
        </w:rPr>
      </w:pPr>
    </w:p>
    <w:p>
      <w:pPr>
        <w:ind w:left="5008"/>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54" w:lineRule="exact"/>
        <w:rPr>
          <w:sz w:val="20"/>
          <w:szCs w:val="20"/>
          <w:color w:val="auto"/>
        </w:rPr>
      </w:pPr>
    </w:p>
    <w:p>
      <w:pPr>
        <w:ind w:left="8"/>
        <w:spacing w:after="0"/>
        <w:tabs>
          <w:tab w:leader="none" w:pos="188" w:val="left"/>
          <w:tab w:leader="none" w:pos="3048" w:val="left"/>
        </w:tabs>
        <w:rPr>
          <w:sz w:val="20"/>
          <w:szCs w:val="20"/>
          <w:color w:val="auto"/>
        </w:rPr>
      </w:pPr>
      <w:r>
        <w:rPr>
          <w:rFonts w:ascii="Times New Roman" w:cs="Times New Roman" w:eastAsia="Times New Roman" w:hAnsi="Times New Roman"/>
          <w:sz w:val="12"/>
          <w:szCs w:val="12"/>
          <w:color w:val="auto"/>
        </w:rPr>
        <w:t>1.</w:t>
        <w:tab/>
        <w:t>ESTABLISHMENT, PURPOSE AND TERM OF PLAN</w:t>
      </w:r>
      <w:r>
        <w:rPr>
          <w:rFonts w:ascii="Times New Roman" w:cs="Times New Roman" w:eastAsia="Times New Roman" w:hAnsi="Times New Roman"/>
          <w:sz w:val="12"/>
          <w:szCs w:val="12"/>
          <w:color w:val="0094FF"/>
        </w:rPr>
        <w:tab/>
        <w:t>1</w:t>
      </w:r>
    </w:p>
    <w:p>
      <w:pPr>
        <w:spacing w:after="0" w:line="69" w:lineRule="exact"/>
        <w:rPr>
          <w:sz w:val="20"/>
          <w:szCs w:val="20"/>
          <w:color w:val="auto"/>
        </w:rPr>
      </w:pPr>
    </w:p>
    <w:tbl>
      <w:tblPr>
        <w:tblLayout w:type="fixed"/>
        <w:tblInd w:w="128" w:type="dxa"/>
        <w:tblCellMar>
          <w:top w:w="0" w:type="dxa"/>
          <w:left w:w="0" w:type="dxa"/>
          <w:bottom w:w="0" w:type="dxa"/>
          <w:right w:w="0" w:type="dxa"/>
        </w:tblCellMar>
      </w:tblPr>
      <w:tr>
        <w:trPr>
          <w:trHeight w:val="155"/>
        </w:trPr>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3"/>
              </w:rPr>
              <w:t>1.1</w:t>
            </w: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Establishment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98"/>
        </w:trPr>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3"/>
              </w:rPr>
              <w:t>1.2</w:t>
            </w: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Purpose  1</w:t>
            </w:r>
          </w:p>
        </w:tc>
        <w:tc>
          <w:tcPr>
            <w:tcW w:w="160" w:type="dxa"/>
            <w:vAlign w:val="bottom"/>
          </w:tcPr>
          <w:p>
            <w:pPr>
              <w:spacing w:after="0"/>
              <w:rPr>
                <w:sz w:val="17"/>
                <w:szCs w:val="17"/>
                <w:color w:val="auto"/>
              </w:rPr>
            </w:pPr>
          </w:p>
        </w:tc>
      </w:tr>
      <w:tr>
        <w:trPr>
          <w:trHeight w:val="207"/>
        </w:trPr>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3"/>
              </w:rPr>
              <w:t>1.3</w:t>
            </w: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Term of Plan</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bl>
    <w:p>
      <w:pPr>
        <w:spacing w:after="0" w:line="52" w:lineRule="exact"/>
        <w:rPr>
          <w:sz w:val="20"/>
          <w:szCs w:val="20"/>
          <w:color w:val="auto"/>
        </w:rPr>
      </w:pPr>
    </w:p>
    <w:p>
      <w:pPr>
        <w:ind w:left="208" w:hanging="208"/>
        <w:spacing w:after="0"/>
        <w:tabs>
          <w:tab w:leader="none" w:pos="20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DEFINITIONS AND CONSTRUCTION.  1</w:t>
      </w:r>
    </w:p>
    <w:p>
      <w:pPr>
        <w:spacing w:after="0" w:line="60" w:lineRule="exact"/>
        <w:rPr>
          <w:rFonts w:ascii="Times New Roman" w:cs="Times New Roman" w:eastAsia="Times New Roman" w:hAnsi="Times New Roman"/>
          <w:sz w:val="12"/>
          <w:szCs w:val="12"/>
          <w:color w:val="auto"/>
        </w:rPr>
      </w:pPr>
    </w:p>
    <w:p>
      <w:pPr>
        <w:ind w:left="1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  Definitions  1</w:t>
      </w:r>
    </w:p>
    <w:p>
      <w:pPr>
        <w:spacing w:after="0" w:line="69" w:lineRule="exact"/>
        <w:rPr>
          <w:rFonts w:ascii="Times New Roman" w:cs="Times New Roman" w:eastAsia="Times New Roman" w:hAnsi="Times New Roman"/>
          <w:sz w:val="12"/>
          <w:szCs w:val="12"/>
          <w:color w:val="auto"/>
        </w:rPr>
      </w:pPr>
    </w:p>
    <w:p>
      <w:pPr>
        <w:ind w:left="1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2.2  Construction  7</w:t>
      </w:r>
    </w:p>
    <w:p>
      <w:pPr>
        <w:spacing w:after="0" w:line="6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ADMINISTRATION.  7</w:t>
      </w:r>
    </w:p>
    <w:p>
      <w:pPr>
        <w:spacing w:after="0" w:line="6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Administration by the Committee  8</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Authority of Officers  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Administration with Respect to Insiders</w:t>
            </w:r>
          </w:p>
        </w:tc>
        <w:tc>
          <w:tcPr>
            <w:tcW w:w="1280" w:type="dxa"/>
            <w:vAlign w:val="bottom"/>
          </w:tcPr>
          <w:p>
            <w:pPr>
              <w:jc w:val="right"/>
              <w:ind w:right="1080"/>
              <w:spacing w:after="0"/>
              <w:rPr>
                <w:sz w:val="20"/>
                <w:szCs w:val="20"/>
                <w:color w:val="auto"/>
              </w:rPr>
            </w:pPr>
            <w:r>
              <w:rPr>
                <w:rFonts w:ascii="Times New Roman" w:cs="Times New Roman" w:eastAsia="Times New Roman" w:hAnsi="Times New Roman"/>
                <w:sz w:val="12"/>
                <w:szCs w:val="12"/>
                <w:color w:val="auto"/>
              </w:rPr>
              <w:t>8</w:t>
            </w:r>
          </w:p>
        </w:tc>
      </w:tr>
      <w:tr>
        <w:trPr>
          <w:trHeight w:val="198"/>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Powers of the Committee</w:t>
            </w:r>
          </w:p>
        </w:tc>
        <w:tc>
          <w:tcPr>
            <w:tcW w:w="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Option or SAR Repricing</w:t>
            </w:r>
          </w:p>
        </w:tc>
        <w:tc>
          <w:tcPr>
            <w:tcW w:w="5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9</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Indemnification</w:t>
            </w:r>
          </w:p>
        </w:tc>
        <w:tc>
          <w:tcPr>
            <w:tcW w:w="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8"/>
        </w:trPr>
        <w:tc>
          <w:tcPr>
            <w:tcW w:w="22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4.  SHARES SUBJECT TO PLAN.  10</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Maximum Number of Shares Issuable</w:t>
            </w:r>
          </w:p>
        </w:tc>
        <w:tc>
          <w:tcPr>
            <w:tcW w:w="1280" w:type="dxa"/>
            <w:vAlign w:val="bottom"/>
          </w:tcPr>
          <w:p>
            <w:pPr>
              <w:jc w:val="right"/>
              <w:ind w:right="1100"/>
              <w:spacing w:after="0"/>
              <w:rPr>
                <w:sz w:val="20"/>
                <w:szCs w:val="20"/>
                <w:color w:val="auto"/>
              </w:rPr>
            </w:pPr>
            <w:r>
              <w:rPr>
                <w:rFonts w:ascii="Times New Roman" w:cs="Times New Roman" w:eastAsia="Times New Roman" w:hAnsi="Times New Roman"/>
                <w:sz w:val="12"/>
                <w:szCs w:val="12"/>
                <w:color w:val="auto"/>
                <w:w w:val="82"/>
              </w:rPr>
              <w:t>10</w:t>
            </w: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Share Counting</w:t>
            </w:r>
          </w:p>
        </w:tc>
        <w:tc>
          <w:tcPr>
            <w:tcW w:w="4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8"/>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3280" w:type="dxa"/>
            <w:vAlign w:val="bottom"/>
            <w:gridSpan w:val="5"/>
          </w:tcPr>
          <w:p>
            <w:pPr>
              <w:ind w:left="60"/>
              <w:spacing w:after="0"/>
              <w:rPr>
                <w:sz w:val="20"/>
                <w:szCs w:val="20"/>
                <w:color w:val="auto"/>
              </w:rPr>
            </w:pPr>
            <w:r>
              <w:rPr>
                <w:rFonts w:ascii="Times New Roman" w:cs="Times New Roman" w:eastAsia="Times New Roman" w:hAnsi="Times New Roman"/>
                <w:sz w:val="12"/>
                <w:szCs w:val="12"/>
                <w:color w:val="auto"/>
              </w:rPr>
              <w:t>Adjustments for Changes in Capital Structure  10</w:t>
            </w: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Assumption or Substitution of Awards</w:t>
            </w:r>
          </w:p>
        </w:tc>
        <w:tc>
          <w:tcPr>
            <w:tcW w:w="1280" w:type="dxa"/>
            <w:vAlign w:val="bottom"/>
          </w:tcPr>
          <w:p>
            <w:pPr>
              <w:jc w:val="right"/>
              <w:ind w:right="1080"/>
              <w:spacing w:after="0"/>
              <w:rPr>
                <w:sz w:val="20"/>
                <w:szCs w:val="20"/>
                <w:color w:val="auto"/>
              </w:rPr>
            </w:pPr>
            <w:r>
              <w:rPr>
                <w:rFonts w:ascii="Times New Roman" w:cs="Times New Roman" w:eastAsia="Times New Roman" w:hAnsi="Times New Roman"/>
                <w:sz w:val="12"/>
                <w:szCs w:val="12"/>
                <w:color w:val="auto"/>
                <w:w w:val="99"/>
              </w:rPr>
              <w:t>11</w:t>
            </w:r>
          </w:p>
        </w:tc>
      </w:tr>
      <w:tr>
        <w:trPr>
          <w:trHeight w:val="198"/>
        </w:trPr>
        <w:tc>
          <w:tcPr>
            <w:tcW w:w="3620" w:type="dxa"/>
            <w:vAlign w:val="bottom"/>
            <w:gridSpan w:val="6"/>
          </w:tcPr>
          <w:p>
            <w:pPr>
              <w:spacing w:after="0"/>
              <w:rPr>
                <w:sz w:val="20"/>
                <w:szCs w:val="20"/>
                <w:color w:val="auto"/>
              </w:rPr>
            </w:pPr>
            <w:r>
              <w:rPr>
                <w:rFonts w:ascii="Times New Roman" w:cs="Times New Roman" w:eastAsia="Times New Roman" w:hAnsi="Times New Roman"/>
                <w:sz w:val="12"/>
                <w:szCs w:val="12"/>
                <w:color w:val="auto"/>
                <w:w w:val="99"/>
              </w:rPr>
              <w:t>5.  ELIGIBILITY, PARTICIPATION AND AWARD LIMITATIONS.  11</w:t>
            </w: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Persons Eligible for Awards  11</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Participation in the Plan</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99"/>
              </w:rPr>
              <w:t>11</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8"/>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Incentive Stock Option Limitations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11</w:t>
            </w:r>
          </w:p>
        </w:tc>
        <w:tc>
          <w:tcPr>
            <w:tcW w:w="1280" w:type="dxa"/>
            <w:vAlign w:val="bottom"/>
          </w:tcPr>
          <w:p>
            <w:pPr>
              <w:spacing w:after="0"/>
              <w:rPr>
                <w:sz w:val="17"/>
                <w:szCs w:val="17"/>
                <w:color w:val="auto"/>
              </w:rPr>
            </w:pP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Nonemployee Director Award Limit</w:t>
            </w:r>
          </w:p>
        </w:tc>
        <w:tc>
          <w:tcPr>
            <w:tcW w:w="1420" w:type="dxa"/>
            <w:vAlign w:val="bottom"/>
            <w:gridSpan w:val="2"/>
          </w:tcPr>
          <w:p>
            <w:pPr>
              <w:jc w:val="right"/>
              <w:ind w:right="1180"/>
              <w:spacing w:after="0"/>
              <w:rPr>
                <w:sz w:val="20"/>
                <w:szCs w:val="20"/>
                <w:color w:val="auto"/>
              </w:rPr>
            </w:pPr>
            <w:r>
              <w:rPr>
                <w:rFonts w:ascii="Times New Roman" w:cs="Times New Roman" w:eastAsia="Times New Roman" w:hAnsi="Times New Roman"/>
                <w:sz w:val="12"/>
                <w:szCs w:val="12"/>
                <w:color w:val="auto"/>
              </w:rPr>
              <w:t>12</w:t>
            </w:r>
          </w:p>
        </w:tc>
      </w:tr>
    </w:tbl>
    <w:p>
      <w:pPr>
        <w:spacing w:after="0" w:line="52" w:lineRule="exact"/>
        <w:rPr>
          <w:sz w:val="20"/>
          <w:szCs w:val="20"/>
          <w:color w:val="auto"/>
        </w:rPr>
      </w:pPr>
    </w:p>
    <w:p>
      <w:pPr>
        <w:ind w:left="208" w:hanging="208"/>
        <w:spacing w:after="0"/>
        <w:tabs>
          <w:tab w:leader="none" w:pos="20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OPTIONS.  12</w:t>
      </w:r>
    </w:p>
    <w:p>
      <w:pPr>
        <w:spacing w:after="0" w:line="60" w:lineRule="exact"/>
        <w:rPr>
          <w:rFonts w:ascii="Times New Roman" w:cs="Times New Roman" w:eastAsia="Times New Roman" w:hAnsi="Times New Roman"/>
          <w:sz w:val="12"/>
          <w:szCs w:val="12"/>
          <w:color w:val="auto"/>
        </w:rPr>
      </w:pPr>
    </w:p>
    <w:p>
      <w:pPr>
        <w:ind w:left="1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6.1  Exercise Price  12</w:t>
      </w:r>
    </w:p>
    <w:p>
      <w:pPr>
        <w:spacing w:after="0" w:line="6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Exercisability and Term of Options  12</w:t>
            </w: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Payment of Exercise Price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w:t>
            </w:r>
          </w:p>
        </w:tc>
        <w:tc>
          <w:tcPr>
            <w:tcW w:w="300" w:type="dxa"/>
            <w:vAlign w:val="bottom"/>
          </w:tcPr>
          <w:p>
            <w:pPr>
              <w:spacing w:after="0"/>
              <w:rPr>
                <w:sz w:val="18"/>
                <w:szCs w:val="18"/>
                <w:color w:val="auto"/>
              </w:rPr>
            </w:pPr>
          </w:p>
        </w:tc>
      </w:tr>
      <w:tr>
        <w:trPr>
          <w:trHeight w:val="198"/>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Effect of Termination of Service</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w:t>
            </w: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Transferability of Options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w:t>
            </w:r>
          </w:p>
        </w:tc>
        <w:tc>
          <w:tcPr>
            <w:tcW w:w="300" w:type="dxa"/>
            <w:vAlign w:val="bottom"/>
          </w:tcPr>
          <w:p>
            <w:pPr>
              <w:spacing w:after="0"/>
              <w:rPr>
                <w:sz w:val="18"/>
                <w:szCs w:val="18"/>
                <w:color w:val="auto"/>
              </w:rPr>
            </w:pPr>
          </w:p>
        </w:tc>
      </w:tr>
      <w:tr>
        <w:trPr>
          <w:trHeight w:val="207"/>
        </w:trPr>
        <w:tc>
          <w:tcPr>
            <w:tcW w:w="232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7.  STOCK APPRECIATION RIGHTS.  15</w:t>
            </w:r>
          </w:p>
        </w:tc>
      </w:tr>
      <w:tr>
        <w:trPr>
          <w:trHeight w:val="198"/>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3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Types of SARs Authorized</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w:t>
            </w:r>
          </w:p>
        </w:tc>
        <w:tc>
          <w:tcPr>
            <w:tcW w:w="300" w:type="dxa"/>
            <w:vAlign w:val="bottom"/>
          </w:tcPr>
          <w:p>
            <w:pPr>
              <w:spacing w:after="0"/>
              <w:rPr>
                <w:sz w:val="17"/>
                <w:szCs w:val="17"/>
                <w:color w:val="auto"/>
              </w:rPr>
            </w:pP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Exercise Price  15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Exercisability and Term of SARs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w:t>
            </w:r>
          </w:p>
        </w:tc>
      </w:tr>
      <w:tr>
        <w:trPr>
          <w:trHeight w:val="198"/>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Exercise of SARs  16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Deemed Exercise of SARs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w:t>
            </w:r>
          </w:p>
        </w:tc>
        <w:tc>
          <w:tcPr>
            <w:tcW w:w="300" w:type="dxa"/>
            <w:vAlign w:val="bottom"/>
          </w:tcPr>
          <w:p>
            <w:pPr>
              <w:spacing w:after="0"/>
              <w:rPr>
                <w:sz w:val="18"/>
                <w:szCs w:val="18"/>
                <w:color w:val="auto"/>
              </w:rPr>
            </w:pPr>
          </w:p>
        </w:tc>
      </w:tr>
      <w:tr>
        <w:trPr>
          <w:trHeight w:val="207"/>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Effect of Termination of Service</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w:t>
            </w:r>
          </w:p>
        </w:tc>
      </w:tr>
      <w:tr>
        <w:trPr>
          <w:trHeight w:val="198"/>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Transferability of SARs  16</w:t>
            </w:r>
          </w:p>
        </w:tc>
        <w:tc>
          <w:tcPr>
            <w:tcW w:w="300" w:type="dxa"/>
            <w:vAlign w:val="bottom"/>
          </w:tcPr>
          <w:p>
            <w:pPr>
              <w:spacing w:after="0"/>
              <w:rPr>
                <w:sz w:val="17"/>
                <w:szCs w:val="17"/>
                <w:color w:val="auto"/>
              </w:rPr>
            </w:pPr>
          </w:p>
        </w:tc>
      </w:tr>
    </w:tbl>
    <w:p>
      <w:pPr>
        <w:spacing w:after="0" w:line="52" w:lineRule="exact"/>
        <w:rPr>
          <w:sz w:val="20"/>
          <w:szCs w:val="20"/>
          <w:color w:val="auto"/>
        </w:rPr>
      </w:pPr>
    </w:p>
    <w:p>
      <w:pPr>
        <w:ind w:left="8"/>
        <w:spacing w:after="0"/>
        <w:tabs>
          <w:tab w:leader="none" w:pos="188" w:val="left"/>
          <w:tab w:leader="none" w:pos="2008" w:val="left"/>
        </w:tabs>
        <w:rPr>
          <w:sz w:val="20"/>
          <w:szCs w:val="20"/>
          <w:color w:val="auto"/>
        </w:rPr>
      </w:pPr>
      <w:r>
        <w:rPr>
          <w:rFonts w:ascii="Times New Roman" w:cs="Times New Roman" w:eastAsia="Times New Roman" w:hAnsi="Times New Roman"/>
          <w:sz w:val="12"/>
          <w:szCs w:val="12"/>
          <w:color w:val="auto"/>
        </w:rPr>
        <w:t>8.</w:t>
        <w:tab/>
        <w:t>RESTRICTED STOCK AWARDS.</w:t>
        <w:tab/>
        <w:t>16</w:t>
      </w:r>
    </w:p>
    <w:p>
      <w:pPr>
        <w:spacing w:after="0" w:line="321" w:lineRule="exact"/>
        <w:rPr>
          <w:sz w:val="20"/>
          <w:szCs w:val="20"/>
          <w:color w:val="auto"/>
        </w:rPr>
      </w:pPr>
    </w:p>
    <w:p>
      <w:pPr>
        <w:ind w:left="5568"/>
        <w:spacing w:after="0"/>
        <w:rPr>
          <w:sz w:val="20"/>
          <w:szCs w:val="20"/>
          <w:color w:val="auto"/>
        </w:rPr>
      </w:pPr>
      <w:r>
        <w:rPr>
          <w:rFonts w:ascii="Times New Roman" w:cs="Times New Roman" w:eastAsia="Times New Roman" w:hAnsi="Times New Roman"/>
          <w:sz w:val="12"/>
          <w:szCs w:val="12"/>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809" w:right="1440" w:bottom="1440" w:gutter="0" w:footer="0" w:header="0"/>
        </w:sectPr>
      </w:pPr>
    </w:p>
    <w:bookmarkStart w:id="46" w:name="page47"/>
    <w:bookmarkEnd w:id="46"/>
    <w:tbl>
      <w:tblPr>
        <w:tblLayout w:type="fixed"/>
        <w:tblInd w:w="8" w:type="dxa"/>
        <w:tblCellMar>
          <w:top w:w="0" w:type="dxa"/>
          <w:left w:w="0" w:type="dxa"/>
          <w:bottom w:w="0" w:type="dxa"/>
          <w:right w:w="0" w:type="dxa"/>
        </w:tblCellMar>
      </w:tblPr>
      <w:tr>
        <w:trPr>
          <w:trHeight w:val="155"/>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8.1</w:t>
            </w:r>
          </w:p>
        </w:tc>
        <w:tc>
          <w:tcPr>
            <w:tcW w:w="2240" w:type="dxa"/>
            <w:vAlign w:val="bottom"/>
            <w:gridSpan w:val="5"/>
          </w:tcPr>
          <w:p>
            <w:pPr>
              <w:ind w:left="40"/>
              <w:spacing w:after="0"/>
              <w:rPr>
                <w:sz w:val="20"/>
                <w:szCs w:val="20"/>
                <w:color w:val="auto"/>
              </w:rPr>
            </w:pPr>
            <w:r>
              <w:rPr>
                <w:rFonts w:ascii="Times New Roman" w:cs="Times New Roman" w:eastAsia="Times New Roman" w:hAnsi="Times New Roman"/>
                <w:sz w:val="12"/>
                <w:szCs w:val="12"/>
                <w:color w:val="auto"/>
                <w:w w:val="98"/>
              </w:rPr>
              <w:t>Types of Restricted Stock Awards Authorized</w:t>
            </w:r>
          </w:p>
        </w:tc>
        <w:tc>
          <w:tcPr>
            <w:tcW w:w="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w:t>
            </w:r>
          </w:p>
        </w:tc>
        <w:tc>
          <w:tcPr>
            <w:tcW w:w="46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8.2</w:t>
            </w:r>
          </w:p>
        </w:tc>
        <w:tc>
          <w:tcPr>
            <w:tcW w:w="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Purchase Price</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99"/>
              </w:rPr>
              <w:t>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8"/>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8.3</w:t>
            </w:r>
          </w:p>
        </w:tc>
        <w:tc>
          <w:tcPr>
            <w:tcW w:w="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Purchase Period</w:t>
            </w:r>
          </w:p>
        </w:tc>
        <w:tc>
          <w:tcPr>
            <w:tcW w:w="5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8.4</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Payment of Purchase Price</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8.5</w:t>
            </w:r>
          </w:p>
        </w:tc>
        <w:tc>
          <w:tcPr>
            <w:tcW w:w="19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Vesting and Restrictions on Transfer</w:t>
            </w: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17</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8"/>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8.6</w:t>
            </w:r>
          </w:p>
        </w:tc>
        <w:tc>
          <w:tcPr>
            <w:tcW w:w="2240" w:type="dxa"/>
            <w:vAlign w:val="bottom"/>
            <w:gridSpan w:val="5"/>
          </w:tcPr>
          <w:p>
            <w:pPr>
              <w:ind w:left="40"/>
              <w:spacing w:after="0"/>
              <w:rPr>
                <w:sz w:val="20"/>
                <w:szCs w:val="20"/>
                <w:color w:val="auto"/>
              </w:rPr>
            </w:pPr>
            <w:r>
              <w:rPr>
                <w:rFonts w:ascii="Times New Roman" w:cs="Times New Roman" w:eastAsia="Times New Roman" w:hAnsi="Times New Roman"/>
                <w:sz w:val="12"/>
                <w:szCs w:val="12"/>
                <w:color w:val="auto"/>
              </w:rPr>
              <w:t>Voting Rights; Dividends and Distributions</w:t>
            </w: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17</w:t>
            </w: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8.7</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Effect of Termination of Service</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18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8.8</w:t>
            </w:r>
          </w:p>
        </w:tc>
        <w:tc>
          <w:tcPr>
            <w:tcW w:w="2580" w:type="dxa"/>
            <w:vAlign w:val="bottom"/>
            <w:gridSpan w:val="6"/>
          </w:tcPr>
          <w:p>
            <w:pPr>
              <w:ind w:left="40"/>
              <w:spacing w:after="0"/>
              <w:rPr>
                <w:sz w:val="20"/>
                <w:szCs w:val="20"/>
                <w:color w:val="auto"/>
              </w:rPr>
            </w:pPr>
            <w:r>
              <w:rPr>
                <w:rFonts w:ascii="Times New Roman" w:cs="Times New Roman" w:eastAsia="Times New Roman" w:hAnsi="Times New Roman"/>
                <w:sz w:val="12"/>
                <w:szCs w:val="12"/>
                <w:color w:val="auto"/>
                <w:w w:val="99"/>
              </w:rPr>
              <w:t>Nontransferability of Restricted Stock Award Rights</w:t>
            </w:r>
          </w:p>
        </w:tc>
        <w:tc>
          <w:tcPr>
            <w:tcW w:w="4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18</w:t>
            </w:r>
          </w:p>
        </w:tc>
        <w:tc>
          <w:tcPr>
            <w:tcW w:w="1700" w:type="dxa"/>
            <w:vAlign w:val="bottom"/>
          </w:tcPr>
          <w:p>
            <w:pPr>
              <w:spacing w:after="0"/>
              <w:rPr>
                <w:sz w:val="18"/>
                <w:szCs w:val="18"/>
                <w:color w:val="auto"/>
              </w:rPr>
            </w:pPr>
          </w:p>
        </w:tc>
      </w:tr>
      <w:tr>
        <w:trPr>
          <w:trHeight w:val="198"/>
        </w:trPr>
        <w:tc>
          <w:tcPr>
            <w:tcW w:w="2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9.  RESTRICTED STOCK UNITS.  18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9.1</w:t>
            </w:r>
          </w:p>
        </w:tc>
        <w:tc>
          <w:tcPr>
            <w:tcW w:w="19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w w:val="98"/>
              </w:rPr>
              <w:t>Grant of Restricted Stock Unit Awards</w:t>
            </w:r>
          </w:p>
        </w:tc>
        <w:tc>
          <w:tcPr>
            <w:tcW w:w="3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9.2</w:t>
            </w:r>
          </w:p>
        </w:tc>
        <w:tc>
          <w:tcPr>
            <w:tcW w:w="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Purchase Price</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99"/>
              </w:rPr>
              <w:t>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8"/>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9.3</w:t>
            </w:r>
          </w:p>
        </w:tc>
        <w:tc>
          <w:tcPr>
            <w:tcW w:w="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Vesting  19</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9.4</w:t>
            </w:r>
          </w:p>
        </w:tc>
        <w:tc>
          <w:tcPr>
            <w:tcW w:w="3040" w:type="dxa"/>
            <w:vAlign w:val="bottom"/>
            <w:gridSpan w:val="7"/>
          </w:tcPr>
          <w:p>
            <w:pPr>
              <w:ind w:left="40"/>
              <w:spacing w:after="0"/>
              <w:rPr>
                <w:sz w:val="20"/>
                <w:szCs w:val="20"/>
                <w:color w:val="auto"/>
              </w:rPr>
            </w:pPr>
            <w:r>
              <w:rPr>
                <w:rFonts w:ascii="Times New Roman" w:cs="Times New Roman" w:eastAsia="Times New Roman" w:hAnsi="Times New Roman"/>
                <w:sz w:val="12"/>
                <w:szCs w:val="12"/>
                <w:color w:val="auto"/>
              </w:rPr>
              <w:t>Voting Rights, Dividend Equivalent Rights and Distributions</w:t>
            </w:r>
          </w:p>
        </w:tc>
        <w:tc>
          <w:tcPr>
            <w:tcW w:w="1700" w:type="dxa"/>
            <w:vAlign w:val="bottom"/>
          </w:tcPr>
          <w:p>
            <w:pPr>
              <w:jc w:val="right"/>
              <w:ind w:right="1480"/>
              <w:spacing w:after="0"/>
              <w:rPr>
                <w:sz w:val="20"/>
                <w:szCs w:val="20"/>
                <w:color w:val="auto"/>
              </w:rPr>
            </w:pPr>
            <w:r>
              <w:rPr>
                <w:rFonts w:ascii="Times New Roman" w:cs="Times New Roman" w:eastAsia="Times New Roman" w:hAnsi="Times New Roman"/>
                <w:sz w:val="12"/>
                <w:szCs w:val="12"/>
                <w:color w:val="auto"/>
              </w:rPr>
              <w:t>19</w:t>
            </w: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9.5</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Effect of Termination of Service</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19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8"/>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9.6</w:t>
            </w:r>
          </w:p>
        </w:tc>
        <w:tc>
          <w:tcPr>
            <w:tcW w:w="2240" w:type="dxa"/>
            <w:vAlign w:val="bottom"/>
            <w:gridSpan w:val="5"/>
          </w:tcPr>
          <w:p>
            <w:pPr>
              <w:ind w:left="40"/>
              <w:spacing w:after="0"/>
              <w:rPr>
                <w:sz w:val="20"/>
                <w:szCs w:val="20"/>
                <w:color w:val="auto"/>
              </w:rPr>
            </w:pPr>
            <w:r>
              <w:rPr>
                <w:rFonts w:ascii="Times New Roman" w:cs="Times New Roman" w:eastAsia="Times New Roman" w:hAnsi="Times New Roman"/>
                <w:sz w:val="12"/>
                <w:szCs w:val="12"/>
                <w:color w:val="auto"/>
              </w:rPr>
              <w:t>Settlement of Restricted Stock Unit Awards</w:t>
            </w: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19</w:t>
            </w: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9.7</w:t>
            </w:r>
          </w:p>
        </w:tc>
        <w:tc>
          <w:tcPr>
            <w:tcW w:w="2580" w:type="dxa"/>
            <w:vAlign w:val="bottom"/>
            <w:gridSpan w:val="6"/>
          </w:tcPr>
          <w:p>
            <w:pPr>
              <w:ind w:left="40"/>
              <w:spacing w:after="0"/>
              <w:rPr>
                <w:sz w:val="20"/>
                <w:szCs w:val="20"/>
                <w:color w:val="auto"/>
              </w:rPr>
            </w:pPr>
            <w:r>
              <w:rPr>
                <w:rFonts w:ascii="Times New Roman" w:cs="Times New Roman" w:eastAsia="Times New Roman" w:hAnsi="Times New Roman"/>
                <w:sz w:val="12"/>
                <w:szCs w:val="12"/>
                <w:color w:val="auto"/>
              </w:rPr>
              <w:t>Nontransferability of Restricted Stock Unit Awards</w:t>
            </w:r>
          </w:p>
        </w:tc>
        <w:tc>
          <w:tcPr>
            <w:tcW w:w="46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20</w:t>
            </w:r>
          </w:p>
        </w:tc>
        <w:tc>
          <w:tcPr>
            <w:tcW w:w="1700" w:type="dxa"/>
            <w:vAlign w:val="bottom"/>
          </w:tcPr>
          <w:p>
            <w:pPr>
              <w:spacing w:after="0"/>
              <w:rPr>
                <w:sz w:val="18"/>
                <w:szCs w:val="18"/>
                <w:color w:val="auto"/>
              </w:rPr>
            </w:pPr>
          </w:p>
        </w:tc>
      </w:tr>
      <w:tr>
        <w:trPr>
          <w:trHeight w:val="207"/>
        </w:trPr>
        <w:tc>
          <w:tcPr>
            <w:tcW w:w="17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10.  PERFORMANCE AWARDS.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8"/>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10.1</w:t>
            </w:r>
          </w:p>
        </w:tc>
        <w:tc>
          <w:tcPr>
            <w:tcW w:w="224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auto"/>
              </w:rPr>
              <w:t>Types of Performance Awards Authorized</w:t>
            </w: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20</w:t>
            </w: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10.2</w:t>
            </w:r>
          </w:p>
        </w:tc>
        <w:tc>
          <w:tcPr>
            <w:tcW w:w="3040" w:type="dxa"/>
            <w:vAlign w:val="bottom"/>
            <w:gridSpan w:val="7"/>
          </w:tcPr>
          <w:p>
            <w:pPr>
              <w:ind w:left="100"/>
              <w:spacing w:after="0"/>
              <w:rPr>
                <w:sz w:val="20"/>
                <w:szCs w:val="20"/>
                <w:color w:val="auto"/>
              </w:rPr>
            </w:pPr>
            <w:r>
              <w:rPr>
                <w:rFonts w:ascii="Times New Roman" w:cs="Times New Roman" w:eastAsia="Times New Roman" w:hAnsi="Times New Roman"/>
                <w:sz w:val="12"/>
                <w:szCs w:val="12"/>
                <w:color w:val="auto"/>
              </w:rPr>
              <w:t>Initial Value of Performance Shares and Performance Units</w:t>
            </w:r>
          </w:p>
        </w:tc>
        <w:tc>
          <w:tcPr>
            <w:tcW w:w="1700" w:type="dxa"/>
            <w:vAlign w:val="bottom"/>
          </w:tcPr>
          <w:p>
            <w:pPr>
              <w:jc w:val="right"/>
              <w:ind w:right="1500"/>
              <w:spacing w:after="0"/>
              <w:rPr>
                <w:sz w:val="20"/>
                <w:szCs w:val="20"/>
                <w:color w:val="auto"/>
              </w:rPr>
            </w:pPr>
            <w:r>
              <w:rPr>
                <w:rFonts w:ascii="Times New Roman" w:cs="Times New Roman" w:eastAsia="Times New Roman" w:hAnsi="Times New Roman"/>
                <w:sz w:val="12"/>
                <w:szCs w:val="12"/>
                <w:color w:val="auto"/>
                <w:w w:val="99"/>
              </w:rPr>
              <w:t>20</w:t>
            </w:r>
          </w:p>
        </w:tc>
      </w:tr>
      <w:tr>
        <w:trPr>
          <w:trHeight w:val="198"/>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10.3</w:t>
            </w:r>
          </w:p>
        </w:tc>
        <w:tc>
          <w:tcPr>
            <w:tcW w:w="4740" w:type="dxa"/>
            <w:vAlign w:val="bottom"/>
            <w:gridSpan w:val="8"/>
          </w:tcPr>
          <w:p>
            <w:pPr>
              <w:ind w:left="100"/>
              <w:spacing w:after="0"/>
              <w:rPr>
                <w:sz w:val="20"/>
                <w:szCs w:val="20"/>
                <w:color w:val="auto"/>
              </w:rPr>
            </w:pPr>
            <w:r>
              <w:rPr>
                <w:rFonts w:ascii="Times New Roman" w:cs="Times New Roman" w:eastAsia="Times New Roman" w:hAnsi="Times New Roman"/>
                <w:sz w:val="12"/>
                <w:szCs w:val="12"/>
                <w:color w:val="auto"/>
              </w:rPr>
              <w:t>Establishment of Performance Period, Performance Goals and Performance Award Formula  20</w:t>
            </w: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10.4</w:t>
            </w:r>
          </w:p>
        </w:tc>
        <w:tc>
          <w:tcPr>
            <w:tcW w:w="190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Measurement of Performance Goals</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10.5</w:t>
            </w:r>
          </w:p>
        </w:tc>
        <w:tc>
          <w:tcPr>
            <w:tcW w:w="190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Settlement of Performance Awards</w:t>
            </w: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21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8"/>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10.6</w:t>
            </w:r>
          </w:p>
        </w:tc>
        <w:tc>
          <w:tcPr>
            <w:tcW w:w="3040" w:type="dxa"/>
            <w:vAlign w:val="bottom"/>
            <w:gridSpan w:val="7"/>
          </w:tcPr>
          <w:p>
            <w:pPr>
              <w:ind w:left="100"/>
              <w:spacing w:after="0"/>
              <w:rPr>
                <w:sz w:val="20"/>
                <w:szCs w:val="20"/>
                <w:color w:val="auto"/>
              </w:rPr>
            </w:pPr>
            <w:r>
              <w:rPr>
                <w:rFonts w:ascii="Times New Roman" w:cs="Times New Roman" w:eastAsia="Times New Roman" w:hAnsi="Times New Roman"/>
                <w:sz w:val="12"/>
                <w:szCs w:val="12"/>
                <w:color w:val="auto"/>
                <w:w w:val="99"/>
              </w:rPr>
              <w:t>Voting Rights; Dividend Equivalent Rights and Distributions</w:t>
            </w:r>
          </w:p>
        </w:tc>
        <w:tc>
          <w:tcPr>
            <w:tcW w:w="1700" w:type="dxa"/>
            <w:vAlign w:val="bottom"/>
          </w:tcPr>
          <w:p>
            <w:pPr>
              <w:jc w:val="right"/>
              <w:ind w:right="1420"/>
              <w:spacing w:after="0"/>
              <w:rPr>
                <w:sz w:val="20"/>
                <w:szCs w:val="20"/>
                <w:color w:val="auto"/>
              </w:rPr>
            </w:pPr>
            <w:r>
              <w:rPr>
                <w:rFonts w:ascii="Times New Roman" w:cs="Times New Roman" w:eastAsia="Times New Roman" w:hAnsi="Times New Roman"/>
                <w:sz w:val="12"/>
                <w:szCs w:val="12"/>
                <w:color w:val="auto"/>
              </w:rPr>
              <w:t>22</w:t>
            </w: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10.7</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9"/>
              </w:rPr>
              <w:t>Effect of Termination of Service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7"/>
        </w:trPr>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10.8</w:t>
            </w:r>
          </w:p>
        </w:tc>
        <w:tc>
          <w:tcPr>
            <w:tcW w:w="224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auto"/>
              </w:rPr>
              <w:t>Nontransferability of Performance Awards</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23</w:t>
            </w: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r>
    </w:tbl>
    <w:p>
      <w:pPr>
        <w:spacing w:after="0" w:line="43" w:lineRule="exact"/>
        <w:rPr>
          <w:sz w:val="20"/>
          <w:szCs w:val="20"/>
          <w:color w:val="auto"/>
        </w:rPr>
      </w:pPr>
    </w:p>
    <w:p>
      <w:pPr>
        <w:ind w:left="268" w:hanging="268"/>
        <w:spacing w:after="0"/>
        <w:tabs>
          <w:tab w:leader="none" w:pos="26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CASH-BASED AWARDS AND OTHER STOCK-BASED AWARDS.  23</w:t>
      </w:r>
    </w:p>
    <w:p>
      <w:pPr>
        <w:spacing w:after="0" w:line="69" w:lineRule="exact"/>
        <w:rPr>
          <w:sz w:val="20"/>
          <w:szCs w:val="20"/>
          <w:color w:val="auto"/>
        </w:rPr>
      </w:pPr>
    </w:p>
    <w:tbl>
      <w:tblPr>
        <w:tblLayout w:type="fixed"/>
        <w:tblInd w:w="128" w:type="dxa"/>
        <w:tblCellMar>
          <w:top w:w="0" w:type="dxa"/>
          <w:left w:w="0" w:type="dxa"/>
          <w:bottom w:w="0" w:type="dxa"/>
          <w:right w:w="0" w:type="dxa"/>
        </w:tblCellMar>
      </w:tblPr>
      <w:tr>
        <w:trPr>
          <w:trHeight w:val="155"/>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11.1</w:t>
            </w:r>
          </w:p>
        </w:tc>
        <w:tc>
          <w:tcPr>
            <w:tcW w:w="3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Grant of Cash-Based Awards  23</w:t>
            </w:r>
          </w:p>
        </w:tc>
        <w:tc>
          <w:tcPr>
            <w:tcW w:w="220" w:type="dxa"/>
            <w:vAlign w:val="bottom"/>
          </w:tcPr>
          <w:p>
            <w:pPr>
              <w:spacing w:after="0"/>
              <w:rPr>
                <w:sz w:val="13"/>
                <w:szCs w:val="13"/>
                <w:color w:val="auto"/>
              </w:rPr>
            </w:pPr>
          </w:p>
        </w:tc>
      </w:t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11.2</w:t>
            </w:r>
          </w:p>
        </w:tc>
        <w:tc>
          <w:tcPr>
            <w:tcW w:w="3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Grant of Other Stock-Based Awards  23</w:t>
            </w:r>
          </w:p>
        </w:tc>
        <w:tc>
          <w:tcPr>
            <w:tcW w:w="220" w:type="dxa"/>
            <w:vAlign w:val="bottom"/>
          </w:tcPr>
          <w:p>
            <w:pPr>
              <w:spacing w:after="0"/>
              <w:rPr>
                <w:sz w:val="18"/>
                <w:szCs w:val="18"/>
                <w:color w:val="auto"/>
              </w:rPr>
            </w:pPr>
          </w:p>
        </w:tc>
      </w:tr>
      <w:tr>
        <w:trPr>
          <w:trHeight w:val="198"/>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11.3</w:t>
            </w:r>
          </w:p>
        </w:tc>
        <w:tc>
          <w:tcPr>
            <w:tcW w:w="3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Value of Cash-Based and Other Stock-Based Awards  24</w:t>
            </w:r>
          </w:p>
        </w:tc>
        <w:tc>
          <w:tcPr>
            <w:tcW w:w="220" w:type="dxa"/>
            <w:vAlign w:val="bottom"/>
          </w:tcPr>
          <w:p>
            <w:pPr>
              <w:spacing w:after="0"/>
              <w:rPr>
                <w:sz w:val="17"/>
                <w:szCs w:val="17"/>
                <w:color w:val="auto"/>
              </w:rPr>
            </w:pPr>
          </w:p>
        </w:tc>
      </w:t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11.4</w:t>
            </w:r>
          </w:p>
        </w:tc>
        <w:tc>
          <w:tcPr>
            <w:tcW w:w="384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Payment or Settlement of Cash-Based Awards and Other Stock-Based Awards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11.5</w:t>
            </w:r>
          </w:p>
        </w:tc>
        <w:tc>
          <w:tcPr>
            <w:tcW w:w="3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Voting Rights; Dividend Equivalent Rights and Distributions  24</w:t>
            </w:r>
          </w:p>
        </w:tc>
        <w:tc>
          <w:tcPr>
            <w:tcW w:w="220" w:type="dxa"/>
            <w:vAlign w:val="bottom"/>
          </w:tcPr>
          <w:p>
            <w:pPr>
              <w:spacing w:after="0"/>
              <w:rPr>
                <w:sz w:val="18"/>
                <w:szCs w:val="18"/>
                <w:color w:val="auto"/>
              </w:rPr>
            </w:pPr>
          </w:p>
        </w:tc>
      </w:tr>
      <w:tr>
        <w:trPr>
          <w:trHeight w:val="198"/>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11.6</w:t>
            </w:r>
          </w:p>
        </w:tc>
        <w:tc>
          <w:tcPr>
            <w:tcW w:w="3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Effect of Termination of Service  24</w:t>
            </w:r>
          </w:p>
        </w:tc>
        <w:tc>
          <w:tcPr>
            <w:tcW w:w="220" w:type="dxa"/>
            <w:vAlign w:val="bottom"/>
          </w:tcPr>
          <w:p>
            <w:pPr>
              <w:spacing w:after="0"/>
              <w:rPr>
                <w:sz w:val="17"/>
                <w:szCs w:val="17"/>
                <w:color w:val="auto"/>
              </w:rPr>
            </w:pPr>
          </w:p>
        </w:tc>
      </w:tr>
      <w:tr>
        <w:trPr>
          <w:trHeight w:val="207"/>
        </w:trPr>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11.7       Nontransferability of Cash-Based Awards and Other Stock-Based Awards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24</w:t>
            </w:r>
          </w:p>
        </w:tc>
      </w:tr>
    </w:tbl>
    <w:p>
      <w:pPr>
        <w:spacing w:after="0" w:line="52" w:lineRule="exact"/>
        <w:rPr>
          <w:sz w:val="20"/>
          <w:szCs w:val="20"/>
          <w:color w:val="auto"/>
        </w:rPr>
      </w:pPr>
    </w:p>
    <w:p>
      <w:pPr>
        <w:ind w:left="268" w:hanging="268"/>
        <w:spacing w:after="0"/>
        <w:tabs>
          <w:tab w:leader="none" w:pos="26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STANDARD FORMS OF AWARD AGREEMENT.  25</w:t>
      </w:r>
    </w:p>
    <w:p>
      <w:pPr>
        <w:spacing w:after="0" w:line="60" w:lineRule="exact"/>
        <w:rPr>
          <w:rFonts w:ascii="Times New Roman" w:cs="Times New Roman" w:eastAsia="Times New Roman" w:hAnsi="Times New Roman"/>
          <w:sz w:val="12"/>
          <w:szCs w:val="12"/>
          <w:color w:val="auto"/>
        </w:rPr>
      </w:pPr>
    </w:p>
    <w:p>
      <w:pPr>
        <w:ind w:left="1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12.1  Award Agreements  25</w:t>
      </w:r>
    </w:p>
    <w:p>
      <w:pPr>
        <w:spacing w:after="0" w:line="6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3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Authority to Vary Terms  25</w:t>
            </w:r>
          </w:p>
        </w:tc>
      </w:tr>
      <w:tr>
        <w:trPr>
          <w:trHeight w:val="207"/>
        </w:trPr>
        <w:tc>
          <w:tcPr>
            <w:tcW w:w="3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13.  CHANGE IN CONTROL.  25</w:t>
            </w:r>
          </w:p>
        </w:tc>
      </w:tr>
      <w:tr>
        <w:trPr>
          <w:trHeight w:val="198"/>
        </w:trPr>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3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Effect of Change in Control on Awards  25</w:t>
            </w:r>
          </w:p>
        </w:tc>
      </w:tr>
      <w:tr>
        <w:trPr>
          <w:trHeight w:val="207"/>
        </w:trPr>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3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Effect of Change in Control on Nonemployee Director Awards  26</w:t>
            </w:r>
          </w:p>
        </w:tc>
      </w:tr>
      <w:tr>
        <w:trPr>
          <w:trHeight w:val="207"/>
        </w:trPr>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3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Federal Excise Tax Under Section 4999 of the Code  27</w:t>
            </w:r>
          </w:p>
        </w:tc>
      </w:tr>
    </w:tbl>
    <w:p>
      <w:pPr>
        <w:spacing w:after="0" w:line="43" w:lineRule="exact"/>
        <w:rPr>
          <w:sz w:val="20"/>
          <w:szCs w:val="20"/>
          <w:color w:val="auto"/>
        </w:rPr>
      </w:pPr>
    </w:p>
    <w:p>
      <w:pPr>
        <w:ind w:left="268" w:hanging="268"/>
        <w:spacing w:after="0"/>
        <w:tabs>
          <w:tab w:leader="none" w:pos="26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SECURITIES LAW.  27</w:t>
      </w:r>
    </w:p>
    <w:p>
      <w:pPr>
        <w:spacing w:after="0" w:line="69"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SECTION 409A.  27</w:t>
      </w:r>
    </w:p>
    <w:p>
      <w:pPr>
        <w:spacing w:after="0" w:line="69" w:lineRule="exact"/>
        <w:rPr>
          <w:sz w:val="20"/>
          <w:szCs w:val="20"/>
          <w:color w:val="auto"/>
        </w:rPr>
      </w:pPr>
    </w:p>
    <w:tbl>
      <w:tblPr>
        <w:tblLayout w:type="fixed"/>
        <w:tblInd w:w="128" w:type="dxa"/>
        <w:tblCellMar>
          <w:top w:w="0" w:type="dxa"/>
          <w:left w:w="0" w:type="dxa"/>
          <w:bottom w:w="0" w:type="dxa"/>
          <w:right w:w="0" w:type="dxa"/>
        </w:tblCellMar>
      </w:tblPr>
      <w:tr>
        <w:trPr>
          <w:trHeight w:val="155"/>
        </w:trPr>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15.1</w:t>
            </w:r>
          </w:p>
        </w:tc>
        <w:tc>
          <w:tcPr>
            <w:tcW w:w="21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Awards Subject to Section 409A  27</w:t>
            </w:r>
          </w:p>
        </w:tc>
      </w:tr>
      <w:tr>
        <w:trPr>
          <w:trHeight w:val="198"/>
        </w:trPr>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15.2</w:t>
            </w:r>
          </w:p>
        </w:tc>
        <w:tc>
          <w:tcPr>
            <w:tcW w:w="21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Deferral and/or Distribution Elections  28</w:t>
            </w:r>
          </w:p>
        </w:tc>
      </w:tr>
    </w:tbl>
    <w:p>
      <w:pPr>
        <w:spacing w:after="0" w:line="30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813" w:right="1440" w:bottom="1440" w:gutter="0" w:footer="0" w:header="0"/>
        </w:sectPr>
      </w:pPr>
    </w:p>
    <w:bookmarkStart w:id="47" w:name="page48"/>
    <w:bookmarkEnd w:id="47"/>
    <w:tbl>
      <w:tblPr>
        <w:tblLayout w:type="fixed"/>
        <w:tblInd w:w="8" w:type="dxa"/>
        <w:tblCellMar>
          <w:top w:w="0" w:type="dxa"/>
          <w:left w:w="0" w:type="dxa"/>
          <w:bottom w:w="0" w:type="dxa"/>
          <w:right w:w="0" w:type="dxa"/>
        </w:tblCellMar>
      </w:tblPr>
      <w:tr>
        <w:trPr>
          <w:trHeight w:val="155"/>
        </w:trPr>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1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Subsequent Elections</w:t>
            </w:r>
          </w:p>
        </w:tc>
        <w:tc>
          <w:tcPr>
            <w:tcW w:w="1580" w:type="dxa"/>
            <w:vAlign w:val="bottom"/>
          </w:tcPr>
          <w:p>
            <w:pPr>
              <w:jc w:val="right"/>
              <w:ind w:right="1320"/>
              <w:spacing w:after="0"/>
              <w:rPr>
                <w:sz w:val="20"/>
                <w:szCs w:val="20"/>
                <w:color w:val="auto"/>
              </w:rPr>
            </w:pPr>
            <w:r>
              <w:rPr>
                <w:rFonts w:ascii="Times New Roman" w:cs="Times New Roman" w:eastAsia="Times New Roman" w:hAnsi="Times New Roman"/>
                <w:sz w:val="12"/>
                <w:szCs w:val="12"/>
                <w:color w:val="auto"/>
              </w:rPr>
              <w:t>28</w:t>
            </w:r>
          </w:p>
        </w:tc>
      </w:tr>
      <w:tr>
        <w:trPr>
          <w:trHeight w:val="207"/>
        </w:trPr>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2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Payment of Section 409A Deferred Compensation  29</w:t>
            </w:r>
          </w:p>
        </w:tc>
      </w:tr>
      <w:tr>
        <w:trPr>
          <w:trHeight w:val="198"/>
        </w:trPr>
        <w:tc>
          <w:tcPr>
            <w:tcW w:w="1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16.  TAX WITHHOLDING.</w:t>
            </w:r>
          </w:p>
        </w:tc>
        <w:tc>
          <w:tcPr>
            <w:tcW w:w="1580" w:type="dxa"/>
            <w:vAlign w:val="bottom"/>
          </w:tcPr>
          <w:p>
            <w:pPr>
              <w:jc w:val="right"/>
              <w:ind w:right="1380"/>
              <w:spacing w:after="0"/>
              <w:rPr>
                <w:sz w:val="20"/>
                <w:szCs w:val="20"/>
                <w:color w:val="auto"/>
              </w:rPr>
            </w:pPr>
            <w:r>
              <w:rPr>
                <w:rFonts w:ascii="Times New Roman" w:cs="Times New Roman" w:eastAsia="Times New Roman" w:hAnsi="Times New Roman"/>
                <w:sz w:val="12"/>
                <w:szCs w:val="12"/>
                <w:color w:val="auto"/>
                <w:w w:val="99"/>
              </w:rPr>
              <w:t>30</w:t>
            </w:r>
          </w:p>
        </w:tc>
      </w:tr>
      <w:tr>
        <w:trPr>
          <w:trHeight w:val="207"/>
        </w:trPr>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2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Tax Withholding in General  31</w:t>
            </w:r>
          </w:p>
        </w:tc>
      </w:tr>
      <w:tr>
        <w:trPr>
          <w:trHeight w:val="207"/>
        </w:trPr>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2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Withholding in or Directed Sale of Shares  31</w:t>
            </w:r>
          </w:p>
        </w:tc>
      </w:tr>
    </w:tbl>
    <w:p>
      <w:pPr>
        <w:spacing w:after="0" w:line="43" w:lineRule="exact"/>
        <w:rPr>
          <w:sz w:val="20"/>
          <w:szCs w:val="20"/>
          <w:color w:val="auto"/>
        </w:rPr>
      </w:pPr>
    </w:p>
    <w:p>
      <w:pPr>
        <w:ind w:left="268" w:hanging="268"/>
        <w:spacing w:after="0"/>
        <w:tabs>
          <w:tab w:leader="none" w:pos="26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AMENDMENT, SUSPENSION OR TERMINATION OF PLAN.  31</w:t>
      </w:r>
    </w:p>
    <w:p>
      <w:pPr>
        <w:spacing w:after="0" w:line="69"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MISCELLANEOUS PROVISIONS.  31</w:t>
      </w:r>
    </w:p>
    <w:p>
      <w:pPr>
        <w:spacing w:after="0" w:line="69" w:lineRule="exact"/>
        <w:rPr>
          <w:sz w:val="20"/>
          <w:szCs w:val="20"/>
          <w:color w:val="auto"/>
        </w:rPr>
      </w:pPr>
    </w:p>
    <w:tbl>
      <w:tblPr>
        <w:tblLayout w:type="fixed"/>
        <w:tblInd w:w="128" w:type="dxa"/>
        <w:tblCellMar>
          <w:top w:w="0" w:type="dxa"/>
          <w:left w:w="0" w:type="dxa"/>
          <w:bottom w:w="0" w:type="dxa"/>
          <w:right w:w="0" w:type="dxa"/>
        </w:tblCellMar>
      </w:tblPr>
      <w:tr>
        <w:trPr>
          <w:trHeight w:val="155"/>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18.1</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Repurchase Rights</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98"/>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18.2</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Forfeiture Events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82"/>
              </w:rPr>
              <w:t>31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18.3</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w w:val="98"/>
              </w:rPr>
              <w:t>Provision of Information</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18.4</w:t>
            </w:r>
          </w:p>
        </w:tc>
        <w:tc>
          <w:tcPr>
            <w:tcW w:w="1860" w:type="dxa"/>
            <w:vAlign w:val="bottom"/>
            <w:gridSpan w:val="6"/>
          </w:tcPr>
          <w:p>
            <w:pPr>
              <w:ind w:left="40"/>
              <w:spacing w:after="0"/>
              <w:rPr>
                <w:sz w:val="20"/>
                <w:szCs w:val="20"/>
                <w:color w:val="auto"/>
              </w:rPr>
            </w:pPr>
            <w:r>
              <w:rPr>
                <w:rFonts w:ascii="Times New Roman" w:cs="Times New Roman" w:eastAsia="Times New Roman" w:hAnsi="Times New Roman"/>
                <w:sz w:val="12"/>
                <w:szCs w:val="12"/>
                <w:color w:val="auto"/>
              </w:rPr>
              <w:t>Electronic Delivery and Participation</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32</w:t>
            </w:r>
          </w:p>
        </w:tc>
      </w:tr>
      <w:tr>
        <w:trPr>
          <w:trHeight w:val="198"/>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18.5</w:t>
            </w:r>
          </w:p>
        </w:tc>
        <w:tc>
          <w:tcPr>
            <w:tcW w:w="1560" w:type="dxa"/>
            <w:vAlign w:val="bottom"/>
            <w:gridSpan w:val="5"/>
          </w:tcPr>
          <w:p>
            <w:pPr>
              <w:ind w:left="40"/>
              <w:spacing w:after="0"/>
              <w:rPr>
                <w:sz w:val="20"/>
                <w:szCs w:val="20"/>
                <w:color w:val="auto"/>
              </w:rPr>
            </w:pPr>
            <w:r>
              <w:rPr>
                <w:rFonts w:ascii="Times New Roman" w:cs="Times New Roman" w:eastAsia="Times New Roman" w:hAnsi="Times New Roman"/>
                <w:sz w:val="12"/>
                <w:szCs w:val="12"/>
                <w:color w:val="auto"/>
              </w:rPr>
              <w:t>Change in Time Commitment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32</w:t>
            </w:r>
          </w:p>
        </w:tc>
        <w:tc>
          <w:tcPr>
            <w:tcW w:w="520" w:type="dxa"/>
            <w:vAlign w:val="bottom"/>
          </w:tcPr>
          <w:p>
            <w:pPr>
              <w:spacing w:after="0"/>
              <w:rPr>
                <w:sz w:val="17"/>
                <w:szCs w:val="17"/>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18.6</w:t>
            </w:r>
          </w:p>
        </w:tc>
        <w:tc>
          <w:tcPr>
            <w:tcW w:w="2380" w:type="dxa"/>
            <w:vAlign w:val="bottom"/>
            <w:gridSpan w:val="7"/>
          </w:tcPr>
          <w:p>
            <w:pPr>
              <w:ind w:left="40"/>
              <w:spacing w:after="0"/>
              <w:rPr>
                <w:sz w:val="20"/>
                <w:szCs w:val="20"/>
                <w:color w:val="auto"/>
              </w:rPr>
            </w:pPr>
            <w:r>
              <w:rPr>
                <w:rFonts w:ascii="Times New Roman" w:cs="Times New Roman" w:eastAsia="Times New Roman" w:hAnsi="Times New Roman"/>
                <w:sz w:val="12"/>
                <w:szCs w:val="12"/>
                <w:color w:val="auto"/>
              </w:rPr>
              <w:t>Rights as Employee, Consultant or Director  33</w:t>
            </w: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18.7</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Rights as a Stockholder</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98"/>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18.8</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Delivery of Title to 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18.9</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Fractional Shares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82"/>
              </w:rPr>
              <w:t>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18.10</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Provisions for Non-U</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33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98"/>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18.11</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Lock-Up Period</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82"/>
              </w:rPr>
              <w:t>33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18.12</w:t>
            </w:r>
          </w:p>
        </w:tc>
        <w:tc>
          <w:tcPr>
            <w:tcW w:w="7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Data Privacy</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98"/>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18.13</w:t>
            </w:r>
          </w:p>
        </w:tc>
        <w:tc>
          <w:tcPr>
            <w:tcW w:w="156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auto"/>
                <w:w w:val="99"/>
              </w:rPr>
              <w:t>Retirement and Welfare Plans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34</w:t>
            </w:r>
          </w:p>
        </w:tc>
        <w:tc>
          <w:tcPr>
            <w:tcW w:w="520" w:type="dxa"/>
            <w:vAlign w:val="bottom"/>
          </w:tcPr>
          <w:p>
            <w:pPr>
              <w:spacing w:after="0"/>
              <w:rPr>
                <w:sz w:val="17"/>
                <w:szCs w:val="17"/>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18.14</w:t>
            </w:r>
          </w:p>
        </w:tc>
        <w:tc>
          <w:tcPr>
            <w:tcW w:w="138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Beneficiary Designation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34</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18.15</w:t>
            </w:r>
          </w:p>
        </w:tc>
        <w:tc>
          <w:tcPr>
            <w:tcW w:w="7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Severability</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98"/>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18.16</w:t>
            </w:r>
          </w:p>
        </w:tc>
        <w:tc>
          <w:tcPr>
            <w:tcW w:w="186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No Constraint on Corporate Action</w:t>
            </w:r>
          </w:p>
        </w:tc>
        <w:tc>
          <w:tcPr>
            <w:tcW w:w="5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34</w:t>
            </w: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18.17</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Unfunded Obligation</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34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18.18</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Choice of Law  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bl>
    <w:p>
      <w:pPr>
        <w:spacing w:after="0" w:line="200" w:lineRule="exact"/>
        <w:rPr>
          <w:sz w:val="20"/>
          <w:szCs w:val="20"/>
          <w:color w:val="auto"/>
        </w:rPr>
      </w:pPr>
    </w:p>
    <w:p>
      <w:pPr>
        <w:spacing w:after="0" w:line="257"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2"/>
          <w:szCs w:val="12"/>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813" w:right="1440" w:bottom="1440" w:gutter="0" w:footer="0" w:header="0"/>
        </w:sectPr>
      </w:pPr>
    </w:p>
    <w:bookmarkStart w:id="48" w:name="page49"/>
    <w:bookmarkEnd w:id="4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QT Imaging Holdings, Inc</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Amended and Restated 2024 Equity Incentive Plan</w:t>
      </w:r>
    </w:p>
    <w:p>
      <w:pPr>
        <w:spacing w:after="0" w:line="114" w:lineRule="exact"/>
        <w:rPr>
          <w:sz w:val="20"/>
          <w:szCs w:val="20"/>
          <w:color w:val="auto"/>
        </w:rPr>
      </w:pPr>
    </w:p>
    <w:p>
      <w:pPr>
        <w:ind w:left="428" w:hanging="428"/>
        <w:spacing w:after="0"/>
        <w:tabs>
          <w:tab w:leader="none" w:pos="428" w:val="left"/>
        </w:tabs>
        <w:numPr>
          <w:ilvl w:val="0"/>
          <w:numId w:val="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ESTABLISHMENT, PURPOSE AND TERM OF PLAN</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right="20"/>
        <w:spacing w:after="0" w:line="262"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b w:val="1"/>
          <w:bCs w:val="1"/>
          <w:color w:val="auto"/>
        </w:rPr>
        <w:t>Establishment</w:t>
      </w:r>
      <w:r>
        <w:rPr>
          <w:rFonts w:ascii="Times New Roman" w:cs="Times New Roman" w:eastAsia="Times New Roman" w:hAnsi="Times New Roman"/>
          <w:sz w:val="12"/>
          <w:szCs w:val="12"/>
          <w:color w:val="auto"/>
        </w:rPr>
        <w:t>. The QT Imaging Holdings, Inc. Amended and Restated 2024 Equity Incentive Plan (f/k/a the GigCapital5, Inc. 2024 Equity Incentive Plan)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was originally established effective as of March 4, 2024, the date of the closing of each of the transactions contemplated by that certain business combination agreement entered into by and between GigCapital5, Inc., QTI Merger Sub, Inc., and QT Imaging, Inc., following the Plan’s approval by the stockholders of the Company (the “</w:t>
      </w:r>
      <w:r>
        <w:rPr>
          <w:rFonts w:ascii="Times New Roman" w:cs="Times New Roman" w:eastAsia="Times New Roman" w:hAnsi="Times New Roman"/>
          <w:sz w:val="12"/>
          <w:szCs w:val="12"/>
          <w:b w:val="1"/>
          <w:bCs w:val="1"/>
          <w:i w:val="1"/>
          <w:iCs w:val="1"/>
          <w:color w:val="auto"/>
        </w:rPr>
        <w:t>Effective Date</w:t>
      </w:r>
      <w:r>
        <w:rPr>
          <w:rFonts w:ascii="Times New Roman" w:cs="Times New Roman" w:eastAsia="Times New Roman" w:hAnsi="Times New Roman"/>
          <w:sz w:val="12"/>
          <w:szCs w:val="12"/>
          <w:color w:val="auto"/>
        </w:rPr>
        <w:t>”). The Plan is hereby amended and restated effective as of the date on which this Plan is approved by the stockholders of the Company (the “</w:t>
      </w:r>
      <w:r>
        <w:rPr>
          <w:rFonts w:ascii="Times New Roman" w:cs="Times New Roman" w:eastAsia="Times New Roman" w:hAnsi="Times New Roman"/>
          <w:sz w:val="12"/>
          <w:szCs w:val="12"/>
          <w:b w:val="1"/>
          <w:bCs w:val="1"/>
          <w:i w:val="1"/>
          <w:iCs w:val="1"/>
          <w:color w:val="auto"/>
        </w:rPr>
        <w:t>Amended and Restated Effective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Date</w:t>
      </w:r>
      <w:r>
        <w:rPr>
          <w:rFonts w:ascii="Times New Roman" w:cs="Times New Roman" w:eastAsia="Times New Roman" w:hAnsi="Times New Roman"/>
          <w:sz w:val="12"/>
          <w:szCs w:val="12"/>
          <w:color w:val="auto"/>
        </w:rPr>
        <w:t>”).</w:t>
      </w:r>
    </w:p>
    <w:p>
      <w:pPr>
        <w:spacing w:after="0" w:line="81" w:lineRule="exact"/>
        <w:rPr>
          <w:sz w:val="20"/>
          <w:szCs w:val="20"/>
          <w:color w:val="auto"/>
        </w:rPr>
      </w:pPr>
    </w:p>
    <w:p>
      <w:pPr>
        <w:jc w:val="both"/>
        <w:ind w:left="8" w:right="460"/>
        <w:spacing w:after="0" w:line="268"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b w:val="1"/>
          <w:bCs w:val="1"/>
          <w:color w:val="auto"/>
        </w:rPr>
        <w:t>Purpose</w:t>
      </w:r>
      <w:r>
        <w:rPr>
          <w:rFonts w:ascii="Times New Roman" w:cs="Times New Roman" w:eastAsia="Times New Roman" w:hAnsi="Times New Roman"/>
          <w:sz w:val="12"/>
          <w:szCs w:val="12"/>
          <w:color w:val="auto"/>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78" w:lineRule="exact"/>
        <w:rPr>
          <w:sz w:val="20"/>
          <w:szCs w:val="20"/>
          <w:color w:val="auto"/>
        </w:rPr>
      </w:pPr>
    </w:p>
    <w:p>
      <w:pPr>
        <w:ind w:left="8" w:right="180"/>
        <w:spacing w:after="0" w:line="286" w:lineRule="auto"/>
        <w:rPr>
          <w:sz w:val="20"/>
          <w:szCs w:val="20"/>
          <w:color w:val="auto"/>
        </w:rPr>
      </w:pPr>
      <w:r>
        <w:rPr>
          <w:rFonts w:ascii="Times New Roman" w:cs="Times New Roman" w:eastAsia="Times New Roman" w:hAnsi="Times New Roman"/>
          <w:sz w:val="12"/>
          <w:szCs w:val="12"/>
          <w:color w:val="auto"/>
        </w:rPr>
        <w:t xml:space="preserve">1.3. </w:t>
      </w:r>
      <w:r>
        <w:rPr>
          <w:rFonts w:ascii="Times New Roman" w:cs="Times New Roman" w:eastAsia="Times New Roman" w:hAnsi="Times New Roman"/>
          <w:sz w:val="12"/>
          <w:szCs w:val="12"/>
          <w:b w:val="1"/>
          <w:bCs w:val="1"/>
          <w:color w:val="auto"/>
        </w:rPr>
        <w:t>Term of Plan</w:t>
      </w:r>
      <w:r>
        <w:rPr>
          <w:rFonts w:ascii="Times New Roman" w:cs="Times New Roman" w:eastAsia="Times New Roman" w:hAnsi="Times New Roman"/>
          <w:sz w:val="12"/>
          <w:szCs w:val="12"/>
          <w:color w:val="auto"/>
        </w:rPr>
        <w:t>. The Plan shall continue in effect until its termination by the Committee; provided, however, that all Awards shall be granted, if at all, within ten (10) years from the earlier of the date that the Plan was approved by the Board or the stockholders of the Company.</w:t>
      </w:r>
    </w:p>
    <w:p>
      <w:pPr>
        <w:spacing w:after="0" w:line="67" w:lineRule="exact"/>
        <w:rPr>
          <w:sz w:val="20"/>
          <w:szCs w:val="20"/>
          <w:color w:val="auto"/>
        </w:rPr>
      </w:pPr>
    </w:p>
    <w:p>
      <w:pPr>
        <w:ind w:left="428" w:hanging="428"/>
        <w:spacing w:after="0"/>
        <w:tabs>
          <w:tab w:leader="none" w:pos="428" w:val="left"/>
        </w:tabs>
        <w:numPr>
          <w:ilvl w:val="0"/>
          <w:numId w:val="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 AND CONSTRUCTION</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b w:val="1"/>
          <w:bCs w:val="1"/>
          <w:color w:val="auto"/>
        </w:rPr>
        <w:t>Definitions</w:t>
      </w:r>
      <w:r>
        <w:rPr>
          <w:rFonts w:ascii="Times New Roman" w:cs="Times New Roman" w:eastAsia="Times New Roman" w:hAnsi="Times New Roman"/>
          <w:sz w:val="12"/>
          <w:szCs w:val="12"/>
          <w:color w:val="auto"/>
        </w:rPr>
        <w:t>. Whenever used herein, the following terms shall have their respective meanings set forth below:</w:t>
      </w:r>
    </w:p>
    <w:p>
      <w:pPr>
        <w:spacing w:after="0" w:line="114"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Affiliate</w:t>
      </w:r>
      <w:r>
        <w:rPr>
          <w:rFonts w:ascii="Times New Roman" w:cs="Times New Roman" w:eastAsia="Times New Roman" w:hAnsi="Times New Roman"/>
          <w:sz w:val="12"/>
          <w:szCs w:val="12"/>
          <w:color w:val="auto"/>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spacing w:after="0" w:line="78"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Award</w:t>
      </w:r>
      <w:r>
        <w:rPr>
          <w:rFonts w:ascii="Times New Roman" w:cs="Times New Roman" w:eastAsia="Times New Roman" w:hAnsi="Times New Roman"/>
          <w:sz w:val="12"/>
          <w:szCs w:val="12"/>
          <w:color w:val="auto"/>
        </w:rPr>
        <w:t>” means any Option, Stock Appreciation Right, Restricted Stock Purchase Right, Restricted Stock Bonus, Restricted Stock Unit, Performance Share, Performance Unit, Cash-Based Award or Other Stock-Based Award granted under the Plan.</w:t>
      </w:r>
    </w:p>
    <w:p>
      <w:pPr>
        <w:spacing w:after="0" w:line="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Award Agreement</w:t>
      </w:r>
      <w:r>
        <w:rPr>
          <w:rFonts w:ascii="Times New Roman" w:cs="Times New Roman" w:eastAsia="Times New Roman" w:hAnsi="Times New Roman"/>
          <w:sz w:val="12"/>
          <w:szCs w:val="12"/>
          <w:color w:val="auto"/>
        </w:rPr>
        <w:t>” means a written or electronic agreement between the Company and a Participant setting forth the terms, conditions and restrictions applicable to an Award.</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Board</w:t>
      </w:r>
      <w:r>
        <w:rPr>
          <w:rFonts w:ascii="Times New Roman" w:cs="Times New Roman" w:eastAsia="Times New Roman" w:hAnsi="Times New Roman"/>
          <w:sz w:val="12"/>
          <w:szCs w:val="12"/>
          <w:color w:val="auto"/>
        </w:rPr>
        <w:t>” means the Board of Directors of the Company.</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Cash-Based Award</w:t>
      </w:r>
      <w:r>
        <w:rPr>
          <w:rFonts w:ascii="Times New Roman" w:cs="Times New Roman" w:eastAsia="Times New Roman" w:hAnsi="Times New Roman"/>
          <w:sz w:val="12"/>
          <w:szCs w:val="12"/>
          <w:color w:val="auto"/>
        </w:rPr>
        <w:t>” means an Award denominated in cash and granted pursuant to Section 11.</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Cashless Exercise</w:t>
      </w:r>
      <w:r>
        <w:rPr>
          <w:rFonts w:ascii="Times New Roman" w:cs="Times New Roman" w:eastAsia="Times New Roman" w:hAnsi="Times New Roman"/>
          <w:sz w:val="12"/>
          <w:szCs w:val="12"/>
          <w:color w:val="auto"/>
        </w:rPr>
        <w:t>” means a Cashless Exercise as defined in Section 6.3(b)(i).</w:t>
      </w:r>
    </w:p>
    <w:p>
      <w:pPr>
        <w:spacing w:after="0" w:line="114"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Cause</w:t>
      </w:r>
      <w:r>
        <w:rPr>
          <w:rFonts w:ascii="Times New Roman" w:cs="Times New Roman" w:eastAsia="Times New Roman" w:hAnsi="Times New Roman"/>
          <w:sz w:val="12"/>
          <w:szCs w:val="12"/>
          <w:color w:val="auto"/>
        </w:rPr>
        <w:t xml:space="preserve">” means, unless such term or an equivalent term is otherwise defined by the applicable Award Agreement or other written agreement between the Participant and a Participating Company applicable to an Award and which is in effect as of the date of grant of such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Times New Roman" w:cs="Times New Roman" w:eastAsia="Times New Roman" w:hAnsi="Times New Roman"/>
          <w:sz w:val="12"/>
          <w:szCs w:val="12"/>
          <w:i w:val="1"/>
          <w:iCs w:val="1"/>
          <w:color w:val="auto"/>
        </w:rPr>
        <w:t>nolo contendere</w:t>
      </w:r>
      <w:r>
        <w:rPr>
          <w:rFonts w:ascii="Times New Roman" w:cs="Times New Roman" w:eastAsia="Times New Roman" w:hAnsi="Times New Roman"/>
          <w:sz w:val="12"/>
          <w:szCs w:val="12"/>
          <w:color w:val="auto"/>
        </w:rPr>
        <w:t>) of any criminal act involving fraud, dishonesty, misappropriation or moral turpitude, or which impairs the Participant’s ability to perform his or her duties with a Participating Company.</w:t>
      </w:r>
    </w:p>
    <w:p>
      <w:pPr>
        <w:spacing w:after="0" w:line="3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09"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Change in Control</w:t>
      </w:r>
      <w:r>
        <w:rPr>
          <w:rFonts w:ascii="Times New Roman" w:cs="Times New Roman" w:eastAsia="Times New Roman" w:hAnsi="Times New Roman"/>
          <w:sz w:val="12"/>
          <w:szCs w:val="12"/>
          <w:color w:val="auto"/>
        </w:rPr>
        <w:t>” means the occurrence of any one or a combination of the following:</w:t>
      </w:r>
    </w:p>
    <w:p>
      <w:pPr>
        <w:spacing w:after="0" w:line="118" w:lineRule="exact"/>
        <w:rPr>
          <w:sz w:val="20"/>
          <w:szCs w:val="20"/>
          <w:color w:val="auto"/>
        </w:rPr>
      </w:pPr>
    </w:p>
    <w:p>
      <w:pPr>
        <w:ind w:right="20" w:firstLine="424"/>
        <w:spacing w:after="0" w:line="256" w:lineRule="auto"/>
        <w:tabs>
          <w:tab w:leader="none" w:pos="595"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84" w:lineRule="exact"/>
        <w:rPr>
          <w:rFonts w:ascii="Times New Roman" w:cs="Times New Roman" w:eastAsia="Times New Roman" w:hAnsi="Times New Roman"/>
          <w:sz w:val="12"/>
          <w:szCs w:val="12"/>
          <w:color w:val="auto"/>
        </w:rPr>
      </w:pPr>
    </w:p>
    <w:p>
      <w:pPr>
        <w:jc w:val="both"/>
        <w:ind w:right="100" w:firstLine="424"/>
        <w:spacing w:after="0" w:line="268" w:lineRule="auto"/>
        <w:tabs>
          <w:tab w:leader="none" w:pos="602"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Ownership Change Event or series of related Ownership Change Events (collectively, a “</w:t>
      </w:r>
      <w:r>
        <w:rPr>
          <w:rFonts w:ascii="Times New Roman" w:cs="Times New Roman" w:eastAsia="Times New Roman" w:hAnsi="Times New Roman"/>
          <w:sz w:val="12"/>
          <w:szCs w:val="12"/>
          <w:b w:val="1"/>
          <w:bCs w:val="1"/>
          <w:color w:val="auto"/>
        </w:rPr>
        <w:t>Transaction</w:t>
      </w:r>
      <w:r>
        <w:rPr>
          <w:rFonts w:ascii="Times New Roman" w:cs="Times New Roman" w:eastAsia="Times New Roman" w:hAnsi="Times New Roman"/>
          <w:sz w:val="12"/>
          <w:szCs w:val="12"/>
          <w:color w:val="auto"/>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2.1(ee)(iii), the entity to which the assets of the Company were transferred (the “</w:t>
      </w:r>
      <w:r>
        <w:rPr>
          <w:rFonts w:ascii="Times New Roman" w:cs="Times New Roman" w:eastAsia="Times New Roman" w:hAnsi="Times New Roman"/>
          <w:sz w:val="12"/>
          <w:szCs w:val="12"/>
          <w:b w:val="1"/>
          <w:bCs w:val="1"/>
          <w:color w:val="auto"/>
        </w:rPr>
        <w:t>Transferee</w:t>
      </w:r>
      <w:r>
        <w:rPr>
          <w:rFonts w:ascii="Times New Roman" w:cs="Times New Roman" w:eastAsia="Times New Roman" w:hAnsi="Times New Roman"/>
          <w:sz w:val="12"/>
          <w:szCs w:val="12"/>
          <w:color w:val="auto"/>
        </w:rPr>
        <w:t>”), as the case may be; or</w:t>
      </w:r>
    </w:p>
    <w:p>
      <w:pPr>
        <w:spacing w:after="0" w:line="81" w:lineRule="exact"/>
        <w:rPr>
          <w:rFonts w:ascii="Times New Roman" w:cs="Times New Roman" w:eastAsia="Times New Roman" w:hAnsi="Times New Roman"/>
          <w:sz w:val="12"/>
          <w:szCs w:val="12"/>
          <w:color w:val="auto"/>
        </w:rPr>
      </w:pPr>
    </w:p>
    <w:p>
      <w:pPr>
        <w:ind w:right="200" w:firstLine="424"/>
        <w:spacing w:after="0" w:line="265" w:lineRule="auto"/>
        <w:tabs>
          <w:tab w:leader="none" w:pos="595"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date specified by the Committee following approval by the stockholders of a plan of complete liquidation or dissolution of the Company; 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 The Committee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Code</w:t>
      </w:r>
      <w:r>
        <w:rPr>
          <w:rFonts w:ascii="Times New Roman" w:cs="Times New Roman" w:eastAsia="Times New Roman" w:hAnsi="Times New Roman"/>
          <w:sz w:val="12"/>
          <w:szCs w:val="12"/>
          <w:color w:val="auto"/>
        </w:rPr>
        <w:t>” means the Internal Revenue Code of 1986, as amended, and any applicable regulations and administrative guidelines promulgated thereunder.</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Committee</w:t>
      </w:r>
      <w:r>
        <w:rPr>
          <w:rFonts w:ascii="Times New Roman" w:cs="Times New Roman" w:eastAsia="Times New Roman" w:hAnsi="Times New Roman"/>
          <w:sz w:val="12"/>
          <w:szCs w:val="12"/>
          <w:color w:val="auto"/>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means QT Imaging Holdings, Inc. (f/k/a GigCapital5, Inc.), a Delaware corporation, and any successor corporation thereto.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Consultant</w:t>
      </w:r>
      <w:r>
        <w:rPr>
          <w:rFonts w:ascii="Times New Roman" w:cs="Times New Roman" w:eastAsia="Times New Roman" w:hAnsi="Times New Roman"/>
          <w:sz w:val="12"/>
          <w:szCs w:val="12"/>
          <w:color w:val="auto"/>
        </w:rPr>
        <w:t>” means a person engaged to provide consulting or advisory services (other than as an Employee or a Director) to a Participating Company, provided that the identity of such person, the nature of such services or the entity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color w:val="auto"/>
        </w:rPr>
        <w:t>to which such services are provided would not preclude the Company from offering or selling securities to such person pursuant to the Plan in reliance on registration on Form S-8 under the Securities Act.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Director</w:t>
      </w:r>
      <w:r>
        <w:rPr>
          <w:rFonts w:ascii="Times New Roman" w:cs="Times New Roman" w:eastAsia="Times New Roman" w:hAnsi="Times New Roman"/>
          <w:sz w:val="12"/>
          <w:szCs w:val="12"/>
          <w:color w:val="auto"/>
        </w:rPr>
        <w:t>” means a member of the Board.</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Disability</w:t>
      </w:r>
      <w:r>
        <w:rPr>
          <w:rFonts w:ascii="Times New Roman" w:cs="Times New Roman" w:eastAsia="Times New Roman" w:hAnsi="Times New Roman"/>
          <w:sz w:val="12"/>
          <w:szCs w:val="12"/>
          <w:color w:val="auto"/>
        </w:rPr>
        <w:t>” means, unless such term or an equivalent term is otherwise defined by the applicable Award Agreement or other written agreement between the Participant and a Participating Company applicable to an Award and which is in effect as of the date of grant of such Award, the permanent and total disability of the Participant, within the meaning of Section 22(e)(3) of the Code.</w:t>
      </w:r>
    </w:p>
    <w:p>
      <w:pPr>
        <w:spacing w:after="0" w:line="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Dividend Equivalent Right</w:t>
      </w:r>
      <w:r>
        <w:rPr>
          <w:rFonts w:ascii="Times New Roman" w:cs="Times New Roman" w:eastAsia="Times New Roman" w:hAnsi="Times New Roman"/>
          <w:sz w:val="12"/>
          <w:szCs w:val="12"/>
          <w:color w:val="auto"/>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Employee</w:t>
      </w:r>
      <w:r>
        <w:rPr>
          <w:rFonts w:ascii="Times New Roman" w:cs="Times New Roman" w:eastAsia="Times New Roman" w:hAnsi="Times New Roman"/>
          <w:sz w:val="12"/>
          <w:szCs w:val="12"/>
          <w:color w:val="auto"/>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means the Securities Exchange Act of 1934, as amended.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Fair Market Value</w:t>
      </w:r>
      <w:r>
        <w:rPr>
          <w:rFonts w:ascii="Times New Roman" w:cs="Times New Roman" w:eastAsia="Times New Roman" w:hAnsi="Times New Roman"/>
          <w:sz w:val="12"/>
          <w:szCs w:val="12"/>
          <w:color w:val="auto"/>
        </w:rPr>
        <w:t>” means, as of any date, the value of a share of Stock or other property as determined by the Committee, in its discretion, or by the Company, in its discretion, if such determination is expressly allocated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herein, subject to the following:</w:t>
      </w:r>
    </w:p>
    <w:p>
      <w:pPr>
        <w:spacing w:after="0" w:line="103" w:lineRule="exact"/>
        <w:rPr>
          <w:sz w:val="20"/>
          <w:szCs w:val="20"/>
          <w:color w:val="auto"/>
        </w:rPr>
      </w:pPr>
    </w:p>
    <w:p>
      <w:pPr>
        <w:ind w:right="160" w:firstLine="424"/>
        <w:spacing w:after="0" w:line="260" w:lineRule="auto"/>
        <w:tabs>
          <w:tab w:leader="none" w:pos="595"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The Wall Street Journal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86" w:lineRule="exact"/>
        <w:rPr>
          <w:rFonts w:ascii="Times New Roman" w:cs="Times New Roman" w:eastAsia="Times New Roman" w:hAnsi="Times New Roman"/>
          <w:sz w:val="12"/>
          <w:szCs w:val="12"/>
          <w:color w:val="auto"/>
        </w:rPr>
      </w:pPr>
    </w:p>
    <w:p>
      <w:pPr>
        <w:ind w:right="180" w:firstLine="424"/>
        <w:spacing w:after="0" w:line="279" w:lineRule="auto"/>
        <w:tabs>
          <w:tab w:leader="none" w:pos="602"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or Section 422 of the Code to the extent applicable.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Full Value Award</w:t>
      </w:r>
      <w:r>
        <w:rPr>
          <w:rFonts w:ascii="Times New Roman" w:cs="Times New Roman" w:eastAsia="Times New Roman" w:hAnsi="Times New Roman"/>
          <w:sz w:val="12"/>
          <w:szCs w:val="12"/>
          <w:color w:val="auto"/>
        </w:rPr>
        <w:t>”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Incentive Stock Option</w:t>
      </w:r>
      <w:r>
        <w:rPr>
          <w:rFonts w:ascii="Times New Roman" w:cs="Times New Roman" w:eastAsia="Times New Roman" w:hAnsi="Times New Roman"/>
          <w:sz w:val="12"/>
          <w:szCs w:val="12"/>
          <w:color w:val="auto"/>
        </w:rPr>
        <w:t>” means an Option intended to be (as set forth in the Award Agreement) and which qualifies as an incentive stock option within the meaning of Section 422(b) of the Code.</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Incumbent Director</w:t>
      </w:r>
      <w:r>
        <w:rPr>
          <w:rFonts w:ascii="Times New Roman" w:cs="Times New Roman" w:eastAsia="Times New Roman" w:hAnsi="Times New Roman"/>
          <w:sz w:val="12"/>
          <w:szCs w:val="12"/>
          <w:color w:val="auto"/>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Insider</w:t>
      </w:r>
      <w:r>
        <w:rPr>
          <w:rFonts w:ascii="Times New Roman" w:cs="Times New Roman" w:eastAsia="Times New Roman" w:hAnsi="Times New Roman"/>
          <w:sz w:val="12"/>
          <w:szCs w:val="12"/>
          <w:color w:val="auto"/>
        </w:rPr>
        <w:t>” means an Officer, a Director or other person whose transactions in Stock are subject to Section 16 of the Exchange Act.</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Materially Impair</w:t>
      </w:r>
      <w:r>
        <w:rPr>
          <w:rFonts w:ascii="Times New Roman" w:cs="Times New Roman" w:eastAsia="Times New Roman" w:hAnsi="Times New Roman"/>
          <w:sz w:val="12"/>
          <w:szCs w:val="12"/>
          <w:color w:val="auto"/>
        </w:rPr>
        <w:t>” 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sectPr>
      </w:pPr>
    </w:p>
    <w:bookmarkStart w:id="51" w:name="page52"/>
    <w:bookmarkEnd w:id="51"/>
    <w:p>
      <w:pPr>
        <w:jc w:val="both"/>
        <w:spacing w:after="0" w:line="265" w:lineRule="auto"/>
        <w:rPr>
          <w:sz w:val="20"/>
          <w:szCs w:val="20"/>
          <w:color w:val="auto"/>
        </w:rPr>
      </w:pPr>
      <w:r>
        <w:rPr>
          <w:rFonts w:ascii="Times New Roman" w:cs="Times New Roman" w:eastAsia="Times New Roman" w:hAnsi="Times New Roman"/>
          <w:sz w:val="12"/>
          <w:szCs w:val="12"/>
          <w:color w:val="auto"/>
        </w:rPr>
        <w:t>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Net Exercise</w:t>
      </w:r>
      <w:r>
        <w:rPr>
          <w:rFonts w:ascii="Times New Roman" w:cs="Times New Roman" w:eastAsia="Times New Roman" w:hAnsi="Times New Roman"/>
          <w:sz w:val="12"/>
          <w:szCs w:val="12"/>
          <w:color w:val="auto"/>
        </w:rPr>
        <w:t>” means a Net Exercise as defined in Section 6.3(b)(iii).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Nonemployee Director</w:t>
      </w:r>
      <w:r>
        <w:rPr>
          <w:rFonts w:ascii="Times New Roman" w:cs="Times New Roman" w:eastAsia="Times New Roman" w:hAnsi="Times New Roman"/>
          <w:sz w:val="12"/>
          <w:szCs w:val="12"/>
          <w:color w:val="auto"/>
        </w:rPr>
        <w:t>” means a Director who is not an Employee.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Nonemployee Director Award</w:t>
      </w:r>
      <w:r>
        <w:rPr>
          <w:rFonts w:ascii="Times New Roman" w:cs="Times New Roman" w:eastAsia="Times New Roman" w:hAnsi="Times New Roman"/>
          <w:sz w:val="12"/>
          <w:szCs w:val="12"/>
          <w:color w:val="auto"/>
        </w:rPr>
        <w:t>” means any Award granted to a Nonemployee Director.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Nonstatutory Stock Option</w:t>
      </w:r>
      <w:r>
        <w:rPr>
          <w:rFonts w:ascii="Times New Roman" w:cs="Times New Roman" w:eastAsia="Times New Roman" w:hAnsi="Times New Roman"/>
          <w:sz w:val="12"/>
          <w:szCs w:val="12"/>
          <w:color w:val="auto"/>
        </w:rPr>
        <w:t>” means an Option not intended to be (as set forth in the Award Agreement) or which does not qualify as an incentive stock option within the meaning of Section 422(b) of the Code.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Officer</w:t>
      </w:r>
      <w:r>
        <w:rPr>
          <w:rFonts w:ascii="Times New Roman" w:cs="Times New Roman" w:eastAsia="Times New Roman" w:hAnsi="Times New Roman"/>
          <w:sz w:val="12"/>
          <w:szCs w:val="12"/>
          <w:color w:val="auto"/>
        </w:rPr>
        <w:t>” means any person designated by the Board as an officer of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Option</w:t>
      </w:r>
      <w:r>
        <w:rPr>
          <w:rFonts w:ascii="Times New Roman" w:cs="Times New Roman" w:eastAsia="Times New Roman" w:hAnsi="Times New Roman"/>
          <w:sz w:val="12"/>
          <w:szCs w:val="12"/>
          <w:color w:val="auto"/>
        </w:rPr>
        <w:t>” means an Incentive Stock Option or a Nonstatutory Stock Option granted pursuant to the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Other Stock-Based Award</w:t>
      </w:r>
      <w:r>
        <w:rPr>
          <w:rFonts w:ascii="Times New Roman" w:cs="Times New Roman" w:eastAsia="Times New Roman" w:hAnsi="Times New Roman"/>
          <w:sz w:val="12"/>
          <w:szCs w:val="12"/>
          <w:color w:val="auto"/>
        </w:rPr>
        <w:t>” means an Award denominated in shares of Stock and granted pursuant to Section 11.</w:t>
      </w:r>
    </w:p>
    <w:p>
      <w:pPr>
        <w:spacing w:after="0" w:line="11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Ownership Change Event</w:t>
      </w:r>
      <w:r>
        <w:rPr>
          <w:rFonts w:ascii="Times New Roman" w:cs="Times New Roman" w:eastAsia="Times New Roman" w:hAnsi="Times New Roman"/>
          <w:sz w:val="12"/>
          <w:szCs w:val="12"/>
          <w:color w:val="auto"/>
        </w:rPr>
        <w:t>” 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Parent Corporation</w:t>
      </w:r>
      <w:r>
        <w:rPr>
          <w:rFonts w:ascii="Times New Roman" w:cs="Times New Roman" w:eastAsia="Times New Roman" w:hAnsi="Times New Roman"/>
          <w:sz w:val="12"/>
          <w:szCs w:val="12"/>
          <w:color w:val="auto"/>
        </w:rPr>
        <w:t>” means any present or future “parent corporation” of the Company, as defined in Section 424(e) of the Code.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Participant</w:t>
      </w:r>
      <w:r>
        <w:rPr>
          <w:rFonts w:ascii="Times New Roman" w:cs="Times New Roman" w:eastAsia="Times New Roman" w:hAnsi="Times New Roman"/>
          <w:sz w:val="12"/>
          <w:szCs w:val="12"/>
          <w:color w:val="auto"/>
        </w:rPr>
        <w:t>” means any eligible person who has been granted one or more Awards.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Participating Company</w:t>
      </w:r>
      <w:r>
        <w:rPr>
          <w:rFonts w:ascii="Times New Roman" w:cs="Times New Roman" w:eastAsia="Times New Roman" w:hAnsi="Times New Roman"/>
          <w:sz w:val="12"/>
          <w:szCs w:val="12"/>
          <w:color w:val="auto"/>
        </w:rPr>
        <w:t>” means the Company or any Parent Corporation, Subsidiary Corporation or Affiliate.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Participating Company Group</w:t>
      </w:r>
      <w:r>
        <w:rPr>
          <w:rFonts w:ascii="Times New Roman" w:cs="Times New Roman" w:eastAsia="Times New Roman" w:hAnsi="Times New Roman"/>
          <w:sz w:val="12"/>
          <w:szCs w:val="12"/>
          <w:color w:val="auto"/>
        </w:rPr>
        <w:t>” means, at any point in time, the Company and all other entities collectively which are then Participating Companies.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Performance Award</w:t>
      </w:r>
      <w:r>
        <w:rPr>
          <w:rFonts w:ascii="Times New Roman" w:cs="Times New Roman" w:eastAsia="Times New Roman" w:hAnsi="Times New Roman"/>
          <w:sz w:val="12"/>
          <w:szCs w:val="12"/>
          <w:color w:val="auto"/>
        </w:rPr>
        <w:t>” means an Award of Performance Shares or Performance Units.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Performance Award Formula</w:t>
      </w:r>
      <w:r>
        <w:rPr>
          <w:rFonts w:ascii="Times New Roman" w:cs="Times New Roman" w:eastAsia="Times New Roman" w:hAnsi="Times New Roman"/>
          <w:sz w:val="12"/>
          <w:szCs w:val="12"/>
          <w:color w:val="auto"/>
        </w:rPr>
        <w:t>”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Performance Goal</w:t>
      </w:r>
      <w:r>
        <w:rPr>
          <w:rFonts w:ascii="Times New Roman" w:cs="Times New Roman" w:eastAsia="Times New Roman" w:hAnsi="Times New Roman"/>
          <w:sz w:val="12"/>
          <w:szCs w:val="12"/>
          <w:color w:val="auto"/>
        </w:rPr>
        <w:t>” means a performance goal established by the Committee pursuant to Section 10.3.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Performance Period</w:t>
      </w:r>
      <w:r>
        <w:rPr>
          <w:rFonts w:ascii="Times New Roman" w:cs="Times New Roman" w:eastAsia="Times New Roman" w:hAnsi="Times New Roman"/>
          <w:sz w:val="12"/>
          <w:szCs w:val="12"/>
          <w:color w:val="auto"/>
        </w:rPr>
        <w:t>” means a period established by the Committee pursuant to Section 10.3 at the end of which one or more Performance Goals are to be measured.</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Performance Share</w:t>
      </w:r>
      <w:r>
        <w:rPr>
          <w:rFonts w:ascii="Times New Roman" w:cs="Times New Roman" w:eastAsia="Times New Roman" w:hAnsi="Times New Roman"/>
          <w:sz w:val="12"/>
          <w:szCs w:val="12"/>
          <w:color w:val="auto"/>
        </w:rPr>
        <w:t>” means a right granted to a Participant pursuant to Section 10 to receive a payment equal to the value of a Performance Share, as determined by the Committee, based upon attainment of applicable Performance Goal(s).</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Performance Unit</w:t>
      </w:r>
      <w:r>
        <w:rPr>
          <w:rFonts w:ascii="Times New Roman" w:cs="Times New Roman" w:eastAsia="Times New Roman" w:hAnsi="Times New Roman"/>
          <w:sz w:val="12"/>
          <w:szCs w:val="12"/>
          <w:color w:val="auto"/>
        </w:rPr>
        <w:t>” means a right granted to a Participant pursuant to Section 10 to receive a payment equal to the value of a Performance Unit, as determined by the Committee, based upon attainment of applicable Performance Goal(s).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Plan Administrator</w:t>
      </w:r>
      <w:r>
        <w:rPr>
          <w:rFonts w:ascii="Times New Roman" w:cs="Times New Roman" w:eastAsia="Times New Roman" w:hAnsi="Times New Roman"/>
          <w:sz w:val="12"/>
          <w:szCs w:val="12"/>
          <w:color w:val="auto"/>
        </w:rPr>
        <w:t>” means the person, persons, and/or third-party administrator designated by the Company to administer the day to day operations of the Plan and the Company’s other equity incentive programs.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Post-Termination Exercise Period</w:t>
      </w:r>
      <w:r>
        <w:rPr>
          <w:rFonts w:ascii="Times New Roman" w:cs="Times New Roman" w:eastAsia="Times New Roman" w:hAnsi="Times New Roman"/>
          <w:sz w:val="12"/>
          <w:szCs w:val="12"/>
          <w:color w:val="auto"/>
        </w:rPr>
        <w:t>” means the period following termination of a Participant’s Continuous Service within which an Option or SAR is exercisable, as specified in Section 6.4(a).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Restricted Stock Award</w:t>
      </w:r>
      <w:r>
        <w:rPr>
          <w:rFonts w:ascii="Times New Roman" w:cs="Times New Roman" w:eastAsia="Times New Roman" w:hAnsi="Times New Roman"/>
          <w:sz w:val="12"/>
          <w:szCs w:val="12"/>
          <w:color w:val="auto"/>
        </w:rPr>
        <w:t>” means an Award of a Restricted Stock Bonus or a Restricted Stock Purchase Right.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Restricted Stock Bonus</w:t>
      </w:r>
      <w:r>
        <w:rPr>
          <w:rFonts w:ascii="Times New Roman" w:cs="Times New Roman" w:eastAsia="Times New Roman" w:hAnsi="Times New Roman"/>
          <w:sz w:val="12"/>
          <w:szCs w:val="12"/>
          <w:color w:val="auto"/>
        </w:rPr>
        <w:t>” means Stock granted to a Participant pursuant to Section 8.</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sectPr>
      </w:pPr>
    </w:p>
    <w:bookmarkStart w:id="52" w:name="page53"/>
    <w:bookmarkEnd w:id="52"/>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Restricted Stock Purchase Right</w:t>
      </w:r>
      <w:r>
        <w:rPr>
          <w:rFonts w:ascii="Times New Roman" w:cs="Times New Roman" w:eastAsia="Times New Roman" w:hAnsi="Times New Roman"/>
          <w:sz w:val="12"/>
          <w:szCs w:val="12"/>
          <w:color w:val="auto"/>
        </w:rPr>
        <w:t>” means a right to purchase Stock granted to a Participant pursuant to Section 8.</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Restricted Stock Unit</w:t>
      </w:r>
      <w:r>
        <w:rPr>
          <w:rFonts w:ascii="Times New Roman" w:cs="Times New Roman" w:eastAsia="Times New Roman" w:hAnsi="Times New Roman"/>
          <w:sz w:val="12"/>
          <w:szCs w:val="12"/>
          <w:color w:val="auto"/>
        </w:rPr>
        <w:t>” means a right granted to a Participant pursuant to Section 9 to receive on a future date or occurrence of a future event a share of Stock or cash in lieu thereof, as determined by the Committee.</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Rule 16b-3</w:t>
      </w:r>
      <w:r>
        <w:rPr>
          <w:rFonts w:ascii="Times New Roman" w:cs="Times New Roman" w:eastAsia="Times New Roman" w:hAnsi="Times New Roman"/>
          <w:sz w:val="12"/>
          <w:szCs w:val="12"/>
          <w:color w:val="auto"/>
        </w:rPr>
        <w:t>” means Rule 16b-3 under the Exchange Act, as amended from time to time, or any successor rule or regulation.</w:t>
      </w:r>
    </w:p>
    <w:p>
      <w:pPr>
        <w:spacing w:after="0" w:line="114" w:lineRule="exact"/>
        <w:rPr>
          <w:sz w:val="20"/>
          <w:szCs w:val="20"/>
          <w:color w:val="auto"/>
        </w:rPr>
      </w:pPr>
    </w:p>
    <w:p>
      <w:pPr>
        <w:jc w:val="both"/>
        <w:ind w:left="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SAR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Stock Appreciation Right</w:t>
      </w:r>
      <w:r>
        <w:rPr>
          <w:rFonts w:ascii="Times New Roman" w:cs="Times New Roman" w:eastAsia="Times New Roman" w:hAnsi="Times New Roman"/>
          <w:sz w:val="12"/>
          <w:szCs w:val="12"/>
          <w:color w:val="auto"/>
        </w:rPr>
        <w:t>”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spacing w:after="0" w:line="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Section 409A</w:t>
      </w:r>
      <w:r>
        <w:rPr>
          <w:rFonts w:ascii="Times New Roman" w:cs="Times New Roman" w:eastAsia="Times New Roman" w:hAnsi="Times New Roman"/>
          <w:sz w:val="12"/>
          <w:szCs w:val="12"/>
          <w:color w:val="auto"/>
        </w:rPr>
        <w:t>” means Section 409A of the Code.</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Section 409A Deferred Compensation</w:t>
      </w:r>
      <w:r>
        <w:rPr>
          <w:rFonts w:ascii="Times New Roman" w:cs="Times New Roman" w:eastAsia="Times New Roman" w:hAnsi="Times New Roman"/>
          <w:sz w:val="12"/>
          <w:szCs w:val="12"/>
          <w:color w:val="auto"/>
        </w:rPr>
        <w:t>” means compensation provided pursuant to an Award that constitutes nonqualified deferred compensation within the meaning of Section 409A.</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color w:val="auto"/>
        </w:rPr>
        <w:t>” means the Securities Act of 1933, as amended.</w:t>
      </w:r>
    </w:p>
    <w:p>
      <w:pPr>
        <w:spacing w:after="0" w:line="114"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Service</w:t>
      </w:r>
      <w:r>
        <w:rPr>
          <w:rFonts w:ascii="Times New Roman" w:cs="Times New Roman" w:eastAsia="Times New Roman" w:hAnsi="Times New Roman"/>
          <w:sz w:val="12"/>
          <w:szCs w:val="12"/>
          <w:color w:val="auto"/>
        </w:rPr>
        <w:t>”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Stock</w:t>
      </w:r>
      <w:r>
        <w:rPr>
          <w:rFonts w:ascii="Times New Roman" w:cs="Times New Roman" w:eastAsia="Times New Roman" w:hAnsi="Times New Roman"/>
          <w:sz w:val="12"/>
          <w:szCs w:val="12"/>
          <w:color w:val="auto"/>
        </w:rPr>
        <w:t>” means the common stock of the Company, as adjusted from time to time in accordance with Section 4.</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Stock Tender Exercise</w:t>
      </w:r>
      <w:r>
        <w:rPr>
          <w:rFonts w:ascii="Times New Roman" w:cs="Times New Roman" w:eastAsia="Times New Roman" w:hAnsi="Times New Roman"/>
          <w:sz w:val="12"/>
          <w:szCs w:val="12"/>
          <w:color w:val="auto"/>
        </w:rPr>
        <w:t>” means a Stock Tender Exercise as defined in Section 6.3(b)(ii).</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Subsidiary Corporation</w:t>
      </w:r>
      <w:r>
        <w:rPr>
          <w:rFonts w:ascii="Times New Roman" w:cs="Times New Roman" w:eastAsia="Times New Roman" w:hAnsi="Times New Roman"/>
          <w:sz w:val="12"/>
          <w:szCs w:val="12"/>
          <w:color w:val="auto"/>
        </w:rPr>
        <w:t>” means any present or future “subsidiary corporation” of the Company, as defined in Section 424(f) of the Code.</w:t>
      </w:r>
    </w:p>
    <w:p>
      <w:pPr>
        <w:spacing w:after="0" w:line="114"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Ten Percent Owner</w:t>
      </w:r>
      <w:r>
        <w:rPr>
          <w:rFonts w:ascii="Times New Roman" w:cs="Times New Roman" w:eastAsia="Times New Roman" w:hAnsi="Times New Roman"/>
          <w:sz w:val="12"/>
          <w:szCs w:val="12"/>
          <w:color w:val="auto"/>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spacing w:after="0" w:line="67"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Trading Compliance Policy</w:t>
      </w:r>
      <w:r>
        <w:rPr>
          <w:rFonts w:ascii="Times New Roman" w:cs="Times New Roman" w:eastAsia="Times New Roman" w:hAnsi="Times New Roman"/>
          <w:sz w:val="12"/>
          <w:szCs w:val="12"/>
          <w:color w:val="auto"/>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spacing w:after="0" w:line="67"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Vesting Conditions</w:t>
      </w:r>
      <w:r>
        <w:rPr>
          <w:rFonts w:ascii="Times New Roman" w:cs="Times New Roman" w:eastAsia="Times New Roman" w:hAnsi="Times New Roman"/>
          <w:sz w:val="12"/>
          <w:szCs w:val="12"/>
          <w:color w:val="auto"/>
        </w:rPr>
        <w:t>”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67" w:lineRule="exact"/>
        <w:rPr>
          <w:sz w:val="20"/>
          <w:szCs w:val="20"/>
          <w:color w:val="auto"/>
        </w:rPr>
      </w:pPr>
    </w:p>
    <w:p>
      <w:pPr>
        <w:ind w:left="8" w:right="60"/>
        <w:spacing w:after="0" w:line="286" w:lineRule="auto"/>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b w:val="1"/>
          <w:bCs w:val="1"/>
          <w:color w:val="auto"/>
        </w:rPr>
        <w:t>Construction</w:t>
      </w:r>
      <w:r>
        <w:rPr>
          <w:rFonts w:ascii="Times New Roman" w:cs="Times New Roman" w:eastAsia="Times New Roman" w:hAnsi="Times New Roman"/>
          <w:sz w:val="12"/>
          <w:szCs w:val="12"/>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67" w:lineRule="exact"/>
        <w:rPr>
          <w:sz w:val="20"/>
          <w:szCs w:val="20"/>
          <w:color w:val="auto"/>
        </w:rPr>
      </w:pPr>
    </w:p>
    <w:p>
      <w:pPr>
        <w:ind w:left="428" w:hanging="428"/>
        <w:spacing w:after="0"/>
        <w:tabs>
          <w:tab w:leader="none" w:pos="428" w:val="left"/>
        </w:tabs>
        <w:numPr>
          <w:ilvl w:val="0"/>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ADMINISTRATION</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right="220"/>
        <w:spacing w:after="0" w:line="286"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b w:val="1"/>
          <w:bCs w:val="1"/>
          <w:color w:val="auto"/>
        </w:rPr>
        <w:t>Administration by the Committee</w:t>
      </w:r>
      <w:r>
        <w:rPr>
          <w:rFonts w:ascii="Times New Roman" w:cs="Times New Roman" w:eastAsia="Times New Roman" w:hAnsi="Times New Roman"/>
          <w:sz w:val="12"/>
          <w:szCs w:val="12"/>
          <w:color w:val="auto"/>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w:t>
      </w:r>
    </w:p>
    <w:p>
      <w:pPr>
        <w:spacing w:after="0" w:line="3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09" w:right="299" w:bottom="1440" w:gutter="0" w:footer="0" w:header="0"/>
        </w:sectPr>
      </w:pPr>
    </w:p>
    <w:bookmarkStart w:id="53" w:name="page54"/>
    <w:bookmarkEnd w:id="53"/>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b w:val="1"/>
          <w:bCs w:val="1"/>
          <w:color w:val="auto"/>
        </w:rPr>
        <w:t>Authority of Officers</w:t>
      </w:r>
      <w:r>
        <w:rPr>
          <w:rFonts w:ascii="Times New Roman" w:cs="Times New Roman" w:eastAsia="Times New Roman" w:hAnsi="Times New Roman"/>
          <w:sz w:val="12"/>
          <w:szCs w:val="12"/>
          <w:color w:val="auto"/>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(a) the Committee shall fix the maximum number of shares subject to Awards that may be granted by such Officers, (b) each such Award shall be subject to the terms and conditions of the appropriate standard form of Award Agreement approved by the Board or the Committee and shall conform to the provisions of the Plan, and (c) each such Award shall conform to such other limits and guidelines as may be established from time to time by the Committee.</w:t>
      </w:r>
    </w:p>
    <w:p>
      <w:pPr>
        <w:spacing w:after="0" w:line="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b w:val="1"/>
          <w:bCs w:val="1"/>
          <w:color w:val="auto"/>
        </w:rPr>
        <w:t>Administration with Respect to Insiders</w:t>
      </w:r>
      <w:r>
        <w:rPr>
          <w:rFonts w:ascii="Times New Roman" w:cs="Times New Roman" w:eastAsia="Times New Roman" w:hAnsi="Times New Roman"/>
          <w:sz w:val="12"/>
          <w:szCs w:val="12"/>
          <w:color w:val="auto"/>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3.4. </w:t>
      </w:r>
      <w:r>
        <w:rPr>
          <w:rFonts w:ascii="Times New Roman" w:cs="Times New Roman" w:eastAsia="Times New Roman" w:hAnsi="Times New Roman"/>
          <w:sz w:val="12"/>
          <w:szCs w:val="12"/>
          <w:b w:val="1"/>
          <w:bCs w:val="1"/>
          <w:color w:val="auto"/>
        </w:rPr>
        <w:t>Powers of the Committee</w:t>
      </w:r>
      <w:r>
        <w:rPr>
          <w:rFonts w:ascii="Times New Roman" w:cs="Times New Roman" w:eastAsia="Times New Roman" w:hAnsi="Times New Roman"/>
          <w:sz w:val="12"/>
          <w:szCs w:val="12"/>
          <w:color w:val="auto"/>
        </w:rPr>
        <w:t>. In addition to any other powers set forth in the Plan and subject to the provisions of the Plan, the Committee shall have the full and final power and authority, in its discretion:</w:t>
      </w:r>
    </w:p>
    <w:p>
      <w:pPr>
        <w:spacing w:after="0" w:line="118" w:lineRule="exact"/>
        <w:rPr>
          <w:sz w:val="20"/>
          <w:szCs w:val="20"/>
          <w:color w:val="auto"/>
        </w:rPr>
      </w:pPr>
    </w:p>
    <w:p>
      <w:pPr>
        <w:ind w:left="580" w:hanging="156"/>
        <w:spacing w:after="0"/>
        <w:tabs>
          <w:tab w:leader="none" w:pos="5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the persons to whom, and the time or times at which, Awards shall be granted and the number of shares of Stock, units or monetary value to be subject to each Award;</w:t>
      </w:r>
    </w:p>
    <w:p>
      <w:pPr>
        <w:spacing w:after="0" w:line="114"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the type of Award granted;</w:t>
      </w:r>
    </w:p>
    <w:p>
      <w:pPr>
        <w:spacing w:after="0" w:line="114" w:lineRule="exact"/>
        <w:rPr>
          <w:rFonts w:ascii="Times New Roman" w:cs="Times New Roman" w:eastAsia="Times New Roman" w:hAnsi="Times New Roman"/>
          <w:sz w:val="12"/>
          <w:szCs w:val="12"/>
          <w:color w:val="auto"/>
        </w:rPr>
      </w:pPr>
    </w:p>
    <w:p>
      <w:pPr>
        <w:ind w:left="580" w:hanging="156"/>
        <w:spacing w:after="0"/>
        <w:tabs>
          <w:tab w:leader="none" w:pos="5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the Fair Market Value of shares of Stock or other property;</w:t>
      </w:r>
    </w:p>
    <w:p>
      <w:pPr>
        <w:spacing w:after="0" w:line="114" w:lineRule="exact"/>
        <w:rPr>
          <w:rFonts w:ascii="Times New Roman" w:cs="Times New Roman" w:eastAsia="Times New Roman" w:hAnsi="Times New Roman"/>
          <w:sz w:val="12"/>
          <w:szCs w:val="12"/>
          <w:color w:val="auto"/>
        </w:rPr>
      </w:pPr>
    </w:p>
    <w:p>
      <w:pPr>
        <w:ind w:right="100" w:firstLine="424"/>
        <w:spacing w:after="0" w:line="257" w:lineRule="auto"/>
        <w:tabs>
          <w:tab w:leader="none" w:pos="602"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89" w:lineRule="exact"/>
        <w:rPr>
          <w:rFonts w:ascii="Times New Roman" w:cs="Times New Roman" w:eastAsia="Times New Roman" w:hAnsi="Times New Roman"/>
          <w:sz w:val="12"/>
          <w:szCs w:val="12"/>
          <w:color w:val="auto"/>
        </w:rPr>
      </w:pPr>
    </w:p>
    <w:p>
      <w:pPr>
        <w:ind w:left="580" w:hanging="156"/>
        <w:spacing w:after="0"/>
        <w:tabs>
          <w:tab w:leader="none" w:pos="5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whether an Award will be settled in shares of Stock, cash, other property or in any combination thereof;</w:t>
      </w:r>
    </w:p>
    <w:p>
      <w:pPr>
        <w:spacing w:after="0" w:line="114" w:lineRule="exact"/>
        <w:rPr>
          <w:rFonts w:ascii="Times New Roman" w:cs="Times New Roman" w:eastAsia="Times New Roman" w:hAnsi="Times New Roman"/>
          <w:sz w:val="12"/>
          <w:szCs w:val="12"/>
          <w:color w:val="auto"/>
        </w:rPr>
      </w:pPr>
    </w:p>
    <w:p>
      <w:pPr>
        <w:ind w:left="580" w:hanging="156"/>
        <w:spacing w:after="0"/>
        <w:tabs>
          <w:tab w:leader="none" w:pos="5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one or more forms of Award Agreement;</w:t>
      </w:r>
    </w:p>
    <w:p>
      <w:pPr>
        <w:spacing w:after="0" w:line="114" w:lineRule="exact"/>
        <w:rPr>
          <w:rFonts w:ascii="Times New Roman" w:cs="Times New Roman" w:eastAsia="Times New Roman" w:hAnsi="Times New Roman"/>
          <w:sz w:val="12"/>
          <w:szCs w:val="12"/>
          <w:color w:val="auto"/>
        </w:rPr>
      </w:pPr>
    </w:p>
    <w:p>
      <w:pPr>
        <w:ind w:right="280" w:firstLine="424"/>
        <w:spacing w:after="0" w:line="279" w:lineRule="auto"/>
        <w:tabs>
          <w:tab w:leader="none" w:pos="602"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amend, modify, extend, cancel or renew any Award or to waive any restrictions or conditions applicable to any Award or any shares acquired pursuant thereto; provided however, that, a Participant’s rights under any Award will not be Materially Impaired by any such amendment unless (i) the Company requests the consent of the affected Participant, and (ii) such Participant consents in writing;</w:t>
      </w:r>
    </w:p>
    <w:p>
      <w:pPr>
        <w:spacing w:after="0" w:line="75" w:lineRule="exact"/>
        <w:rPr>
          <w:rFonts w:ascii="Times New Roman" w:cs="Times New Roman" w:eastAsia="Times New Roman" w:hAnsi="Times New Roman"/>
          <w:sz w:val="12"/>
          <w:szCs w:val="12"/>
          <w:color w:val="auto"/>
        </w:rPr>
      </w:pPr>
    </w:p>
    <w:p>
      <w:pPr>
        <w:ind w:right="320" w:firstLine="424"/>
        <w:spacing w:after="0" w:line="327" w:lineRule="auto"/>
        <w:tabs>
          <w:tab w:leader="none" w:pos="602"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accelerate, continue, extend or defer the exercisability or vesting of any Award or any shares acquired pursuant thereto, including with respect to the period following a Participant’s termination of Service; provided however, that, a Participant’s rights under any Award will not be Materially Impaired by any such action unless (i) the Company requests the consent of the affected Participant, and (ii) such Participant consents in writing;</w:t>
      </w:r>
    </w:p>
    <w:p>
      <w:pPr>
        <w:spacing w:after="0" w:line="51" w:lineRule="exact"/>
        <w:rPr>
          <w:rFonts w:ascii="Times New Roman" w:cs="Times New Roman" w:eastAsia="Times New Roman" w:hAnsi="Times New Roman"/>
          <w:sz w:val="11"/>
          <w:szCs w:val="11"/>
          <w:color w:val="auto"/>
        </w:rPr>
      </w:pPr>
    </w:p>
    <w:p>
      <w:pPr>
        <w:ind w:right="80" w:firstLine="424"/>
        <w:spacing w:after="0" w:line="279" w:lineRule="auto"/>
        <w:tabs>
          <w:tab w:leader="none" w:pos="575"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w:t>
      </w:r>
    </w:p>
    <w:p>
      <w:pPr>
        <w:spacing w:after="0" w:line="75" w:lineRule="exact"/>
        <w:rPr>
          <w:rFonts w:ascii="Times New Roman" w:cs="Times New Roman" w:eastAsia="Times New Roman" w:hAnsi="Times New Roman"/>
          <w:sz w:val="12"/>
          <w:szCs w:val="12"/>
          <w:color w:val="auto"/>
        </w:rPr>
      </w:pPr>
    </w:p>
    <w:p>
      <w:pPr>
        <w:ind w:right="240" w:firstLine="424"/>
        <w:spacing w:after="0" w:line="279" w:lineRule="auto"/>
        <w:tabs>
          <w:tab w:leader="none" w:pos="575"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3" w:right="319" w:bottom="1440" w:gutter="0" w:footer="0" w:header="0"/>
        </w:sectPr>
      </w:pPr>
    </w:p>
    <w:bookmarkStart w:id="54" w:name="page55"/>
    <w:bookmarkEnd w:id="54"/>
    <w:p>
      <w:pPr>
        <w:ind w:left="8"/>
        <w:spacing w:after="0"/>
        <w:rPr>
          <w:sz w:val="20"/>
          <w:szCs w:val="20"/>
          <w:color w:val="auto"/>
        </w:rPr>
      </w:pPr>
      <w:r>
        <w:rPr>
          <w:rFonts w:ascii="Times New Roman" w:cs="Times New Roman" w:eastAsia="Times New Roman" w:hAnsi="Times New Roman"/>
          <w:sz w:val="12"/>
          <w:szCs w:val="12"/>
          <w:color w:val="auto"/>
        </w:rPr>
        <w:t>change affecting the shares of Stock or the share price of the Stock including any Change in Control, for reasons of administrative convenience;</w:t>
      </w:r>
    </w:p>
    <w:p>
      <w:pPr>
        <w:spacing w:after="0" w:line="114" w:lineRule="exact"/>
        <w:rPr>
          <w:sz w:val="20"/>
          <w:szCs w:val="20"/>
          <w:color w:val="auto"/>
        </w:rPr>
      </w:pPr>
    </w:p>
    <w:p>
      <w:pPr>
        <w:ind w:left="8" w:right="60" w:firstLine="424"/>
        <w:spacing w:after="0" w:line="260" w:lineRule="auto"/>
        <w:tabs>
          <w:tab w:leader="none" w:pos="61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effect, at any time and from time to time, subject to the consent of any Participant whose Award is Materially Impaired by such action, (i) the reduction of the exercise price (or strike price) of any outstanding Option or SAR; (i) the cancellation of any outstanding Option or SAR and the grant in substitution therefor of (A) a new Option, SAR, Restricted Stock Award, RSU Award or Other Award, under the Plan or another equity plan of the Company, covering the same or a different number of shares of Stock, (B) cash and/or (C) other valuable consideration (as determined by the Board); or (iii) any other action that is treated as a repricing under generally accepted accounting principles; and</w:t>
      </w:r>
    </w:p>
    <w:p>
      <w:pPr>
        <w:spacing w:after="0" w:line="86" w:lineRule="exact"/>
        <w:rPr>
          <w:rFonts w:ascii="Times New Roman" w:cs="Times New Roman" w:eastAsia="Times New Roman" w:hAnsi="Times New Roman"/>
          <w:sz w:val="12"/>
          <w:szCs w:val="12"/>
          <w:color w:val="auto"/>
        </w:rPr>
      </w:pPr>
    </w:p>
    <w:p>
      <w:pPr>
        <w:ind w:left="8" w:right="160" w:firstLine="424"/>
        <w:spacing w:after="0" w:line="279" w:lineRule="auto"/>
        <w:tabs>
          <w:tab w:leader="none" w:pos="583"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71" w:lineRule="exact"/>
        <w:rPr>
          <w:sz w:val="20"/>
          <w:szCs w:val="20"/>
          <w:color w:val="auto"/>
        </w:rPr>
      </w:pPr>
    </w:p>
    <w:p>
      <w:pPr>
        <w:ind w:left="8" w:right="80"/>
        <w:spacing w:after="0" w:line="262" w:lineRule="auto"/>
        <w:rPr>
          <w:sz w:val="20"/>
          <w:szCs w:val="20"/>
          <w:color w:val="auto"/>
        </w:rPr>
      </w:pPr>
      <w:r>
        <w:rPr>
          <w:rFonts w:ascii="Times New Roman" w:cs="Times New Roman" w:eastAsia="Times New Roman" w:hAnsi="Times New Roman"/>
          <w:sz w:val="12"/>
          <w:szCs w:val="12"/>
          <w:color w:val="auto"/>
        </w:rPr>
        <w:t xml:space="preserve">3.5. </w:t>
      </w:r>
      <w:r>
        <w:rPr>
          <w:rFonts w:ascii="Times New Roman" w:cs="Times New Roman" w:eastAsia="Times New Roman" w:hAnsi="Times New Roman"/>
          <w:sz w:val="12"/>
          <w:szCs w:val="12"/>
          <w:b w:val="1"/>
          <w:bCs w:val="1"/>
          <w:color w:val="auto"/>
        </w:rPr>
        <w:t>Option or SAR Repricing</w:t>
      </w:r>
      <w:r>
        <w:rPr>
          <w:rFonts w:ascii="Times New Roman" w:cs="Times New Roman" w:eastAsia="Times New Roman" w:hAnsi="Times New Roman"/>
          <w:sz w:val="12"/>
          <w:szCs w:val="12"/>
          <w:color w:val="auto"/>
        </w:rPr>
        <w:t>. The Committee shall have the authority, without additional approval by the stockholders of the Company, to approve a program providing for either (a) the cancellation of outstanding Options or SARs having exercise prices per share greater than the then Fair Market Value of a share of Stock (“</w:t>
      </w:r>
      <w:r>
        <w:rPr>
          <w:rFonts w:ascii="Times New Roman" w:cs="Times New Roman" w:eastAsia="Times New Roman" w:hAnsi="Times New Roman"/>
          <w:sz w:val="12"/>
          <w:szCs w:val="12"/>
          <w:b w:val="1"/>
          <w:bCs w:val="1"/>
          <w:color w:val="auto"/>
        </w:rPr>
        <w:t>Underwater Awards</w:t>
      </w:r>
      <w:r>
        <w:rPr>
          <w:rFonts w:ascii="Times New Roman" w:cs="Times New Roman" w:eastAsia="Times New Roman" w:hAnsi="Times New Roman"/>
          <w:sz w:val="12"/>
          <w:szCs w:val="12"/>
          <w:color w:val="auto"/>
        </w:rPr>
        <w:t>”) and the grant in substitution therefor of new Options or SARs covering the same or a different number of shares but with an exercise price per share equal to the Fair Market Value per share on the new grant date, Full Value Awards, or payments in cash, or (b) the amendment of outstanding Underwater Awards to reduce the exercise price thereof to the Fair Market Value per share on the date of amendment.</w:t>
      </w:r>
    </w:p>
    <w:p>
      <w:pPr>
        <w:spacing w:after="0" w:line="81" w:lineRule="exact"/>
        <w:rPr>
          <w:sz w:val="20"/>
          <w:szCs w:val="20"/>
          <w:color w:val="auto"/>
        </w:rPr>
      </w:pPr>
    </w:p>
    <w:p>
      <w:pPr>
        <w:ind w:left="8"/>
        <w:spacing w:after="0" w:line="256" w:lineRule="auto"/>
        <w:rPr>
          <w:sz w:val="20"/>
          <w:szCs w:val="20"/>
          <w:color w:val="auto"/>
        </w:rPr>
      </w:pPr>
      <w:r>
        <w:rPr>
          <w:rFonts w:ascii="Times New Roman" w:cs="Times New Roman" w:eastAsia="Times New Roman" w:hAnsi="Times New Roman"/>
          <w:sz w:val="12"/>
          <w:szCs w:val="12"/>
          <w:color w:val="auto"/>
        </w:rPr>
        <w:t xml:space="preserve">3.6. </w:t>
      </w:r>
      <w:r>
        <w:rPr>
          <w:rFonts w:ascii="Times New Roman" w:cs="Times New Roman" w:eastAsia="Times New Roman" w:hAnsi="Times New Roman"/>
          <w:sz w:val="12"/>
          <w:szCs w:val="12"/>
          <w:b w:val="1"/>
          <w:bCs w:val="1"/>
          <w:color w:val="auto"/>
        </w:rPr>
        <w:t>Indemnification</w:t>
      </w:r>
      <w:r>
        <w:rPr>
          <w:rFonts w:ascii="Times New Roman" w:cs="Times New Roman" w:eastAsia="Times New Roman" w:hAnsi="Times New Roman"/>
          <w:sz w:val="12"/>
          <w:szCs w:val="12"/>
          <w:color w:val="auto"/>
        </w:rPr>
        <w:t>.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86" w:lineRule="exact"/>
        <w:rPr>
          <w:sz w:val="20"/>
          <w:szCs w:val="20"/>
          <w:color w:val="auto"/>
        </w:rPr>
      </w:pPr>
    </w:p>
    <w:p>
      <w:pPr>
        <w:ind w:left="428" w:hanging="428"/>
        <w:spacing w:after="0"/>
        <w:tabs>
          <w:tab w:leader="none" w:pos="428" w:val="left"/>
        </w:tabs>
        <w:numPr>
          <w:ilvl w:val="0"/>
          <w:numId w:val="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SHARES SUBJECT TO PLAN</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spacing w:after="0" w:line="259" w:lineRule="auto"/>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b w:val="1"/>
          <w:bCs w:val="1"/>
          <w:color w:val="auto"/>
        </w:rPr>
        <w:t>Maximum Number of Shares Issuable</w:t>
      </w:r>
      <w:r>
        <w:rPr>
          <w:rFonts w:ascii="Times New Roman" w:cs="Times New Roman" w:eastAsia="Times New Roman" w:hAnsi="Times New Roman"/>
          <w:sz w:val="12"/>
          <w:szCs w:val="12"/>
          <w:color w:val="auto"/>
        </w:rPr>
        <w:t>. Subject to adjustment as provided in Sections 4.2 and 4.3, the maximum aggregate number of shares of Stock that may be issued under the Plan as of July 28, 2026 shall be equal to (a) 2,378,178 shares, which includes an increase under clause (B) below made on the first day of the Company’s 2025 and 2026 fiscal years, plus (B) an annual increase, effective as of the first day of the Company’s fiscal year beginning in 2027 and the first day of each subsequent fiscal year through and including the first day of the Company’s fiscal year beginning on the ninth (9th) anniversary of the commencement on the first day of the Company’s 2025 fiscal year of such annual increase, equal to the lesser of (i) 5%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spacing w:after="0" w:line="83" w:lineRule="exact"/>
        <w:rPr>
          <w:sz w:val="20"/>
          <w:szCs w:val="20"/>
          <w:color w:val="auto"/>
        </w:rPr>
      </w:pPr>
    </w:p>
    <w:p>
      <w:pPr>
        <w:ind w:left="8" w:right="20"/>
        <w:spacing w:after="0" w:line="256" w:lineRule="auto"/>
        <w:rPr>
          <w:sz w:val="20"/>
          <w:szCs w:val="20"/>
          <w:color w:val="auto"/>
        </w:rPr>
      </w:pPr>
      <w:r>
        <w:rPr>
          <w:rFonts w:ascii="Times New Roman" w:cs="Times New Roman" w:eastAsia="Times New Roman" w:hAnsi="Times New Roman"/>
          <w:sz w:val="12"/>
          <w:szCs w:val="12"/>
          <w:color w:val="auto"/>
        </w:rPr>
        <w:t xml:space="preserve">4.2. </w:t>
      </w:r>
      <w:r>
        <w:rPr>
          <w:rFonts w:ascii="Times New Roman" w:cs="Times New Roman" w:eastAsia="Times New Roman" w:hAnsi="Times New Roman"/>
          <w:sz w:val="12"/>
          <w:szCs w:val="12"/>
          <w:b w:val="1"/>
          <w:bCs w:val="1"/>
          <w:color w:val="auto"/>
        </w:rPr>
        <w:t>Share Counting</w:t>
      </w:r>
      <w:r>
        <w:rPr>
          <w:rFonts w:ascii="Times New Roman" w:cs="Times New Roman" w:eastAsia="Times New Roman" w:hAnsi="Times New Roman"/>
          <w:sz w:val="12"/>
          <w:szCs w:val="12"/>
          <w:color w:val="auto"/>
        </w:rPr>
        <w:t>.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gross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only by the net number of shares for which the Option is exercised. Shares purchased in the open market with proceeds from the exercise of Options shall not be added to the limit set forth in Section 4.1. Shares withheld or reacquired by the Company in satisfaction of tax withholding obligations pursuant to the exercise or settlement of Options or SARs pursuant to Section 16.2 and Shares withheld or</w:t>
      </w:r>
    </w:p>
    <w:p>
      <w:pPr>
        <w:spacing w:after="0" w:line="3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813" w:right="319" w:bottom="1440" w:gutter="0" w:footer="0" w:header="0"/>
        </w:sectPr>
      </w:pPr>
    </w:p>
    <w:bookmarkStart w:id="55" w:name="page56"/>
    <w:bookmarkEnd w:id="55"/>
    <w:p>
      <w:pPr>
        <w:ind w:left="8"/>
        <w:spacing w:after="0"/>
        <w:rPr>
          <w:sz w:val="20"/>
          <w:szCs w:val="20"/>
          <w:color w:val="auto"/>
        </w:rPr>
      </w:pPr>
      <w:r>
        <w:rPr>
          <w:rFonts w:ascii="Times New Roman" w:cs="Times New Roman" w:eastAsia="Times New Roman" w:hAnsi="Times New Roman"/>
          <w:sz w:val="12"/>
          <w:szCs w:val="12"/>
          <w:color w:val="auto"/>
        </w:rPr>
        <w:t>reacquired by the Company in satisfaction of tax withholding obligations pursuant to the vesting or settlement of Full Value Awards pursuant to Section 16.2 shall again become available for issuance under the Plan.</w:t>
      </w:r>
    </w:p>
    <w:p>
      <w:pPr>
        <w:spacing w:after="0" w:line="110" w:lineRule="exact"/>
        <w:rPr>
          <w:sz w:val="20"/>
          <w:szCs w:val="20"/>
          <w:color w:val="auto"/>
        </w:rPr>
      </w:pPr>
    </w:p>
    <w:p>
      <w:pPr>
        <w:ind w:left="8"/>
        <w:spacing w:after="0" w:line="253"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b w:val="1"/>
          <w:bCs w:val="1"/>
          <w:color w:val="auto"/>
        </w:rPr>
        <w:t>Adjustments for Changes in Capital Structure</w:t>
      </w:r>
      <w:r>
        <w:rPr>
          <w:rFonts w:ascii="Times New Roman" w:cs="Times New Roman" w:eastAsia="Times New Roman" w:hAnsi="Times New Roman"/>
          <w:sz w:val="12"/>
          <w:szCs w:val="12"/>
          <w:color w:val="auto"/>
        </w:rPr>
        <w:t>.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annual increase set forth in Section 4.1, the Award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 w:cs="Times New Roman" w:eastAsia="Times New Roman" w:hAnsi="Times New Roman"/>
          <w:sz w:val="12"/>
          <w:szCs w:val="12"/>
          <w:b w:val="1"/>
          <w:bCs w:val="1"/>
          <w:color w:val="auto"/>
        </w:rPr>
        <w:t>New Shares</w:t>
      </w:r>
      <w:r>
        <w:rPr>
          <w:rFonts w:ascii="Times New Roman" w:cs="Times New Roman" w:eastAsia="Times New Roman" w:hAnsi="Times New Roman"/>
          <w:sz w:val="12"/>
          <w:szCs w:val="12"/>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89" w:lineRule="exact"/>
        <w:rPr>
          <w:sz w:val="20"/>
          <w:szCs w:val="20"/>
          <w:color w:val="auto"/>
        </w:rPr>
      </w:pPr>
    </w:p>
    <w:p>
      <w:pPr>
        <w:ind w:left="8" w:right="140"/>
        <w:spacing w:after="0" w:line="259" w:lineRule="auto"/>
        <w:rPr>
          <w:sz w:val="20"/>
          <w:szCs w:val="20"/>
          <w:color w:val="auto"/>
        </w:rPr>
      </w:pPr>
      <w:r>
        <w:rPr>
          <w:rFonts w:ascii="Times New Roman" w:cs="Times New Roman" w:eastAsia="Times New Roman" w:hAnsi="Times New Roman"/>
          <w:sz w:val="12"/>
          <w:szCs w:val="12"/>
          <w:color w:val="auto"/>
        </w:rPr>
        <w:t xml:space="preserve">4.4. </w:t>
      </w:r>
      <w:r>
        <w:rPr>
          <w:rFonts w:ascii="Times New Roman" w:cs="Times New Roman" w:eastAsia="Times New Roman" w:hAnsi="Times New Roman"/>
          <w:sz w:val="12"/>
          <w:szCs w:val="12"/>
          <w:b w:val="1"/>
          <w:bCs w:val="1"/>
          <w:color w:val="auto"/>
        </w:rPr>
        <w:t>Assumption or Substitution of Awards</w:t>
      </w:r>
      <w:r>
        <w:rPr>
          <w:rFonts w:ascii="Times New Roman" w:cs="Times New Roman" w:eastAsia="Times New Roman" w:hAnsi="Times New Roman"/>
          <w:sz w:val="12"/>
          <w:szCs w:val="12"/>
          <w:color w:val="auto"/>
        </w:rPr>
        <w:t>. The Committee may, without reducing or otherwise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spacing w:after="0" w:line="83" w:lineRule="exact"/>
        <w:rPr>
          <w:sz w:val="20"/>
          <w:szCs w:val="20"/>
          <w:color w:val="auto"/>
        </w:rPr>
      </w:pPr>
    </w:p>
    <w:p>
      <w:pPr>
        <w:ind w:left="428" w:hanging="428"/>
        <w:spacing w:after="0"/>
        <w:tabs>
          <w:tab w:leader="none" w:pos="428" w:val="left"/>
        </w:tabs>
        <w:numPr>
          <w:ilvl w:val="0"/>
          <w:numId w:val="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ELIGIBILITY, PARTICIPATION AND AWARD LIMITATIONS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b w:val="1"/>
          <w:bCs w:val="1"/>
          <w:color w:val="auto"/>
        </w:rPr>
        <w:t>Persons Eligible for Awards</w:t>
      </w:r>
      <w:r>
        <w:rPr>
          <w:rFonts w:ascii="Times New Roman" w:cs="Times New Roman" w:eastAsia="Times New Roman" w:hAnsi="Times New Roman"/>
          <w:sz w:val="12"/>
          <w:szCs w:val="12"/>
          <w:color w:val="auto"/>
        </w:rPr>
        <w:t>. Awards may be granted only to Employees, Consultants and Directors.</w:t>
      </w:r>
    </w:p>
    <w:p>
      <w:pPr>
        <w:spacing w:after="0" w:line="114" w:lineRule="exact"/>
        <w:rPr>
          <w:sz w:val="20"/>
          <w:szCs w:val="20"/>
          <w:color w:val="auto"/>
        </w:rPr>
      </w:pPr>
    </w:p>
    <w:p>
      <w:pPr>
        <w:ind w:left="8" w:right="60"/>
        <w:spacing w:after="0" w:line="286" w:lineRule="auto"/>
        <w:rPr>
          <w:sz w:val="20"/>
          <w:szCs w:val="20"/>
          <w:color w:val="auto"/>
        </w:rPr>
      </w:pP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12"/>
          <w:szCs w:val="12"/>
          <w:b w:val="1"/>
          <w:bCs w:val="1"/>
          <w:color w:val="auto"/>
        </w:rPr>
        <w:t>Participation in the Plan</w:t>
      </w:r>
      <w:r>
        <w:rPr>
          <w:rFonts w:ascii="Times New Roman" w:cs="Times New Roman" w:eastAsia="Times New Roman" w:hAnsi="Times New Roman"/>
          <w:sz w:val="12"/>
          <w:szCs w:val="12"/>
          <w:color w:val="auto"/>
        </w:rPr>
        <w:t>.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12"/>
          <w:szCs w:val="12"/>
          <w:b w:val="1"/>
          <w:bCs w:val="1"/>
          <w:color w:val="auto"/>
        </w:rPr>
        <w:t>Incentive Stock Option Limitations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right="200" w:firstLine="424"/>
        <w:spacing w:after="0" w:line="268" w:lineRule="auto"/>
        <w:tabs>
          <w:tab w:leader="none" w:pos="610" w:val="left"/>
        </w:tabs>
        <w:numPr>
          <w:ilvl w:val="0"/>
          <w:numId w:val="4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Maximum Number of Shares Issuable Pursuant to Incentive Stock Options</w:t>
      </w:r>
      <w:r>
        <w:rPr>
          <w:rFonts w:ascii="Times New Roman" w:cs="Times New Roman" w:eastAsia="Times New Roman" w:hAnsi="Times New Roman"/>
          <w:sz w:val="12"/>
          <w:szCs w:val="12"/>
          <w:color w:val="auto"/>
        </w:rPr>
        <w:t>. Subject to adjustment as provided in Section 4.3, the maximum aggregate number of shares of Stock that may be issued under the Plan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pursuant to the exercise of Incentive Stock Options shall not exceed 2,378,178 shares. The maximum aggregate number of shares of Stock that may be issued under the Plan pursuant to all Awards other than Incentive Stock Options shall be the number of shares determined in accordance with Section 4.1, subject to adjustment as provided in Sections 4.2 and 4.3.</w:t>
      </w:r>
    </w:p>
    <w:p>
      <w:pPr>
        <w:spacing w:after="0" w:line="77" w:lineRule="exact"/>
        <w:rPr>
          <w:rFonts w:ascii="Times New Roman" w:cs="Times New Roman" w:eastAsia="Times New Roman" w:hAnsi="Times New Roman"/>
          <w:sz w:val="12"/>
          <w:szCs w:val="12"/>
          <w:b w:val="1"/>
          <w:bCs w:val="1"/>
          <w:color w:val="auto"/>
        </w:rPr>
      </w:pPr>
    </w:p>
    <w:p>
      <w:pPr>
        <w:ind w:left="8" w:right="200" w:firstLine="424"/>
        <w:spacing w:after="0" w:line="286" w:lineRule="auto"/>
        <w:tabs>
          <w:tab w:leader="none" w:pos="616" w:val="left"/>
        </w:tabs>
        <w:numPr>
          <w:ilvl w:val="0"/>
          <w:numId w:val="4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Persons Eligible</w:t>
      </w:r>
      <w:r>
        <w:rPr>
          <w:rFonts w:ascii="Times New Roman" w:cs="Times New Roman" w:eastAsia="Times New Roman" w:hAnsi="Times New Roman"/>
          <w:sz w:val="12"/>
          <w:szCs w:val="12"/>
          <w:color w:val="auto"/>
        </w:rPr>
        <w:t>. An Incentive Stock Option may be granted only to a person who, on the effective date of grant, is an Employee of the Company, a Parent Corporation or a Subsidiary Corporation (each being an “</w:t>
      </w:r>
      <w:r>
        <w:rPr>
          <w:rFonts w:ascii="Times New Roman" w:cs="Times New Roman" w:eastAsia="Times New Roman" w:hAnsi="Times New Roman"/>
          <w:sz w:val="12"/>
          <w:szCs w:val="12"/>
          <w:b w:val="1"/>
          <w:bCs w:val="1"/>
          <w:color w:val="auto"/>
        </w:rPr>
        <w:t>ISO-Qualifying Corporation</w:t>
      </w:r>
      <w:r>
        <w:rPr>
          <w:rFonts w:ascii="Times New Roman" w:cs="Times New Roman" w:eastAsia="Times New Roman" w:hAnsi="Times New Roman"/>
          <w:sz w:val="12"/>
          <w:szCs w:val="12"/>
          <w:color w:val="auto"/>
        </w:rPr>
        <w:t>”). Any person who is not an Employee of an ISO-Qualifying Corporation on the effective date of the grant of an Option to such person may be granted only a Nonstatutory Stock Option.</w:t>
      </w:r>
    </w:p>
    <w:p>
      <w:pPr>
        <w:spacing w:after="0" w:line="67" w:lineRule="exact"/>
        <w:rPr>
          <w:rFonts w:ascii="Times New Roman" w:cs="Times New Roman" w:eastAsia="Times New Roman" w:hAnsi="Times New Roman"/>
          <w:sz w:val="12"/>
          <w:szCs w:val="12"/>
          <w:b w:val="1"/>
          <w:bCs w:val="1"/>
          <w:color w:val="auto"/>
        </w:rPr>
      </w:pPr>
    </w:p>
    <w:p>
      <w:pPr>
        <w:ind w:left="8" w:right="80" w:firstLine="424"/>
        <w:spacing w:after="0" w:line="334" w:lineRule="auto"/>
        <w:tabs>
          <w:tab w:leader="none" w:pos="603" w:val="left"/>
        </w:tabs>
        <w:numPr>
          <w:ilvl w:val="0"/>
          <w:numId w:val="4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Fair Market Value Limitation</w:t>
      </w:r>
      <w:r>
        <w:rPr>
          <w:rFonts w:ascii="Times New Roman" w:cs="Times New Roman" w:eastAsia="Times New Roman" w:hAnsi="Times New Roman"/>
          <w:sz w:val="11"/>
          <w:szCs w:val="11"/>
          <w:color w:val="auto"/>
        </w:rPr>
        <w:t>. To the extent that options designated as Incentive Stock Options (granted under all stock plans of the Participating Company Group, including the Plan) become exercisable by a Participant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for the first time during any calendar year for stock having a Fair Market Value greater than One Hundred Thousand Dollars ($100,000), the portion of such options which exceeds such amount shall be treated as Nonstatutory</w:t>
      </w:r>
    </w:p>
    <w:p>
      <w:pPr>
        <w:spacing w:after="0" w:line="30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3" w:right="299" w:bottom="1440" w:gutter="0" w:footer="0" w:header="0"/>
        </w:sectPr>
      </w:pPr>
    </w:p>
    <w:bookmarkStart w:id="56" w:name="page57"/>
    <w:bookmarkEnd w:id="56"/>
    <w:p>
      <w:pPr>
        <w:ind w:left="8" w:right="20"/>
        <w:spacing w:after="0" w:line="257" w:lineRule="auto"/>
        <w:rPr>
          <w:sz w:val="20"/>
          <w:szCs w:val="20"/>
          <w:color w:val="auto"/>
        </w:rPr>
      </w:pPr>
      <w:r>
        <w:rPr>
          <w:rFonts w:ascii="Times New Roman" w:cs="Times New Roman" w:eastAsia="Times New Roman" w:hAnsi="Times New Roman"/>
          <w:sz w:val="12"/>
          <w:szCs w:val="12"/>
          <w:color w:val="auto"/>
        </w:rPr>
        <w:t>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85" w:lineRule="exact"/>
        <w:rPr>
          <w:sz w:val="20"/>
          <w:szCs w:val="20"/>
          <w:color w:val="auto"/>
        </w:rPr>
      </w:pPr>
    </w:p>
    <w:p>
      <w:pPr>
        <w:ind w:left="8" w:right="120"/>
        <w:spacing w:after="0" w:line="268" w:lineRule="auto"/>
        <w:rPr>
          <w:sz w:val="20"/>
          <w:szCs w:val="20"/>
          <w:color w:val="auto"/>
        </w:rPr>
      </w:pP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12"/>
          <w:szCs w:val="12"/>
          <w:b w:val="1"/>
          <w:bCs w:val="1"/>
          <w:color w:val="auto"/>
        </w:rPr>
        <w:t>Nonemployee Director Award Limit</w:t>
      </w:r>
      <w:r>
        <w:rPr>
          <w:rFonts w:ascii="Times New Roman" w:cs="Times New Roman" w:eastAsia="Times New Roman" w:hAnsi="Times New Roman"/>
          <w:sz w:val="12"/>
          <w:szCs w:val="12"/>
          <w:color w:val="auto"/>
        </w:rPr>
        <w:t>. Annual compensation awarded to any Nonemployee Director during each calendar year, including both shares of Stock subject to Awards and any cash fees paid to such Nonemployee Director may not exceed $1,500,000 in total value, or $2,000,000 in the calendar year in which any Nonemployee Director is initially elected to the Board (calculating the value of any such Awards based on the grant date fair value of such Awards for financial reporting purposes).</w:t>
      </w:r>
    </w:p>
    <w:p>
      <w:pPr>
        <w:spacing w:after="0" w:line="78" w:lineRule="exact"/>
        <w:rPr>
          <w:sz w:val="20"/>
          <w:szCs w:val="20"/>
          <w:color w:val="auto"/>
        </w:rPr>
      </w:pPr>
    </w:p>
    <w:p>
      <w:pPr>
        <w:ind w:left="428" w:hanging="428"/>
        <w:spacing w:after="0"/>
        <w:tabs>
          <w:tab w:leader="none" w:pos="428" w:val="left"/>
        </w:tabs>
        <w:numPr>
          <w:ilvl w:val="0"/>
          <w:numId w:val="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 OPTIONS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71" w:lineRule="exact"/>
        <w:rPr>
          <w:sz w:val="20"/>
          <w:szCs w:val="20"/>
          <w:color w:val="auto"/>
        </w:rPr>
      </w:pPr>
    </w:p>
    <w:p>
      <w:pPr>
        <w:ind w:left="8" w:right="80"/>
        <w:spacing w:after="0" w:line="262" w:lineRule="auto"/>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12"/>
          <w:szCs w:val="12"/>
          <w:b w:val="1"/>
          <w:bCs w:val="1"/>
          <w:color w:val="auto"/>
        </w:rPr>
        <w:t>Exercise Price</w:t>
      </w:r>
      <w:r>
        <w:rPr>
          <w:rFonts w:ascii="Times New Roman" w:cs="Times New Roman" w:eastAsia="Times New Roman" w:hAnsi="Times New Roman"/>
          <w:sz w:val="12"/>
          <w:szCs w:val="12"/>
          <w:color w:val="auto"/>
        </w:rPr>
        <w:t>.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81" w:lineRule="exact"/>
        <w:rPr>
          <w:sz w:val="20"/>
          <w:szCs w:val="20"/>
          <w:color w:val="auto"/>
        </w:rPr>
      </w:pPr>
    </w:p>
    <w:p>
      <w:pPr>
        <w:ind w:left="8" w:right="80"/>
        <w:spacing w:after="0" w:line="257" w:lineRule="auto"/>
        <w:rPr>
          <w:sz w:val="20"/>
          <w:szCs w:val="20"/>
          <w:color w:val="auto"/>
        </w:rPr>
      </w:pPr>
      <w:r>
        <w:rPr>
          <w:rFonts w:ascii="Times New Roman" w:cs="Times New Roman" w:eastAsia="Times New Roman" w:hAnsi="Times New Roman"/>
          <w:sz w:val="12"/>
          <w:szCs w:val="12"/>
          <w:color w:val="auto"/>
        </w:rPr>
        <w:t xml:space="preserve">6.2. </w:t>
      </w:r>
      <w:r>
        <w:rPr>
          <w:rFonts w:ascii="Times New Roman" w:cs="Times New Roman" w:eastAsia="Times New Roman" w:hAnsi="Times New Roman"/>
          <w:sz w:val="12"/>
          <w:szCs w:val="12"/>
          <w:b w:val="1"/>
          <w:bCs w:val="1"/>
          <w:color w:val="auto"/>
        </w:rPr>
        <w:t>Exercisability and Term of Options</w:t>
      </w:r>
      <w:r>
        <w:rPr>
          <w:rFonts w:ascii="Times New Roman" w:cs="Times New Roman" w:eastAsia="Times New Roman" w:hAnsi="Times New Roman"/>
          <w:sz w:val="12"/>
          <w:szCs w:val="12"/>
          <w:color w:val="auto"/>
        </w:rPr>
        <w:t>.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6.3. </w:t>
      </w:r>
      <w:r>
        <w:rPr>
          <w:rFonts w:ascii="Times New Roman" w:cs="Times New Roman" w:eastAsia="Times New Roman" w:hAnsi="Times New Roman"/>
          <w:sz w:val="12"/>
          <w:szCs w:val="12"/>
          <w:b w:val="1"/>
          <w:bCs w:val="1"/>
          <w:color w:val="auto"/>
        </w:rPr>
        <w:t>Payment of Exercise Price</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right="100" w:firstLine="424"/>
        <w:spacing w:after="0" w:line="262" w:lineRule="auto"/>
        <w:tabs>
          <w:tab w:leader="none" w:pos="610" w:val="left"/>
        </w:tabs>
        <w:numPr>
          <w:ilvl w:val="0"/>
          <w:numId w:val="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Forms of Consideration Authorized</w:t>
      </w:r>
      <w:r>
        <w:rPr>
          <w:rFonts w:ascii="Times New Roman" w:cs="Times New Roman" w:eastAsia="Times New Roman" w:hAnsi="Times New Roman"/>
          <w:sz w:val="12"/>
          <w:szCs w:val="12"/>
          <w:color w:val="auto"/>
        </w:rPr>
        <w:t>. Except as otherwise provided below, payment of the exercise price for the number of shares of Stock being purchased pursuant to any Option shall be made (i) in cash, by check or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cash equivalent; (ii) 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81" w:lineRule="exact"/>
        <w:rPr>
          <w:rFonts w:ascii="Times New Roman" w:cs="Times New Roman" w:eastAsia="Times New Roman" w:hAnsi="Times New Roman"/>
          <w:sz w:val="12"/>
          <w:szCs w:val="12"/>
          <w:b w:val="1"/>
          <w:bCs w:val="1"/>
          <w:color w:val="auto"/>
        </w:rPr>
      </w:pPr>
    </w:p>
    <w:p>
      <w:pPr>
        <w:ind w:left="608" w:hanging="176"/>
        <w:spacing w:after="0"/>
        <w:tabs>
          <w:tab w:leader="none" w:pos="608" w:val="left"/>
        </w:tabs>
        <w:numPr>
          <w:ilvl w:val="0"/>
          <w:numId w:val="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Limitations on Forms of Consideration</w:t>
      </w:r>
      <w:r>
        <w:rPr>
          <w:rFonts w:ascii="Times New Roman" w:cs="Times New Roman" w:eastAsia="Times New Roman" w:hAnsi="Times New Roman"/>
          <w:sz w:val="12"/>
          <w:szCs w:val="12"/>
          <w:color w:val="auto"/>
        </w:rPr>
        <w:t>.</w:t>
      </w:r>
    </w:p>
    <w:p>
      <w:pPr>
        <w:spacing w:after="0" w:line="114" w:lineRule="exact"/>
        <w:rPr>
          <w:rFonts w:ascii="Times New Roman" w:cs="Times New Roman" w:eastAsia="Times New Roman" w:hAnsi="Times New Roman"/>
          <w:sz w:val="12"/>
          <w:szCs w:val="12"/>
          <w:b w:val="1"/>
          <w:bCs w:val="1"/>
          <w:color w:val="auto"/>
        </w:rPr>
      </w:pPr>
    </w:p>
    <w:p>
      <w:pPr>
        <w:ind w:left="8" w:right="60" w:firstLine="856"/>
        <w:spacing w:after="0" w:line="259" w:lineRule="auto"/>
        <w:tabs>
          <w:tab w:leader="none" w:pos="1015" w:val="left"/>
        </w:tabs>
        <w:numPr>
          <w:ilvl w:val="1"/>
          <w:numId w:val="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Cashless Exercise</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b w:val="1"/>
          <w:bCs w:val="1"/>
          <w:color w:val="auto"/>
        </w:rPr>
        <w:t>Cashless Exercise</w:t>
      </w:r>
      <w:r>
        <w:rPr>
          <w:rFonts w:ascii="Times New Roman" w:cs="Times New Roman" w:eastAsia="Times New Roman" w:hAnsi="Times New Roman"/>
          <w:sz w:val="12"/>
          <w:szCs w:val="12"/>
          <w:color w:val="auto"/>
        </w:rPr>
        <w:t>” means the delivery of a properly executed notice of exercise together with irrevocable instructions to a broker providing for the assignment to the Company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3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3" w:right="299" w:bottom="1440" w:gutter="0" w:footer="0" w:header="0"/>
        </w:sectPr>
      </w:pPr>
    </w:p>
    <w:bookmarkStart w:id="57" w:name="page58"/>
    <w:bookmarkEnd w:id="57"/>
    <w:p>
      <w:pPr>
        <w:ind w:right="140" w:firstLine="856"/>
        <w:spacing w:after="0" w:line="259" w:lineRule="auto"/>
        <w:tabs>
          <w:tab w:leader="none" w:pos="1040" w:val="left"/>
        </w:tabs>
        <w:numPr>
          <w:ilvl w:val="0"/>
          <w:numId w:val="5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 Tender Exercise</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b w:val="1"/>
          <w:bCs w:val="1"/>
          <w:color w:val="auto"/>
        </w:rPr>
        <w:t>Stock Tender Exercise</w:t>
      </w:r>
      <w:r>
        <w:rPr>
          <w:rFonts w:ascii="Times New Roman" w:cs="Times New Roman" w:eastAsia="Times New Roman" w:hAnsi="Times New Roman"/>
          <w:sz w:val="12"/>
          <w:szCs w:val="12"/>
          <w:color w:val="auto"/>
        </w:rPr>
        <w:t>” means the delivery of a properly executed exercise notice accompanied by a Participant’s tender to the Company, or attestation to the ownership, in a form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83" w:lineRule="exact"/>
        <w:rPr>
          <w:rFonts w:ascii="Times New Roman" w:cs="Times New Roman" w:eastAsia="Times New Roman" w:hAnsi="Times New Roman"/>
          <w:sz w:val="12"/>
          <w:szCs w:val="12"/>
          <w:b w:val="1"/>
          <w:bCs w:val="1"/>
          <w:color w:val="auto"/>
        </w:rPr>
      </w:pPr>
    </w:p>
    <w:p>
      <w:pPr>
        <w:jc w:val="both"/>
        <w:ind w:right="240" w:firstLine="856"/>
        <w:spacing w:after="0" w:line="268" w:lineRule="auto"/>
        <w:tabs>
          <w:tab w:leader="none" w:pos="1074" w:val="left"/>
        </w:tabs>
        <w:numPr>
          <w:ilvl w:val="0"/>
          <w:numId w:val="5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Net Exercise</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b w:val="1"/>
          <w:bCs w:val="1"/>
          <w:color w:val="auto"/>
        </w:rPr>
        <w:t>Net Exercise</w:t>
      </w:r>
      <w:r>
        <w:rPr>
          <w:rFonts w:ascii="Times New Roman" w:cs="Times New Roman" w:eastAsia="Times New Roman" w:hAnsi="Times New Roman"/>
          <w:sz w:val="12"/>
          <w:szCs w:val="12"/>
          <w:color w:val="auto"/>
        </w:rPr>
        <w:t>” means the delivery of a properly executed exercise notice followed by a procedure pursuant to which (1) the Company will reduce the number of shares otherwise issuable to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6.4. </w:t>
      </w:r>
      <w:r>
        <w:rPr>
          <w:rFonts w:ascii="Times New Roman" w:cs="Times New Roman" w:eastAsia="Times New Roman" w:hAnsi="Times New Roman"/>
          <w:sz w:val="12"/>
          <w:szCs w:val="12"/>
          <w:b w:val="1"/>
          <w:bCs w:val="1"/>
          <w:color w:val="auto"/>
        </w:rPr>
        <w:t>Effect of Termination of Service</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firstLine="424"/>
        <w:spacing w:after="0" w:line="262" w:lineRule="auto"/>
        <w:tabs>
          <w:tab w:leader="none" w:pos="602" w:val="left"/>
        </w:tabs>
        <w:numPr>
          <w:ilvl w:val="0"/>
          <w:numId w:val="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Option Exercisability</w:t>
      </w:r>
      <w:r>
        <w:rPr>
          <w:rFonts w:ascii="Times New Roman" w:cs="Times New Roman" w:eastAsia="Times New Roman" w:hAnsi="Times New Roman"/>
          <w:sz w:val="12"/>
          <w:szCs w:val="12"/>
          <w:color w:val="auto"/>
        </w:rPr>
        <w:t>. Subject to earlier termination of the Option as otherwise provided by this Plan and unless otherwise provided by the Committee or in an Award Agreement, an Option shall be exercisable after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Times New Roman" w:cs="Times New Roman" w:eastAsia="Times New Roman" w:hAnsi="Times New Roman"/>
          <w:sz w:val="12"/>
          <w:szCs w:val="12"/>
          <w:b w:val="1"/>
          <w:bCs w:val="1"/>
          <w:color w:val="auto"/>
        </w:rPr>
        <w:t>Option Expiration Date</w:t>
      </w:r>
      <w:r>
        <w:rPr>
          <w:rFonts w:ascii="Times New Roman" w:cs="Times New Roman" w:eastAsia="Times New Roman" w:hAnsi="Times New Roman"/>
          <w:sz w:val="12"/>
          <w:szCs w:val="12"/>
          <w:color w:val="auto"/>
        </w:rPr>
        <w:t>”), and thereafter shall terminate if not exercised during such period.</w:t>
      </w:r>
    </w:p>
    <w:p>
      <w:pPr>
        <w:spacing w:after="0" w:line="81" w:lineRule="exact"/>
        <w:rPr>
          <w:rFonts w:ascii="Times New Roman" w:cs="Times New Roman" w:eastAsia="Times New Roman" w:hAnsi="Times New Roman"/>
          <w:sz w:val="12"/>
          <w:szCs w:val="12"/>
          <w:b w:val="1"/>
          <w:bCs w:val="1"/>
          <w:color w:val="auto"/>
        </w:rPr>
      </w:pPr>
    </w:p>
    <w:p>
      <w:pPr>
        <w:ind w:right="200" w:firstLine="856"/>
        <w:spacing w:after="0" w:line="286" w:lineRule="auto"/>
        <w:tabs>
          <w:tab w:leader="none" w:pos="1007" w:val="left"/>
        </w:tabs>
        <w:numPr>
          <w:ilvl w:val="1"/>
          <w:numId w:val="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Disability</w:t>
      </w:r>
      <w:r>
        <w:rPr>
          <w:rFonts w:ascii="Times New Roman" w:cs="Times New Roman" w:eastAsia="Times New Roman" w:hAnsi="Times New Roman"/>
          <w:sz w:val="12"/>
          <w:szCs w:val="12"/>
          <w:color w:val="auto"/>
        </w:rPr>
        <w:t>. If the Participant’s Service terminates because of the Disability of the Participant, the Option, to the extent unexercised and exercisable for vested shares on the date on which the Participant’s Service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terminated, may be exercised by the Participant (or the Participant’s guardian or legal representative) at any time prior to the expiration of twelve (12) months after the date on which the Participant’s Service terminated.</w:t>
      </w:r>
    </w:p>
    <w:p>
      <w:pPr>
        <w:spacing w:after="0" w:line="67" w:lineRule="exact"/>
        <w:rPr>
          <w:rFonts w:ascii="Times New Roman" w:cs="Times New Roman" w:eastAsia="Times New Roman" w:hAnsi="Times New Roman"/>
          <w:sz w:val="12"/>
          <w:szCs w:val="12"/>
          <w:b w:val="1"/>
          <w:bCs w:val="1"/>
          <w:color w:val="auto"/>
        </w:rPr>
      </w:pPr>
    </w:p>
    <w:p>
      <w:pPr>
        <w:ind w:right="140" w:firstLine="856"/>
        <w:spacing w:after="0" w:line="262" w:lineRule="auto"/>
        <w:tabs>
          <w:tab w:leader="none" w:pos="1040" w:val="left"/>
        </w:tabs>
        <w:numPr>
          <w:ilvl w:val="1"/>
          <w:numId w:val="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Death</w:t>
      </w:r>
      <w:r>
        <w:rPr>
          <w:rFonts w:ascii="Times New Roman" w:cs="Times New Roman" w:eastAsia="Times New Roman" w:hAnsi="Times New Roman"/>
          <w:sz w:val="12"/>
          <w:szCs w:val="12"/>
          <w:color w:val="auto"/>
        </w:rPr>
        <w:t>. If the Participant’s Service terminates because of the death of the Participant, the Option, to the extent unexercised and exercisable for vested shares on the date on which the Participant’s Service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w:t>
      </w:r>
    </w:p>
    <w:p>
      <w:pPr>
        <w:spacing w:after="0" w:line="81" w:lineRule="exact"/>
        <w:rPr>
          <w:rFonts w:ascii="Times New Roman" w:cs="Times New Roman" w:eastAsia="Times New Roman" w:hAnsi="Times New Roman"/>
          <w:sz w:val="12"/>
          <w:szCs w:val="12"/>
          <w:b w:val="1"/>
          <w:bCs w:val="1"/>
          <w:color w:val="auto"/>
        </w:rPr>
      </w:pPr>
    </w:p>
    <w:p>
      <w:pPr>
        <w:jc w:val="both"/>
        <w:ind w:right="60" w:firstLine="856"/>
        <w:spacing w:after="0" w:line="268" w:lineRule="auto"/>
        <w:tabs>
          <w:tab w:leader="none" w:pos="1074" w:val="left"/>
        </w:tabs>
        <w:numPr>
          <w:ilvl w:val="1"/>
          <w:numId w:val="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for Cause</w:t>
      </w:r>
      <w:r>
        <w:rPr>
          <w:rFonts w:ascii="Times New Roman" w:cs="Times New Roman" w:eastAsia="Times New Roman" w:hAnsi="Times New Roman"/>
          <w:sz w:val="12"/>
          <w:szCs w:val="12"/>
          <w:color w:val="auto"/>
        </w:rPr>
        <w:t>. Notwithstanding any other provision of the Plan to the contrary, if the Participant’s Service is terminated for Cause or if, following the Participant’s termination of Service and during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77" w:lineRule="exact"/>
        <w:rPr>
          <w:rFonts w:ascii="Times New Roman" w:cs="Times New Roman" w:eastAsia="Times New Roman" w:hAnsi="Times New Roman"/>
          <w:sz w:val="12"/>
          <w:szCs w:val="12"/>
          <w:b w:val="1"/>
          <w:bCs w:val="1"/>
          <w:color w:val="auto"/>
        </w:rPr>
      </w:pPr>
    </w:p>
    <w:p>
      <w:pPr>
        <w:ind w:right="60" w:firstLine="856"/>
        <w:spacing w:after="0" w:line="286" w:lineRule="auto"/>
        <w:tabs>
          <w:tab w:leader="none" w:pos="1067" w:val="left"/>
        </w:tabs>
        <w:numPr>
          <w:ilvl w:val="1"/>
          <w:numId w:val="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Termination of Service</w:t>
      </w:r>
      <w:r>
        <w:rPr>
          <w:rFonts w:ascii="Times New Roman" w:cs="Times New Roman" w:eastAsia="Times New Roman" w:hAnsi="Times New Roman"/>
          <w:sz w:val="12"/>
          <w:szCs w:val="12"/>
          <w:color w:val="auto"/>
        </w:rPr>
        <w:t>. If the Participant’s Service terminates for any reason, except Disability, death or Cause, the Option, to the extent unexercised and exercisable for vested shares on the date on which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Participant’s Service terminated, may be exercised by the Participant at any time prior to the expiration of three (3) months after the date on which the Participant’s Service terminated.</w:t>
      </w:r>
    </w:p>
    <w:p>
      <w:pPr>
        <w:spacing w:after="0" w:line="67" w:lineRule="exact"/>
        <w:rPr>
          <w:rFonts w:ascii="Times New Roman" w:cs="Times New Roman" w:eastAsia="Times New Roman" w:hAnsi="Times New Roman"/>
          <w:sz w:val="12"/>
          <w:szCs w:val="12"/>
          <w:b w:val="1"/>
          <w:bCs w:val="1"/>
          <w:color w:val="auto"/>
        </w:rPr>
      </w:pPr>
    </w:p>
    <w:p>
      <w:pPr>
        <w:ind w:right="280" w:firstLine="424"/>
        <w:spacing w:after="0" w:line="268" w:lineRule="auto"/>
        <w:tabs>
          <w:tab w:leader="none" w:pos="608" w:val="left"/>
        </w:tabs>
        <w:numPr>
          <w:ilvl w:val="0"/>
          <w:numId w:val="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Extension if Exercise Prevented by Law</w:t>
      </w:r>
      <w:r>
        <w:rPr>
          <w:rFonts w:ascii="Times New Roman" w:cs="Times New Roman" w:eastAsia="Times New Roman" w:hAnsi="Times New Roman"/>
          <w:sz w:val="12"/>
          <w:szCs w:val="12"/>
          <w:color w:val="auto"/>
        </w:rPr>
        <w:t>. Notwithstanding the foregoing, other than termination of Service for Cause, if the exercise of an Option within the Post-Termination Exercise Period is prevented by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provisions of Section 14 below or applicable law, the Option shall remain exercisable until the later of (i) thirty (30) days after the date such exercise first would no longer be prevented by such provisions or (ii) the end of the Post-Termination Exercise Period, but in any event no later than the Option Expiration Date.</w:t>
      </w:r>
    </w:p>
    <w:p>
      <w:pPr>
        <w:spacing w:after="0" w:line="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2"/>
          <w:szCs w:val="12"/>
          <w:color w:val="auto"/>
        </w:rPr>
        <w:t xml:space="preserve">6.5. </w:t>
      </w:r>
      <w:r>
        <w:rPr>
          <w:rFonts w:ascii="Times New Roman" w:cs="Times New Roman" w:eastAsia="Times New Roman" w:hAnsi="Times New Roman"/>
          <w:sz w:val="12"/>
          <w:szCs w:val="12"/>
          <w:b w:val="1"/>
          <w:bCs w:val="1"/>
          <w:color w:val="auto"/>
        </w:rPr>
        <w:t>Transferability of Options</w:t>
      </w:r>
      <w:r>
        <w:rPr>
          <w:rFonts w:ascii="Times New Roman" w:cs="Times New Roman" w:eastAsia="Times New Roman" w:hAnsi="Times New Roman"/>
          <w:sz w:val="12"/>
          <w:szCs w:val="12"/>
          <w:color w:val="auto"/>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58" w:name="page59"/>
    <w:bookmarkEnd w:id="58"/>
    <w:p>
      <w:pPr>
        <w:ind w:left="8"/>
        <w:spacing w:after="0"/>
        <w:rPr>
          <w:sz w:val="20"/>
          <w:szCs w:val="20"/>
          <w:color w:val="auto"/>
        </w:rPr>
      </w:pPr>
      <w:r>
        <w:rPr>
          <w:rFonts w:ascii="Times New Roman" w:cs="Times New Roman" w:eastAsia="Times New Roman" w:hAnsi="Times New Roman"/>
          <w:sz w:val="12"/>
          <w:szCs w:val="12"/>
          <w:color w:val="auto"/>
        </w:rPr>
        <w:t>Option, only as permitted by applicable regulations under Section 421 of the Code in a manner that does not disqualify such Option as an Incentive Stock Option.</w:t>
      </w:r>
    </w:p>
    <w:p>
      <w:pPr>
        <w:spacing w:after="0" w:line="110" w:lineRule="exact"/>
        <w:rPr>
          <w:sz w:val="20"/>
          <w:szCs w:val="20"/>
          <w:color w:val="auto"/>
        </w:rPr>
      </w:pPr>
    </w:p>
    <w:p>
      <w:pPr>
        <w:ind w:left="428" w:hanging="428"/>
        <w:spacing w:after="0"/>
        <w:tabs>
          <w:tab w:leader="none" w:pos="428" w:val="left"/>
        </w:tabs>
        <w:numPr>
          <w:ilvl w:val="0"/>
          <w:numId w:val="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 APPRECIATION RIGHTS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71" w:lineRule="exact"/>
        <w:rPr>
          <w:sz w:val="20"/>
          <w:szCs w:val="20"/>
          <w:color w:val="auto"/>
        </w:rPr>
      </w:pPr>
    </w:p>
    <w:p>
      <w:pPr>
        <w:ind w:left="8" w:right="100"/>
        <w:spacing w:after="0" w:line="286" w:lineRule="auto"/>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b w:val="1"/>
          <w:bCs w:val="1"/>
          <w:color w:val="auto"/>
        </w:rPr>
        <w:t>Types of SARs Authorized</w:t>
      </w:r>
      <w:r>
        <w:rPr>
          <w:rFonts w:ascii="Times New Roman" w:cs="Times New Roman" w:eastAsia="Times New Roman" w:hAnsi="Times New Roman"/>
          <w:sz w:val="12"/>
          <w:szCs w:val="12"/>
          <w:color w:val="auto"/>
        </w:rPr>
        <w:t>. SARs may be granted in tandem with all or any portion of a related Option (a “</w:t>
      </w:r>
      <w:r>
        <w:rPr>
          <w:rFonts w:ascii="Times New Roman" w:cs="Times New Roman" w:eastAsia="Times New Roman" w:hAnsi="Times New Roman"/>
          <w:sz w:val="12"/>
          <w:szCs w:val="12"/>
          <w:b w:val="1"/>
          <w:bCs w:val="1"/>
          <w:color w:val="auto"/>
        </w:rPr>
        <w:t>Tandem SAR</w:t>
      </w:r>
      <w:r>
        <w:rPr>
          <w:rFonts w:ascii="Times New Roman" w:cs="Times New Roman" w:eastAsia="Times New Roman" w:hAnsi="Times New Roman"/>
          <w:sz w:val="12"/>
          <w:szCs w:val="12"/>
          <w:color w:val="auto"/>
        </w:rPr>
        <w:t>”) or may be granted independently of any Option (a “</w:t>
      </w:r>
      <w:r>
        <w:rPr>
          <w:rFonts w:ascii="Times New Roman" w:cs="Times New Roman" w:eastAsia="Times New Roman" w:hAnsi="Times New Roman"/>
          <w:sz w:val="12"/>
          <w:szCs w:val="12"/>
          <w:b w:val="1"/>
          <w:bCs w:val="1"/>
          <w:color w:val="auto"/>
        </w:rPr>
        <w:t>Freestanding SAR</w:t>
      </w:r>
      <w:r>
        <w:rPr>
          <w:rFonts w:ascii="Times New Roman" w:cs="Times New Roman" w:eastAsia="Times New Roman" w:hAnsi="Times New Roman"/>
          <w:sz w:val="12"/>
          <w:szCs w:val="12"/>
          <w:color w:val="auto"/>
        </w:rPr>
        <w:t>”). A Tandem SAR may only be granted concurrently with the grant of the related Option.</w:t>
      </w:r>
    </w:p>
    <w:p>
      <w:pPr>
        <w:spacing w:after="0" w:line="67" w:lineRule="exact"/>
        <w:rPr>
          <w:sz w:val="20"/>
          <w:szCs w:val="20"/>
          <w:color w:val="auto"/>
        </w:rPr>
      </w:pPr>
    </w:p>
    <w:p>
      <w:pPr>
        <w:ind w:left="8" w:right="20"/>
        <w:spacing w:after="0" w:line="262" w:lineRule="auto"/>
        <w:rPr>
          <w:sz w:val="20"/>
          <w:szCs w:val="20"/>
          <w:color w:val="auto"/>
        </w:rPr>
      </w:pPr>
      <w:r>
        <w:rPr>
          <w:rFonts w:ascii="Times New Roman" w:cs="Times New Roman" w:eastAsia="Times New Roman" w:hAnsi="Times New Roman"/>
          <w:sz w:val="12"/>
          <w:szCs w:val="12"/>
          <w:color w:val="auto"/>
        </w:rPr>
        <w:t xml:space="preserve">7.2. </w:t>
      </w:r>
      <w:r>
        <w:rPr>
          <w:rFonts w:ascii="Times New Roman" w:cs="Times New Roman" w:eastAsia="Times New Roman" w:hAnsi="Times New Roman"/>
          <w:sz w:val="12"/>
          <w:szCs w:val="12"/>
          <w:b w:val="1"/>
          <w:bCs w:val="1"/>
          <w:color w:val="auto"/>
        </w:rPr>
        <w:t>Exercise Price</w:t>
      </w:r>
      <w:r>
        <w:rPr>
          <w:rFonts w:ascii="Times New Roman" w:cs="Times New Roman" w:eastAsia="Times New Roman" w:hAnsi="Times New Roman"/>
          <w:sz w:val="12"/>
          <w:szCs w:val="12"/>
          <w:color w:val="auto"/>
        </w:rPr>
        <w:t>.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spacing w:after="0" w:line="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7.3. </w:t>
      </w:r>
      <w:r>
        <w:rPr>
          <w:rFonts w:ascii="Times New Roman" w:cs="Times New Roman" w:eastAsia="Times New Roman" w:hAnsi="Times New Roman"/>
          <w:sz w:val="12"/>
          <w:szCs w:val="12"/>
          <w:b w:val="1"/>
          <w:bCs w:val="1"/>
          <w:color w:val="auto"/>
        </w:rPr>
        <w:t>Exercisability and Term of SARs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right="40" w:firstLine="424"/>
        <w:spacing w:after="0" w:line="257" w:lineRule="auto"/>
        <w:tabs>
          <w:tab w:leader="none" w:pos="610"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Tandem SARs</w:t>
      </w:r>
      <w:r>
        <w:rPr>
          <w:rFonts w:ascii="Times New Roman" w:cs="Times New Roman" w:eastAsia="Times New Roman" w:hAnsi="Times New Roman"/>
          <w:sz w:val="12"/>
          <w:szCs w:val="12"/>
          <w:color w:val="auto"/>
        </w:rPr>
        <w:t>. Tandem SARs shall be exercisable only at the time and to the extent, and only to the extent, that the related Option is exercisable, subject to such provisions as the Committee may specify where the Tandem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85" w:lineRule="exact"/>
        <w:rPr>
          <w:rFonts w:ascii="Times New Roman" w:cs="Times New Roman" w:eastAsia="Times New Roman" w:hAnsi="Times New Roman"/>
          <w:sz w:val="12"/>
          <w:szCs w:val="12"/>
          <w:b w:val="1"/>
          <w:bCs w:val="1"/>
          <w:color w:val="auto"/>
        </w:rPr>
      </w:pPr>
    </w:p>
    <w:p>
      <w:pPr>
        <w:ind w:left="8" w:firstLine="424"/>
        <w:spacing w:after="0" w:line="262" w:lineRule="auto"/>
        <w:tabs>
          <w:tab w:leader="none" w:pos="616"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Freestanding SARs</w:t>
      </w:r>
      <w:r>
        <w:rPr>
          <w:rFonts w:ascii="Times New Roman" w:cs="Times New Roman" w:eastAsia="Times New Roman" w:hAnsi="Times New Roman"/>
          <w:sz w:val="12"/>
          <w:szCs w:val="12"/>
          <w:color w:val="auto"/>
        </w:rPr>
        <w:t>. Freestanding SARs shall be exercisable at such time or times, or upon such event or events, and subject to such terms, conditions, performance criteria and restrictions as shall be determined by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w:t>
      </w:r>
    </w:p>
    <w:p>
      <w:pPr>
        <w:spacing w:after="0" w:line="85"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71" w:lineRule="exact"/>
        <w:rPr>
          <w:sz w:val="20"/>
          <w:szCs w:val="20"/>
          <w:color w:val="auto"/>
        </w:rPr>
      </w:pPr>
    </w:p>
    <w:p>
      <w:pPr>
        <w:ind w:left="8" w:right="40"/>
        <w:spacing w:after="0" w:line="257" w:lineRule="auto"/>
        <w:rPr>
          <w:sz w:val="20"/>
          <w:szCs w:val="20"/>
          <w:color w:val="auto"/>
        </w:rPr>
      </w:pPr>
      <w:r>
        <w:rPr>
          <w:rFonts w:ascii="Times New Roman" w:cs="Times New Roman" w:eastAsia="Times New Roman" w:hAnsi="Times New Roman"/>
          <w:sz w:val="12"/>
          <w:szCs w:val="12"/>
          <w:color w:val="auto"/>
        </w:rPr>
        <w:t xml:space="preserve">7.4. </w:t>
      </w:r>
      <w:r>
        <w:rPr>
          <w:rFonts w:ascii="Times New Roman" w:cs="Times New Roman" w:eastAsia="Times New Roman" w:hAnsi="Times New Roman"/>
          <w:sz w:val="12"/>
          <w:szCs w:val="12"/>
          <w:b w:val="1"/>
          <w:bCs w:val="1"/>
          <w:color w:val="auto"/>
        </w:rPr>
        <w:t>Exercise of SARs</w:t>
      </w:r>
      <w:r>
        <w:rPr>
          <w:rFonts w:ascii="Times New Roman" w:cs="Times New Roman" w:eastAsia="Times New Roman" w:hAnsi="Times New Roman"/>
          <w:sz w:val="12"/>
          <w:szCs w:val="12"/>
          <w:color w:val="auto"/>
        </w:rPr>
        <w:t>.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85" w:lineRule="exact"/>
        <w:rPr>
          <w:sz w:val="20"/>
          <w:szCs w:val="20"/>
          <w:color w:val="auto"/>
        </w:rPr>
      </w:pPr>
    </w:p>
    <w:p>
      <w:pPr>
        <w:ind w:left="8" w:right="40"/>
        <w:spacing w:after="0" w:line="268" w:lineRule="auto"/>
        <w:rPr>
          <w:sz w:val="20"/>
          <w:szCs w:val="20"/>
          <w:color w:val="auto"/>
        </w:rPr>
      </w:pPr>
      <w:r>
        <w:rPr>
          <w:rFonts w:ascii="Times New Roman" w:cs="Times New Roman" w:eastAsia="Times New Roman" w:hAnsi="Times New Roman"/>
          <w:sz w:val="12"/>
          <w:szCs w:val="12"/>
          <w:color w:val="auto"/>
        </w:rPr>
        <w:t xml:space="preserve">7.5. </w:t>
      </w:r>
      <w:r>
        <w:rPr>
          <w:rFonts w:ascii="Times New Roman" w:cs="Times New Roman" w:eastAsia="Times New Roman" w:hAnsi="Times New Roman"/>
          <w:sz w:val="12"/>
          <w:szCs w:val="12"/>
          <w:b w:val="1"/>
          <w:bCs w:val="1"/>
          <w:color w:val="auto"/>
        </w:rPr>
        <w:t>Deemed Exercise of SARs</w:t>
      </w:r>
      <w:r>
        <w:rPr>
          <w:rFonts w:ascii="Times New Roman" w:cs="Times New Roman" w:eastAsia="Times New Roman" w:hAnsi="Times New Roman"/>
          <w:sz w:val="12"/>
          <w:szCs w:val="12"/>
          <w:color w:val="auto"/>
        </w:rPr>
        <w:t>.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w:t>
      </w:r>
    </w:p>
    <w:p>
      <w:pPr>
        <w:spacing w:after="0" w:line="3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3" w:right="299" w:bottom="1440" w:gutter="0" w:footer="0" w:header="0"/>
        </w:sectPr>
      </w:pPr>
    </w:p>
    <w:bookmarkStart w:id="59" w:name="page60"/>
    <w:bookmarkEnd w:id="59"/>
    <w:p>
      <w:pPr>
        <w:ind w:left="8" w:right="20"/>
        <w:spacing w:after="0" w:line="279" w:lineRule="auto"/>
        <w:rPr>
          <w:sz w:val="20"/>
          <w:szCs w:val="20"/>
          <w:color w:val="auto"/>
        </w:rPr>
      </w:pPr>
      <w:r>
        <w:rPr>
          <w:rFonts w:ascii="Times New Roman" w:cs="Times New Roman" w:eastAsia="Times New Roman" w:hAnsi="Times New Roman"/>
          <w:sz w:val="12"/>
          <w:szCs w:val="12"/>
          <w:color w:val="auto"/>
        </w:rPr>
        <w:t>apply the deemed exercise feature only to certain groups of Participants. The deemed exercise of a SAR pursuant to this Section 7.5 shall apply only to a SAR that has been timely accepted by a Participant under procedures specified by the Company from time to time.</w:t>
      </w:r>
    </w:p>
    <w:p>
      <w:pPr>
        <w:spacing w:after="0" w:line="71" w:lineRule="exact"/>
        <w:rPr>
          <w:sz w:val="20"/>
          <w:szCs w:val="20"/>
          <w:color w:val="auto"/>
        </w:rPr>
      </w:pPr>
    </w:p>
    <w:p>
      <w:pPr>
        <w:ind w:left="8" w:right="600"/>
        <w:spacing w:after="0" w:line="286" w:lineRule="auto"/>
        <w:rPr>
          <w:sz w:val="20"/>
          <w:szCs w:val="20"/>
          <w:color w:val="auto"/>
        </w:rPr>
      </w:pPr>
      <w:r>
        <w:rPr>
          <w:rFonts w:ascii="Times New Roman" w:cs="Times New Roman" w:eastAsia="Times New Roman" w:hAnsi="Times New Roman"/>
          <w:sz w:val="12"/>
          <w:szCs w:val="12"/>
          <w:color w:val="auto"/>
        </w:rPr>
        <w:t xml:space="preserve">7.6. </w:t>
      </w:r>
      <w:r>
        <w:rPr>
          <w:rFonts w:ascii="Times New Roman" w:cs="Times New Roman" w:eastAsia="Times New Roman" w:hAnsi="Times New Roman"/>
          <w:sz w:val="12"/>
          <w:szCs w:val="12"/>
          <w:b w:val="1"/>
          <w:bCs w:val="1"/>
          <w:color w:val="auto"/>
        </w:rPr>
        <w:t>Effect of Termination of Service</w:t>
      </w:r>
      <w:r>
        <w:rPr>
          <w:rFonts w:ascii="Times New Roman" w:cs="Times New Roman" w:eastAsia="Times New Roman" w:hAnsi="Times New Roman"/>
          <w:sz w:val="12"/>
          <w:szCs w:val="12"/>
          <w:color w:val="auto"/>
        </w:rPr>
        <w:t>.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67" w:lineRule="exact"/>
        <w:rPr>
          <w:sz w:val="20"/>
          <w:szCs w:val="20"/>
          <w:color w:val="auto"/>
        </w:rPr>
      </w:pPr>
    </w:p>
    <w:p>
      <w:pPr>
        <w:ind w:left="8" w:right="60"/>
        <w:spacing w:after="0" w:line="262" w:lineRule="auto"/>
        <w:rPr>
          <w:sz w:val="20"/>
          <w:szCs w:val="20"/>
          <w:color w:val="auto"/>
        </w:rPr>
      </w:pPr>
      <w:r>
        <w:rPr>
          <w:rFonts w:ascii="Times New Roman" w:cs="Times New Roman" w:eastAsia="Times New Roman" w:hAnsi="Times New Roman"/>
          <w:sz w:val="12"/>
          <w:szCs w:val="12"/>
          <w:color w:val="auto"/>
        </w:rPr>
        <w:t xml:space="preserve">7.7. </w:t>
      </w:r>
      <w:r>
        <w:rPr>
          <w:rFonts w:ascii="Times New Roman" w:cs="Times New Roman" w:eastAsia="Times New Roman" w:hAnsi="Times New Roman"/>
          <w:sz w:val="12"/>
          <w:szCs w:val="12"/>
          <w:b w:val="1"/>
          <w:bCs w:val="1"/>
          <w:color w:val="auto"/>
        </w:rPr>
        <w:t>Transferability of SARs</w:t>
      </w:r>
      <w:r>
        <w:rPr>
          <w:rFonts w:ascii="Times New Roman" w:cs="Times New Roman" w:eastAsia="Times New Roman" w:hAnsi="Times New Roman"/>
          <w:sz w:val="12"/>
          <w:szCs w:val="12"/>
          <w:color w:val="auto"/>
        </w:rPr>
        <w:t>.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81" w:lineRule="exact"/>
        <w:rPr>
          <w:sz w:val="20"/>
          <w:szCs w:val="20"/>
          <w:color w:val="auto"/>
        </w:rPr>
      </w:pPr>
    </w:p>
    <w:p>
      <w:pPr>
        <w:ind w:left="428" w:hanging="428"/>
        <w:spacing w:after="0"/>
        <w:tabs>
          <w:tab w:leader="none" w:pos="428" w:val="left"/>
        </w:tabs>
        <w:numPr>
          <w:ilvl w:val="0"/>
          <w:numId w:val="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RESTRICTED STOCK AWARDS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71" w:lineRule="exact"/>
        <w:rPr>
          <w:sz w:val="20"/>
          <w:szCs w:val="20"/>
          <w:color w:val="auto"/>
        </w:rPr>
      </w:pPr>
    </w:p>
    <w:p>
      <w:pPr>
        <w:jc w:val="both"/>
        <w:ind w:left="8" w:right="200"/>
        <w:spacing w:after="0" w:line="268" w:lineRule="auto"/>
        <w:rPr>
          <w:sz w:val="20"/>
          <w:szCs w:val="20"/>
          <w:color w:val="auto"/>
        </w:rPr>
      </w:pPr>
      <w:r>
        <w:rPr>
          <w:rFonts w:ascii="Times New Roman" w:cs="Times New Roman" w:eastAsia="Times New Roman" w:hAnsi="Times New Roman"/>
          <w:sz w:val="12"/>
          <w:szCs w:val="12"/>
          <w:color w:val="auto"/>
        </w:rPr>
        <w:t xml:space="preserve">8.1. </w:t>
      </w:r>
      <w:r>
        <w:rPr>
          <w:rFonts w:ascii="Times New Roman" w:cs="Times New Roman" w:eastAsia="Times New Roman" w:hAnsi="Times New Roman"/>
          <w:sz w:val="12"/>
          <w:szCs w:val="12"/>
          <w:b w:val="1"/>
          <w:bCs w:val="1"/>
          <w:color w:val="auto"/>
        </w:rPr>
        <w:t>Types of Restricted Stock Awards Authorized</w:t>
      </w:r>
      <w:r>
        <w:rPr>
          <w:rFonts w:ascii="Times New Roman" w:cs="Times New Roman" w:eastAsia="Times New Roman" w:hAnsi="Times New Roman"/>
          <w:sz w:val="12"/>
          <w:szCs w:val="12"/>
          <w:color w:val="auto"/>
        </w:rPr>
        <w:t>.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78" w:lineRule="exact"/>
        <w:rPr>
          <w:sz w:val="20"/>
          <w:szCs w:val="20"/>
          <w:color w:val="auto"/>
        </w:rPr>
      </w:pPr>
    </w:p>
    <w:p>
      <w:pPr>
        <w:ind w:left="8" w:right="180"/>
        <w:spacing w:after="0" w:line="262" w:lineRule="auto"/>
        <w:rPr>
          <w:sz w:val="20"/>
          <w:szCs w:val="20"/>
          <w:color w:val="auto"/>
        </w:rPr>
      </w:pPr>
      <w:r>
        <w:rPr>
          <w:rFonts w:ascii="Times New Roman" w:cs="Times New Roman" w:eastAsia="Times New Roman" w:hAnsi="Times New Roman"/>
          <w:sz w:val="12"/>
          <w:szCs w:val="12"/>
          <w:color w:val="auto"/>
        </w:rPr>
        <w:t xml:space="preserve">8.2. </w:t>
      </w:r>
      <w:r>
        <w:rPr>
          <w:rFonts w:ascii="Times New Roman" w:cs="Times New Roman" w:eastAsia="Times New Roman" w:hAnsi="Times New Roman"/>
          <w:sz w:val="12"/>
          <w:szCs w:val="12"/>
          <w:b w:val="1"/>
          <w:bCs w:val="1"/>
          <w:color w:val="auto"/>
        </w:rPr>
        <w:t>Purchase Price</w:t>
      </w:r>
      <w:r>
        <w:rPr>
          <w:rFonts w:ascii="Times New Roman" w:cs="Times New Roman" w:eastAsia="Times New Roman" w:hAnsi="Times New Roman"/>
          <w:sz w:val="12"/>
          <w:szCs w:val="12"/>
          <w:color w:val="auto"/>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81" w:lineRule="exact"/>
        <w:rPr>
          <w:sz w:val="20"/>
          <w:szCs w:val="20"/>
          <w:color w:val="auto"/>
        </w:rPr>
      </w:pPr>
    </w:p>
    <w:p>
      <w:pPr>
        <w:ind w:left="8" w:right="220"/>
        <w:spacing w:after="0" w:line="286" w:lineRule="auto"/>
        <w:rPr>
          <w:sz w:val="20"/>
          <w:szCs w:val="20"/>
          <w:color w:val="auto"/>
        </w:rPr>
      </w:pPr>
      <w:r>
        <w:rPr>
          <w:rFonts w:ascii="Times New Roman" w:cs="Times New Roman" w:eastAsia="Times New Roman" w:hAnsi="Times New Roman"/>
          <w:sz w:val="12"/>
          <w:szCs w:val="12"/>
          <w:color w:val="auto"/>
        </w:rPr>
        <w:t xml:space="preserve">8.3. </w:t>
      </w:r>
      <w:r>
        <w:rPr>
          <w:rFonts w:ascii="Times New Roman" w:cs="Times New Roman" w:eastAsia="Times New Roman" w:hAnsi="Times New Roman"/>
          <w:sz w:val="12"/>
          <w:szCs w:val="12"/>
          <w:b w:val="1"/>
          <w:bCs w:val="1"/>
          <w:color w:val="auto"/>
        </w:rPr>
        <w:t>Purchase Period</w:t>
      </w:r>
      <w:r>
        <w:rPr>
          <w:rFonts w:ascii="Times New Roman" w:cs="Times New Roman" w:eastAsia="Times New Roman" w:hAnsi="Times New Roman"/>
          <w:sz w:val="12"/>
          <w:szCs w:val="12"/>
          <w:color w:val="auto"/>
        </w:rPr>
        <w:t>. A Restricted Stock Purchase Right shall be exercisable within a period established by the Committee, which shall in no event exceed thirty (30) days from the effective date of the grant of the Restricted Stock Purchase Right.</w:t>
      </w:r>
    </w:p>
    <w:p>
      <w:pPr>
        <w:spacing w:after="0" w:line="67" w:lineRule="exact"/>
        <w:rPr>
          <w:sz w:val="20"/>
          <w:szCs w:val="20"/>
          <w:color w:val="auto"/>
        </w:rPr>
      </w:pPr>
    </w:p>
    <w:p>
      <w:pPr>
        <w:ind w:left="8" w:right="220"/>
        <w:spacing w:after="0" w:line="286" w:lineRule="auto"/>
        <w:rPr>
          <w:sz w:val="20"/>
          <w:szCs w:val="20"/>
          <w:color w:val="auto"/>
        </w:rPr>
      </w:pPr>
      <w:r>
        <w:rPr>
          <w:rFonts w:ascii="Times New Roman" w:cs="Times New Roman" w:eastAsia="Times New Roman" w:hAnsi="Times New Roman"/>
          <w:sz w:val="12"/>
          <w:szCs w:val="12"/>
          <w:color w:val="auto"/>
        </w:rPr>
        <w:t xml:space="preserve">8.4. </w:t>
      </w:r>
      <w:r>
        <w:rPr>
          <w:rFonts w:ascii="Times New Roman" w:cs="Times New Roman" w:eastAsia="Times New Roman" w:hAnsi="Times New Roman"/>
          <w:sz w:val="12"/>
          <w:szCs w:val="12"/>
          <w:b w:val="1"/>
          <w:bCs w:val="1"/>
          <w:color w:val="auto"/>
        </w:rPr>
        <w:t>Payment of Purchase Price</w:t>
      </w:r>
      <w:r>
        <w:rPr>
          <w:rFonts w:ascii="Times New Roman" w:cs="Times New Roman" w:eastAsia="Times New Roman" w:hAnsi="Times New Roman"/>
          <w:sz w:val="12"/>
          <w:szCs w:val="12"/>
          <w:color w:val="auto"/>
        </w:rPr>
        <w:t>.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67" w:lineRule="exact"/>
        <w:rPr>
          <w:sz w:val="20"/>
          <w:szCs w:val="20"/>
          <w:color w:val="auto"/>
        </w:rPr>
      </w:pPr>
    </w:p>
    <w:p>
      <w:pPr>
        <w:ind w:left="8" w:right="140"/>
        <w:spacing w:after="0" w:line="256" w:lineRule="auto"/>
        <w:rPr>
          <w:sz w:val="20"/>
          <w:szCs w:val="20"/>
          <w:color w:val="auto"/>
        </w:rPr>
      </w:pPr>
      <w:r>
        <w:rPr>
          <w:rFonts w:ascii="Times New Roman" w:cs="Times New Roman" w:eastAsia="Times New Roman" w:hAnsi="Times New Roman"/>
          <w:sz w:val="12"/>
          <w:szCs w:val="12"/>
          <w:color w:val="auto"/>
        </w:rPr>
        <w:t xml:space="preserve">8.5. </w:t>
      </w:r>
      <w:r>
        <w:rPr>
          <w:rFonts w:ascii="Times New Roman" w:cs="Times New Roman" w:eastAsia="Times New Roman" w:hAnsi="Times New Roman"/>
          <w:sz w:val="12"/>
          <w:szCs w:val="12"/>
          <w:b w:val="1"/>
          <w:bCs w:val="1"/>
          <w:color w:val="auto"/>
        </w:rPr>
        <w:t>Vesting and Restrictions on Transfer</w:t>
      </w:r>
      <w:r>
        <w:rPr>
          <w:rFonts w:ascii="Times New Roman" w:cs="Times New Roman" w:eastAsia="Times New Roman" w:hAnsi="Times New Roman"/>
          <w:sz w:val="12"/>
          <w:szCs w:val="12"/>
          <w:color w:val="auto"/>
        </w:rPr>
        <w:t>.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w:t>
      </w:r>
    </w:p>
    <w:p>
      <w:pPr>
        <w:spacing w:after="0" w:line="3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3" w:right="299" w:bottom="1440" w:gutter="0" w:footer="0" w:header="0"/>
        </w:sectPr>
      </w:pPr>
    </w:p>
    <w:bookmarkStart w:id="60" w:name="page61"/>
    <w:bookmarkEnd w:id="60"/>
    <w:p>
      <w:pPr>
        <w:ind w:left="8"/>
        <w:spacing w:after="0"/>
        <w:rPr>
          <w:sz w:val="20"/>
          <w:szCs w:val="20"/>
          <w:color w:val="auto"/>
        </w:rPr>
      </w:pPr>
      <w:r>
        <w:rPr>
          <w:rFonts w:ascii="Times New Roman" w:cs="Times New Roman" w:eastAsia="Times New Roman" w:hAnsi="Times New Roman"/>
          <w:sz w:val="12"/>
          <w:szCs w:val="12"/>
          <w:color w:val="auto"/>
        </w:rPr>
        <w:t>certificates representing shares of Stock acquired hereunder for the placement on such certificates of appropriate legends evidencing any such transfer restrictions.</w:t>
      </w:r>
    </w:p>
    <w:p>
      <w:pPr>
        <w:spacing w:after="0" w:line="110" w:lineRule="exact"/>
        <w:rPr>
          <w:sz w:val="20"/>
          <w:szCs w:val="20"/>
          <w:color w:val="auto"/>
        </w:rPr>
      </w:pPr>
    </w:p>
    <w:p>
      <w:pPr>
        <w:ind w:left="8"/>
        <w:spacing w:after="0" w:line="256" w:lineRule="auto"/>
        <w:rPr>
          <w:sz w:val="20"/>
          <w:szCs w:val="20"/>
          <w:color w:val="auto"/>
        </w:rPr>
      </w:pPr>
      <w:r>
        <w:rPr>
          <w:rFonts w:ascii="Times New Roman" w:cs="Times New Roman" w:eastAsia="Times New Roman" w:hAnsi="Times New Roman"/>
          <w:sz w:val="12"/>
          <w:szCs w:val="12"/>
          <w:color w:val="auto"/>
        </w:rPr>
        <w:t xml:space="preserve">8.6. </w:t>
      </w:r>
      <w:r>
        <w:rPr>
          <w:rFonts w:ascii="Times New Roman" w:cs="Times New Roman" w:eastAsia="Times New Roman" w:hAnsi="Times New Roman"/>
          <w:sz w:val="12"/>
          <w:szCs w:val="12"/>
          <w:b w:val="1"/>
          <w:bCs w:val="1"/>
          <w:color w:val="auto"/>
        </w:rPr>
        <w:t>Voting Rights; Dividends and Distributions</w:t>
      </w:r>
      <w:r>
        <w:rPr>
          <w:rFonts w:ascii="Times New Roman" w:cs="Times New Roman" w:eastAsia="Times New Roman" w:hAnsi="Times New Roman"/>
          <w:sz w:val="12"/>
          <w:szCs w:val="12"/>
          <w:color w:val="auto"/>
        </w:rPr>
        <w:t>.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if so determined by the Committee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Section 4.3,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86" w:lineRule="exact"/>
        <w:rPr>
          <w:sz w:val="20"/>
          <w:szCs w:val="20"/>
          <w:color w:val="auto"/>
        </w:rPr>
      </w:pPr>
    </w:p>
    <w:p>
      <w:pPr>
        <w:ind w:left="8"/>
        <w:spacing w:after="0" w:line="259" w:lineRule="auto"/>
        <w:rPr>
          <w:sz w:val="20"/>
          <w:szCs w:val="20"/>
          <w:color w:val="auto"/>
        </w:rPr>
      </w:pPr>
      <w:r>
        <w:rPr>
          <w:rFonts w:ascii="Times New Roman" w:cs="Times New Roman" w:eastAsia="Times New Roman" w:hAnsi="Times New Roman"/>
          <w:sz w:val="12"/>
          <w:szCs w:val="12"/>
          <w:color w:val="auto"/>
        </w:rPr>
        <w:t xml:space="preserve">8.7. </w:t>
      </w:r>
      <w:r>
        <w:rPr>
          <w:rFonts w:ascii="Times New Roman" w:cs="Times New Roman" w:eastAsia="Times New Roman" w:hAnsi="Times New Roman"/>
          <w:sz w:val="12"/>
          <w:szCs w:val="12"/>
          <w:b w:val="1"/>
          <w:bCs w:val="1"/>
          <w:color w:val="auto"/>
        </w:rPr>
        <w:t>Effect of Termination of Service</w:t>
      </w:r>
      <w:r>
        <w:rPr>
          <w:rFonts w:ascii="Times New Roman" w:cs="Times New Roman" w:eastAsia="Times New Roman" w:hAnsi="Times New Roman"/>
          <w:sz w:val="12"/>
          <w:szCs w:val="12"/>
          <w:color w:val="auto"/>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83" w:lineRule="exact"/>
        <w:rPr>
          <w:sz w:val="20"/>
          <w:szCs w:val="20"/>
          <w:color w:val="auto"/>
        </w:rPr>
      </w:pPr>
    </w:p>
    <w:p>
      <w:pPr>
        <w:ind w:left="8" w:right="220"/>
        <w:spacing w:after="0" w:line="268" w:lineRule="auto"/>
        <w:rPr>
          <w:sz w:val="20"/>
          <w:szCs w:val="20"/>
          <w:color w:val="auto"/>
        </w:rPr>
      </w:pPr>
      <w:r>
        <w:rPr>
          <w:rFonts w:ascii="Times New Roman" w:cs="Times New Roman" w:eastAsia="Times New Roman" w:hAnsi="Times New Roman"/>
          <w:sz w:val="12"/>
          <w:szCs w:val="12"/>
          <w:color w:val="auto"/>
        </w:rPr>
        <w:t xml:space="preserve">8.8. </w:t>
      </w:r>
      <w:r>
        <w:rPr>
          <w:rFonts w:ascii="Times New Roman" w:cs="Times New Roman" w:eastAsia="Times New Roman" w:hAnsi="Times New Roman"/>
          <w:sz w:val="12"/>
          <w:szCs w:val="12"/>
          <w:b w:val="1"/>
          <w:bCs w:val="1"/>
          <w:color w:val="auto"/>
        </w:rPr>
        <w:t>Nontransferability of Restricted Stock Award Rights</w:t>
      </w:r>
      <w:r>
        <w:rPr>
          <w:rFonts w:ascii="Times New Roman" w:cs="Times New Roman" w:eastAsia="Times New Roman" w:hAnsi="Times New Roman"/>
          <w:sz w:val="12"/>
          <w:szCs w:val="12"/>
          <w:color w:val="auto"/>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78" w:lineRule="exact"/>
        <w:rPr>
          <w:sz w:val="20"/>
          <w:szCs w:val="20"/>
          <w:color w:val="auto"/>
        </w:rPr>
      </w:pPr>
    </w:p>
    <w:p>
      <w:pPr>
        <w:ind w:left="428" w:hanging="428"/>
        <w:spacing w:after="0"/>
        <w:tabs>
          <w:tab w:leader="none" w:pos="428" w:val="left"/>
        </w:tabs>
        <w:numPr>
          <w:ilvl w:val="0"/>
          <w:numId w:val="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RESTRICTED STOCK UNITS.</w:t>
      </w:r>
    </w:p>
    <w:p>
      <w:pPr>
        <w:spacing w:after="0" w:line="118"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71" w:lineRule="exact"/>
        <w:rPr>
          <w:sz w:val="20"/>
          <w:szCs w:val="20"/>
          <w:color w:val="auto"/>
        </w:rPr>
      </w:pPr>
    </w:p>
    <w:p>
      <w:pPr>
        <w:jc w:val="both"/>
        <w:ind w:left="8" w:right="20"/>
        <w:spacing w:after="0" w:line="268" w:lineRule="auto"/>
        <w:rPr>
          <w:sz w:val="20"/>
          <w:szCs w:val="20"/>
          <w:color w:val="auto"/>
        </w:rPr>
      </w:pPr>
      <w:r>
        <w:rPr>
          <w:rFonts w:ascii="Times New Roman" w:cs="Times New Roman" w:eastAsia="Times New Roman" w:hAnsi="Times New Roman"/>
          <w:sz w:val="12"/>
          <w:szCs w:val="12"/>
          <w:color w:val="auto"/>
        </w:rPr>
        <w:t xml:space="preserve">9.1. </w:t>
      </w:r>
      <w:r>
        <w:rPr>
          <w:rFonts w:ascii="Times New Roman" w:cs="Times New Roman" w:eastAsia="Times New Roman" w:hAnsi="Times New Roman"/>
          <w:sz w:val="12"/>
          <w:szCs w:val="12"/>
          <w:b w:val="1"/>
          <w:bCs w:val="1"/>
          <w:color w:val="auto"/>
        </w:rPr>
        <w:t>Grant of Restricted Stock Unit Awards</w:t>
      </w:r>
      <w:r>
        <w:rPr>
          <w:rFonts w:ascii="Times New Roman" w:cs="Times New Roman" w:eastAsia="Times New Roman" w:hAnsi="Times New Roman"/>
          <w:sz w:val="12"/>
          <w:szCs w:val="12"/>
          <w:color w:val="auto"/>
        </w:rPr>
        <w:t>.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78" w:lineRule="exact"/>
        <w:rPr>
          <w:sz w:val="20"/>
          <w:szCs w:val="20"/>
          <w:color w:val="auto"/>
        </w:rPr>
      </w:pPr>
    </w:p>
    <w:p>
      <w:pPr>
        <w:ind w:left="8"/>
        <w:spacing w:after="0" w:line="268" w:lineRule="auto"/>
        <w:rPr>
          <w:sz w:val="20"/>
          <w:szCs w:val="20"/>
          <w:color w:val="auto"/>
        </w:rPr>
      </w:pPr>
      <w:r>
        <w:rPr>
          <w:rFonts w:ascii="Times New Roman" w:cs="Times New Roman" w:eastAsia="Times New Roman" w:hAnsi="Times New Roman"/>
          <w:sz w:val="12"/>
          <w:szCs w:val="12"/>
          <w:color w:val="auto"/>
        </w:rPr>
        <w:t xml:space="preserve">9.2. </w:t>
      </w:r>
      <w:r>
        <w:rPr>
          <w:rFonts w:ascii="Times New Roman" w:cs="Times New Roman" w:eastAsia="Times New Roman" w:hAnsi="Times New Roman"/>
          <w:sz w:val="12"/>
          <w:szCs w:val="12"/>
          <w:b w:val="1"/>
          <w:bCs w:val="1"/>
          <w:color w:val="auto"/>
        </w:rPr>
        <w:t>Purchase Price</w:t>
      </w:r>
      <w:r>
        <w:rPr>
          <w:rFonts w:ascii="Times New Roman" w:cs="Times New Roman" w:eastAsia="Times New Roman" w:hAnsi="Times New Roman"/>
          <w:sz w:val="12"/>
          <w:szCs w:val="12"/>
          <w:color w:val="auto"/>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78" w:lineRule="exact"/>
        <w:rPr>
          <w:sz w:val="20"/>
          <w:szCs w:val="20"/>
          <w:color w:val="auto"/>
        </w:rPr>
      </w:pPr>
    </w:p>
    <w:p>
      <w:pPr>
        <w:ind w:left="8" w:right="440"/>
        <w:spacing w:after="0" w:line="286" w:lineRule="auto"/>
        <w:rPr>
          <w:sz w:val="20"/>
          <w:szCs w:val="20"/>
          <w:color w:val="auto"/>
        </w:rPr>
      </w:pPr>
      <w:r>
        <w:rPr>
          <w:rFonts w:ascii="Times New Roman" w:cs="Times New Roman" w:eastAsia="Times New Roman" w:hAnsi="Times New Roman"/>
          <w:sz w:val="12"/>
          <w:szCs w:val="12"/>
          <w:color w:val="auto"/>
        </w:rPr>
        <w:t xml:space="preserve">9.3. </w:t>
      </w:r>
      <w:r>
        <w:rPr>
          <w:rFonts w:ascii="Times New Roman" w:cs="Times New Roman" w:eastAsia="Times New Roman" w:hAnsi="Times New Roman"/>
          <w:sz w:val="12"/>
          <w:szCs w:val="12"/>
          <w:b w:val="1"/>
          <w:bCs w:val="1"/>
          <w:color w:val="auto"/>
        </w:rPr>
        <w:t>Vesting</w:t>
      </w:r>
      <w:r>
        <w:rPr>
          <w:rFonts w:ascii="Times New Roman" w:cs="Times New Roman" w:eastAsia="Times New Roman" w:hAnsi="Times New Roman"/>
          <w:sz w:val="12"/>
          <w:szCs w:val="12"/>
          <w:color w:val="auto"/>
        </w:rPr>
        <w:t>.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67" w:lineRule="exact"/>
        <w:rPr>
          <w:sz w:val="20"/>
          <w:szCs w:val="20"/>
          <w:color w:val="auto"/>
        </w:rPr>
      </w:pPr>
    </w:p>
    <w:p>
      <w:pPr>
        <w:ind w:left="8" w:right="40"/>
        <w:spacing w:after="0" w:line="268" w:lineRule="auto"/>
        <w:rPr>
          <w:sz w:val="20"/>
          <w:szCs w:val="20"/>
          <w:color w:val="auto"/>
        </w:rPr>
      </w:pPr>
      <w:r>
        <w:rPr>
          <w:rFonts w:ascii="Times New Roman" w:cs="Times New Roman" w:eastAsia="Times New Roman" w:hAnsi="Times New Roman"/>
          <w:sz w:val="12"/>
          <w:szCs w:val="12"/>
          <w:color w:val="auto"/>
        </w:rPr>
        <w:t xml:space="preserve">9.4. </w:t>
      </w:r>
      <w:r>
        <w:rPr>
          <w:rFonts w:ascii="Times New Roman" w:cs="Times New Roman" w:eastAsia="Times New Roman" w:hAnsi="Times New Roman"/>
          <w:sz w:val="12"/>
          <w:szCs w:val="12"/>
          <w:b w:val="1"/>
          <w:bCs w:val="1"/>
          <w:color w:val="auto"/>
        </w:rPr>
        <w:t>Voting Rights, Dividend Equivalent Rights and Distributions</w:t>
      </w:r>
      <w:r>
        <w:rPr>
          <w:rFonts w:ascii="Times New Roman" w:cs="Times New Roman" w:eastAsia="Times New Roman" w:hAnsi="Times New Roman"/>
          <w:sz w:val="12"/>
          <w:szCs w:val="12"/>
          <w:color w:val="auto"/>
        </w:rPr>
        <w:t>.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w:t>
      </w:r>
    </w:p>
    <w:p>
      <w:pPr>
        <w:spacing w:after="0" w:line="3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3" w:right="299" w:bottom="1440" w:gutter="0" w:footer="0" w:header="0"/>
        </w:sectPr>
      </w:pPr>
    </w:p>
    <w:bookmarkStart w:id="61" w:name="page62"/>
    <w:bookmarkEnd w:id="61"/>
    <w:p>
      <w:pPr>
        <w:ind w:left="8" w:right="80"/>
        <w:spacing w:after="0" w:line="254" w:lineRule="auto"/>
        <w:rPr>
          <w:sz w:val="20"/>
          <w:szCs w:val="20"/>
          <w:color w:val="auto"/>
        </w:rPr>
      </w:pPr>
      <w:r>
        <w:rPr>
          <w:rFonts w:ascii="Times New Roman" w:cs="Times New Roman" w:eastAsia="Times New Roman" w:hAnsi="Times New Roman"/>
          <w:sz w:val="12"/>
          <w:szCs w:val="12"/>
          <w:color w:val="auto"/>
        </w:rPr>
        <w:t>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If so determined by the Committee and provided by the Award Agreement, such cash amount or additional Restricted Stock Units shall be subject to the same terms and conditions (including vesting terms)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86" w:lineRule="exact"/>
        <w:rPr>
          <w:sz w:val="20"/>
          <w:szCs w:val="20"/>
          <w:color w:val="auto"/>
        </w:rPr>
      </w:pPr>
    </w:p>
    <w:p>
      <w:pPr>
        <w:ind w:left="8" w:right="180"/>
        <w:spacing w:after="0" w:line="268" w:lineRule="auto"/>
        <w:rPr>
          <w:sz w:val="20"/>
          <w:szCs w:val="20"/>
          <w:color w:val="auto"/>
        </w:rPr>
      </w:pPr>
      <w:r>
        <w:rPr>
          <w:rFonts w:ascii="Times New Roman" w:cs="Times New Roman" w:eastAsia="Times New Roman" w:hAnsi="Times New Roman"/>
          <w:sz w:val="12"/>
          <w:szCs w:val="12"/>
          <w:color w:val="auto"/>
        </w:rPr>
        <w:t xml:space="preserve">9.5. </w:t>
      </w:r>
      <w:r>
        <w:rPr>
          <w:rFonts w:ascii="Times New Roman" w:cs="Times New Roman" w:eastAsia="Times New Roman" w:hAnsi="Times New Roman"/>
          <w:sz w:val="12"/>
          <w:szCs w:val="12"/>
          <w:b w:val="1"/>
          <w:bCs w:val="1"/>
          <w:color w:val="auto"/>
        </w:rPr>
        <w:t>Effect of Termination of Service</w:t>
      </w:r>
      <w:r>
        <w:rPr>
          <w:rFonts w:ascii="Times New Roman" w:cs="Times New Roman" w:eastAsia="Times New Roman" w:hAnsi="Times New Roman"/>
          <w:sz w:val="12"/>
          <w:szCs w:val="12"/>
          <w:color w:val="auto"/>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78" w:lineRule="exact"/>
        <w:rPr>
          <w:sz w:val="20"/>
          <w:szCs w:val="20"/>
          <w:color w:val="auto"/>
        </w:rPr>
      </w:pPr>
    </w:p>
    <w:p>
      <w:pPr>
        <w:ind w:left="8" w:right="20"/>
        <w:spacing w:after="0" w:line="254" w:lineRule="auto"/>
        <w:rPr>
          <w:sz w:val="20"/>
          <w:szCs w:val="20"/>
          <w:color w:val="auto"/>
        </w:rPr>
      </w:pPr>
      <w:r>
        <w:rPr>
          <w:rFonts w:ascii="Times New Roman" w:cs="Times New Roman" w:eastAsia="Times New Roman" w:hAnsi="Times New Roman"/>
          <w:sz w:val="12"/>
          <w:szCs w:val="12"/>
          <w:color w:val="auto"/>
        </w:rPr>
        <w:t xml:space="preserve">9.6. </w:t>
      </w:r>
      <w:r>
        <w:rPr>
          <w:rFonts w:ascii="Times New Roman" w:cs="Times New Roman" w:eastAsia="Times New Roman" w:hAnsi="Times New Roman"/>
          <w:sz w:val="12"/>
          <w:szCs w:val="12"/>
          <w:b w:val="1"/>
          <w:bCs w:val="1"/>
          <w:color w:val="auto"/>
        </w:rPr>
        <w:t>Settlement of Restricted Stock Unit Awards</w:t>
      </w:r>
      <w:r>
        <w:rPr>
          <w:rFonts w:ascii="Times New Roman" w:cs="Times New Roman" w:eastAsia="Times New Roman" w:hAnsi="Times New Roman"/>
          <w:sz w:val="12"/>
          <w:szCs w:val="12"/>
          <w:color w:val="auto"/>
        </w:rPr>
        <w:t>.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15th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90" w:lineRule="exact"/>
        <w:rPr>
          <w:sz w:val="20"/>
          <w:szCs w:val="20"/>
          <w:color w:val="auto"/>
        </w:rPr>
      </w:pPr>
    </w:p>
    <w:p>
      <w:pPr>
        <w:ind w:left="8" w:right="60"/>
        <w:spacing w:after="0" w:line="268" w:lineRule="auto"/>
        <w:rPr>
          <w:sz w:val="20"/>
          <w:szCs w:val="20"/>
          <w:color w:val="auto"/>
        </w:rPr>
      </w:pPr>
      <w:r>
        <w:rPr>
          <w:rFonts w:ascii="Times New Roman" w:cs="Times New Roman" w:eastAsia="Times New Roman" w:hAnsi="Times New Roman"/>
          <w:sz w:val="12"/>
          <w:szCs w:val="12"/>
          <w:color w:val="auto"/>
        </w:rPr>
        <w:t xml:space="preserve">9.7. </w:t>
      </w:r>
      <w:r>
        <w:rPr>
          <w:rFonts w:ascii="Times New Roman" w:cs="Times New Roman" w:eastAsia="Times New Roman" w:hAnsi="Times New Roman"/>
          <w:sz w:val="12"/>
          <w:szCs w:val="12"/>
          <w:b w:val="1"/>
          <w:bCs w:val="1"/>
          <w:color w:val="auto"/>
        </w:rPr>
        <w:t>Nontransferability of Restricted Stock Unit Awards</w:t>
      </w:r>
      <w:r>
        <w:rPr>
          <w:rFonts w:ascii="Times New Roman" w:cs="Times New Roman" w:eastAsia="Times New Roman" w:hAnsi="Times New Roman"/>
          <w:sz w:val="12"/>
          <w:szCs w:val="12"/>
          <w:color w:val="auto"/>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78" w:lineRule="exact"/>
        <w:rPr>
          <w:sz w:val="20"/>
          <w:szCs w:val="20"/>
          <w:color w:val="auto"/>
        </w:rPr>
      </w:pPr>
    </w:p>
    <w:p>
      <w:pPr>
        <w:ind w:left="428" w:hanging="428"/>
        <w:spacing w:after="0"/>
        <w:tabs>
          <w:tab w:leader="none" w:pos="428" w:val="left"/>
        </w:tabs>
        <w:numPr>
          <w:ilvl w:val="0"/>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PERFORMANCE AWARDS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71" w:lineRule="exact"/>
        <w:rPr>
          <w:sz w:val="20"/>
          <w:szCs w:val="20"/>
          <w:color w:val="auto"/>
        </w:rPr>
      </w:pPr>
    </w:p>
    <w:p>
      <w:pPr>
        <w:ind w:left="8"/>
        <w:spacing w:after="0" w:line="268" w:lineRule="auto"/>
        <w:rPr>
          <w:sz w:val="20"/>
          <w:szCs w:val="20"/>
          <w:color w:val="auto"/>
        </w:rPr>
      </w:pPr>
      <w:r>
        <w:rPr>
          <w:rFonts w:ascii="Times New Roman" w:cs="Times New Roman" w:eastAsia="Times New Roman" w:hAnsi="Times New Roman"/>
          <w:sz w:val="12"/>
          <w:szCs w:val="12"/>
          <w:color w:val="auto"/>
        </w:rPr>
        <w:t xml:space="preserve">10.1. </w:t>
      </w:r>
      <w:r>
        <w:rPr>
          <w:rFonts w:ascii="Times New Roman" w:cs="Times New Roman" w:eastAsia="Times New Roman" w:hAnsi="Times New Roman"/>
          <w:sz w:val="12"/>
          <w:szCs w:val="12"/>
          <w:b w:val="1"/>
          <w:bCs w:val="1"/>
          <w:color w:val="auto"/>
        </w:rPr>
        <w:t>Types of Performance Awards Authorized</w:t>
      </w:r>
      <w:r>
        <w:rPr>
          <w:rFonts w:ascii="Times New Roman" w:cs="Times New Roman" w:eastAsia="Times New Roman" w:hAnsi="Times New Roman"/>
          <w:sz w:val="12"/>
          <w:szCs w:val="12"/>
          <w:color w:val="auto"/>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78"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color w:val="auto"/>
        </w:rPr>
        <w:t>10.2.</w:t>
      </w:r>
      <w:r>
        <w:rPr>
          <w:sz w:val="20"/>
          <w:szCs w:val="20"/>
          <w:color w:val="auto"/>
        </w:rPr>
        <w:tab/>
      </w:r>
      <w:r>
        <w:rPr>
          <w:rFonts w:ascii="Times New Roman" w:cs="Times New Roman" w:eastAsia="Times New Roman" w:hAnsi="Times New Roman"/>
          <w:sz w:val="11"/>
          <w:szCs w:val="11"/>
          <w:b w:val="1"/>
          <w:bCs w:val="1"/>
          <w:color w:val="auto"/>
        </w:rPr>
        <w:t>Initial Value of Performance Shares and Performance Units</w:t>
      </w:r>
      <w:r>
        <w:rPr>
          <w:rFonts w:ascii="Times New Roman" w:cs="Times New Roman" w:eastAsia="Times New Roman" w:hAnsi="Times New Roman"/>
          <w:sz w:val="11"/>
          <w:szCs w:val="11"/>
          <w:color w:val="auto"/>
        </w:rPr>
        <w:t>. Unless otherwise provided by the Committee in granting a Performance Award, each Performance Share shall have an initial monetary value equal to the</w:t>
      </w:r>
    </w:p>
    <w:p>
      <w:pPr>
        <w:spacing w:after="0" w:line="3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3" w:right="299" w:bottom="1440" w:gutter="0" w:footer="0" w:header="0"/>
        </w:sectPr>
      </w:pPr>
    </w:p>
    <w:bookmarkStart w:id="62" w:name="page63"/>
    <w:bookmarkEnd w:id="62"/>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2"/>
          <w:szCs w:val="12"/>
          <w:color w:val="auto"/>
        </w:rPr>
        <w:t xml:space="preserve">10.3. </w:t>
      </w:r>
      <w:r>
        <w:rPr>
          <w:rFonts w:ascii="Times New Roman" w:cs="Times New Roman" w:eastAsia="Times New Roman" w:hAnsi="Times New Roman"/>
          <w:sz w:val="12"/>
          <w:szCs w:val="12"/>
          <w:b w:val="1"/>
          <w:bCs w:val="1"/>
          <w:color w:val="auto"/>
        </w:rPr>
        <w:t>Establishment of Performance Period, Performance Goals and Performance Award Formula</w:t>
      </w:r>
      <w:r>
        <w:rPr>
          <w:rFonts w:ascii="Times New Roman" w:cs="Times New Roman" w:eastAsia="Times New Roman" w:hAnsi="Times New Roman"/>
          <w:sz w:val="12"/>
          <w:szCs w:val="12"/>
          <w:color w:val="auto"/>
        </w:rPr>
        <w:t>.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spacing w:after="0" w:line="7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2"/>
          <w:szCs w:val="12"/>
          <w:color w:val="auto"/>
        </w:rPr>
        <w:t xml:space="preserve">10.4. </w:t>
      </w:r>
      <w:r>
        <w:rPr>
          <w:rFonts w:ascii="Times New Roman" w:cs="Times New Roman" w:eastAsia="Times New Roman" w:hAnsi="Times New Roman"/>
          <w:sz w:val="12"/>
          <w:szCs w:val="12"/>
          <w:b w:val="1"/>
          <w:bCs w:val="1"/>
          <w:color w:val="auto"/>
        </w:rPr>
        <w:t>Measurement of Performance Goals</w:t>
      </w:r>
      <w:r>
        <w:rPr>
          <w:rFonts w:ascii="Times New Roman" w:cs="Times New Roman" w:eastAsia="Times New Roman" w:hAnsi="Times New Roman"/>
          <w:sz w:val="12"/>
          <w:szCs w:val="12"/>
          <w:color w:val="auto"/>
        </w:rPr>
        <w:t>. Performance Goals shall be established by the Committee on the basis of targets to be attained (“</w:t>
      </w:r>
      <w:r>
        <w:rPr>
          <w:rFonts w:ascii="Times New Roman" w:cs="Times New Roman" w:eastAsia="Times New Roman" w:hAnsi="Times New Roman"/>
          <w:sz w:val="12"/>
          <w:szCs w:val="12"/>
          <w:b w:val="1"/>
          <w:bCs w:val="1"/>
          <w:color w:val="auto"/>
        </w:rPr>
        <w:t>Performance Targets</w:t>
      </w:r>
      <w:r>
        <w:rPr>
          <w:rFonts w:ascii="Times New Roman" w:cs="Times New Roman" w:eastAsia="Times New Roman" w:hAnsi="Times New Roman"/>
          <w:sz w:val="12"/>
          <w:szCs w:val="12"/>
          <w:color w:val="auto"/>
        </w:rPr>
        <w:t>”) with respect to one or more measures of objective or subjective business, financial or individual performance or other performance criteria established by the Committee in its discretion (each, a “</w:t>
      </w:r>
      <w:r>
        <w:rPr>
          <w:rFonts w:ascii="Times New Roman" w:cs="Times New Roman" w:eastAsia="Times New Roman" w:hAnsi="Times New Roman"/>
          <w:sz w:val="12"/>
          <w:szCs w:val="12"/>
          <w:b w:val="1"/>
          <w:bCs w:val="1"/>
          <w:color w:val="auto"/>
        </w:rPr>
        <w:t>Performance Measure</w:t>
      </w:r>
      <w:r>
        <w:rPr>
          <w:rFonts w:ascii="Times New Roman" w:cs="Times New Roman" w:eastAsia="Times New Roman" w:hAnsi="Times New Roman"/>
          <w:sz w:val="12"/>
          <w:szCs w:val="12"/>
          <w:color w:val="auto"/>
        </w:rPr>
        <w:t>”), subject to the following:</w:t>
      </w:r>
    </w:p>
    <w:p>
      <w:pPr>
        <w:spacing w:after="0" w:line="67" w:lineRule="exact"/>
        <w:rPr>
          <w:sz w:val="20"/>
          <w:szCs w:val="20"/>
          <w:color w:val="auto"/>
        </w:rPr>
      </w:pPr>
    </w:p>
    <w:p>
      <w:pPr>
        <w:ind w:firstLine="424"/>
        <w:spacing w:after="0" w:line="254" w:lineRule="auto"/>
        <w:tabs>
          <w:tab w:leader="none" w:pos="602" w:val="left"/>
        </w:tabs>
        <w:numPr>
          <w:ilvl w:val="0"/>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Performance Measures</w:t>
      </w:r>
      <w:r>
        <w:rPr>
          <w:rFonts w:ascii="Times New Roman" w:cs="Times New Roman" w:eastAsia="Times New Roman" w:hAnsi="Times New Roman"/>
          <w:sz w:val="12"/>
          <w:szCs w:val="12"/>
          <w:color w:val="auto"/>
        </w:rPr>
        <w:t>. Unless otherwise determined by the Committee no later than the grant of the Performance Award, Performance Measures based on objective criteria shall be calculated in accordance with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no later than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w:t>
      </w:r>
    </w:p>
    <w:p>
      <w:pPr>
        <w:spacing w:after="0" w:line="89" w:lineRule="exact"/>
        <w:rPr>
          <w:rFonts w:ascii="Times New Roman" w:cs="Times New Roman" w:eastAsia="Times New Roman" w:hAnsi="Times New Roman"/>
          <w:sz w:val="12"/>
          <w:szCs w:val="12"/>
          <w:b w:val="1"/>
          <w:bCs w:val="1"/>
          <w:color w:val="auto"/>
        </w:rPr>
      </w:pPr>
    </w:p>
    <w:p>
      <w:pPr>
        <w:ind w:right="200" w:firstLine="424"/>
        <w:spacing w:after="0" w:line="268" w:lineRule="auto"/>
        <w:tabs>
          <w:tab w:leader="none" w:pos="608" w:val="left"/>
        </w:tabs>
        <w:numPr>
          <w:ilvl w:val="0"/>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Performance Targets</w:t>
      </w:r>
      <w:r>
        <w:rPr>
          <w:rFonts w:ascii="Times New Roman" w:cs="Times New Roman" w:eastAsia="Times New Roman" w:hAnsi="Times New Roman"/>
          <w:sz w:val="12"/>
          <w:szCs w:val="12"/>
          <w:color w:val="auto"/>
        </w:rPr>
        <w:t>. Performance Targets may include a minimum, maximum, target level and intermediate levels of performance, with the final value of a Performance Award determined under the applicable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color w:val="auto"/>
        </w:rPr>
        <w:t>10.5.</w:t>
      </w:r>
      <w:r>
        <w:rPr>
          <w:sz w:val="20"/>
          <w:szCs w:val="20"/>
          <w:color w:val="auto"/>
        </w:rPr>
        <w:tab/>
      </w:r>
      <w:r>
        <w:rPr>
          <w:rFonts w:ascii="Times New Roman" w:cs="Times New Roman" w:eastAsia="Times New Roman" w:hAnsi="Times New Roman"/>
          <w:sz w:val="11"/>
          <w:szCs w:val="11"/>
          <w:b w:val="1"/>
          <w:bCs w:val="1"/>
          <w:color w:val="auto"/>
        </w:rPr>
        <w:t>Settlement of Performance Awards</w:t>
      </w:r>
      <w:r>
        <w:rPr>
          <w:rFonts w:ascii="Times New Roman" w:cs="Times New Roman" w:eastAsia="Times New Roman" w:hAnsi="Times New Roman"/>
          <w:sz w:val="11"/>
          <w:szCs w:val="11"/>
          <w:color w:val="auto"/>
        </w:rPr>
        <w:t>.</w:t>
      </w:r>
    </w:p>
    <w:p>
      <w:pPr>
        <w:spacing w:after="0" w:line="114" w:lineRule="exact"/>
        <w:rPr>
          <w:sz w:val="20"/>
          <w:szCs w:val="20"/>
          <w:color w:val="auto"/>
        </w:rPr>
      </w:pPr>
    </w:p>
    <w:p>
      <w:pPr>
        <w:ind w:right="640" w:firstLine="424"/>
        <w:spacing w:after="0" w:line="286" w:lineRule="auto"/>
        <w:tabs>
          <w:tab w:leader="none" w:pos="602" w:val="left"/>
        </w:tabs>
        <w:numPr>
          <w:ilvl w:val="0"/>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Determination of Final Value</w:t>
      </w:r>
      <w:r>
        <w:rPr>
          <w:rFonts w:ascii="Times New Roman" w:cs="Times New Roman" w:eastAsia="Times New Roman" w:hAnsi="Times New Roman"/>
          <w:sz w:val="12"/>
          <w:szCs w:val="12"/>
          <w:color w:val="auto"/>
        </w:rPr>
        <w:t>. As soon as practicable following the completion of the Performance Period applicable to a Performance Award, the Committee shall determine the extent to which the applicable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Goals have been attained and the resulting final value of the Award earned by the Participant and to be paid upon its settlement in accordance with the applicable Performance Award Formula.</w:t>
      </w:r>
    </w:p>
    <w:p>
      <w:pPr>
        <w:spacing w:after="0" w:line="67" w:lineRule="exact"/>
        <w:rPr>
          <w:rFonts w:ascii="Times New Roman" w:cs="Times New Roman" w:eastAsia="Times New Roman" w:hAnsi="Times New Roman"/>
          <w:sz w:val="12"/>
          <w:szCs w:val="12"/>
          <w:b w:val="1"/>
          <w:bCs w:val="1"/>
          <w:color w:val="auto"/>
        </w:rPr>
      </w:pPr>
    </w:p>
    <w:p>
      <w:pPr>
        <w:ind w:right="440" w:firstLine="424"/>
        <w:spacing w:after="0" w:line="286" w:lineRule="auto"/>
        <w:tabs>
          <w:tab w:leader="none" w:pos="608" w:val="left"/>
        </w:tabs>
        <w:numPr>
          <w:ilvl w:val="0"/>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Discretionary Adjustment of Award Formula</w:t>
      </w:r>
      <w:r>
        <w:rPr>
          <w:rFonts w:ascii="Times New Roman" w:cs="Times New Roman" w:eastAsia="Times New Roman" w:hAnsi="Times New Roman"/>
          <w:sz w:val="12"/>
          <w:szCs w:val="12"/>
          <w:color w:val="auto"/>
        </w:rPr>
        <w:t>. In its discretion, the Committee may, either at the time it grants a Performance Award or at any time thereafter, provide for the positive or negative adjustment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Award Formula applicable to a Performance Award to reflect such Participant’s individual performance in his or her position with the Company or such other factors as the Committee may determine.</w:t>
      </w:r>
    </w:p>
    <w:p>
      <w:pPr>
        <w:spacing w:after="0" w:line="67" w:lineRule="exact"/>
        <w:rPr>
          <w:rFonts w:ascii="Times New Roman" w:cs="Times New Roman" w:eastAsia="Times New Roman" w:hAnsi="Times New Roman"/>
          <w:sz w:val="12"/>
          <w:szCs w:val="12"/>
          <w:b w:val="1"/>
          <w:bCs w:val="1"/>
          <w:color w:val="auto"/>
        </w:rPr>
      </w:pPr>
    </w:p>
    <w:p>
      <w:pPr>
        <w:ind w:right="160" w:firstLine="424"/>
        <w:spacing w:after="0" w:line="286" w:lineRule="auto"/>
        <w:tabs>
          <w:tab w:leader="none" w:pos="595" w:val="left"/>
        </w:tabs>
        <w:numPr>
          <w:ilvl w:val="0"/>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Effect of Leaves of Absence</w:t>
      </w:r>
      <w:r>
        <w:rPr>
          <w:rFonts w:ascii="Times New Roman" w:cs="Times New Roman" w:eastAsia="Times New Roman" w:hAnsi="Times New Roman"/>
          <w:sz w:val="12"/>
          <w:szCs w:val="12"/>
          <w:color w:val="auto"/>
        </w:rPr>
        <w:t>. Unless otherwise required by law or a Participant’s Award Agreement, payment of the final value, if any, of a Performance Award held by a Participant who has taken in excess of thirty (30)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days in unpaid leaves of absence during a Performance Period shall be prorated on the basis of the number of days of</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color w:val="auto"/>
        </w:rPr>
        <w:t>the Participant’s Service during the Performance Period during which the Participant was not on an unpaid leave of absence.</w:t>
      </w:r>
    </w:p>
    <w:p>
      <w:pPr>
        <w:spacing w:after="0" w:line="110" w:lineRule="exact"/>
        <w:rPr>
          <w:sz w:val="20"/>
          <w:szCs w:val="20"/>
          <w:color w:val="auto"/>
        </w:rPr>
      </w:pPr>
    </w:p>
    <w:p>
      <w:pPr>
        <w:ind w:left="600" w:hanging="176"/>
        <w:spacing w:after="0"/>
        <w:tabs>
          <w:tab w:leader="none" w:pos="600" w:val="left"/>
        </w:tabs>
        <w:numPr>
          <w:ilvl w:val="0"/>
          <w:numId w:val="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 to Participants</w:t>
      </w:r>
      <w:r>
        <w:rPr>
          <w:rFonts w:ascii="Times New Roman" w:cs="Times New Roman" w:eastAsia="Times New Roman" w:hAnsi="Times New Roman"/>
          <w:sz w:val="12"/>
          <w:szCs w:val="12"/>
          <w:color w:val="auto"/>
        </w:rPr>
        <w:t>. As soon as practicable following the Committee’s determination in accordance with Sections 10.5(a) and (b), the Company shall notify each Participant of the determination of the Committee.</w:t>
      </w:r>
    </w:p>
    <w:p>
      <w:pPr>
        <w:spacing w:after="0" w:line="114" w:lineRule="exact"/>
        <w:rPr>
          <w:rFonts w:ascii="Times New Roman" w:cs="Times New Roman" w:eastAsia="Times New Roman" w:hAnsi="Times New Roman"/>
          <w:sz w:val="12"/>
          <w:szCs w:val="12"/>
          <w:b w:val="1"/>
          <w:bCs w:val="1"/>
          <w:color w:val="auto"/>
        </w:rPr>
      </w:pPr>
    </w:p>
    <w:p>
      <w:pPr>
        <w:ind w:right="200" w:firstLine="424"/>
        <w:spacing w:after="0" w:line="256" w:lineRule="auto"/>
        <w:tabs>
          <w:tab w:leader="none" w:pos="595" w:val="left"/>
        </w:tabs>
        <w:numPr>
          <w:ilvl w:val="0"/>
          <w:numId w:val="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Payment in Settlement of Performance Awards</w:t>
      </w:r>
      <w:r>
        <w:rPr>
          <w:rFonts w:ascii="Times New Roman" w:cs="Times New Roman" w:eastAsia="Times New Roman" w:hAnsi="Times New Roman"/>
          <w:sz w:val="12"/>
          <w:szCs w:val="12"/>
          <w:color w:val="auto"/>
        </w:rPr>
        <w:t>. As soon as practicable following the Committee’s determination in accordance with Sections 10.5(a) and (b), but in any event within the Short-Term Deferral Period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spacing w:after="0" w:line="85" w:lineRule="exact"/>
        <w:rPr>
          <w:rFonts w:ascii="Times New Roman" w:cs="Times New Roman" w:eastAsia="Times New Roman" w:hAnsi="Times New Roman"/>
          <w:sz w:val="12"/>
          <w:szCs w:val="12"/>
          <w:b w:val="1"/>
          <w:bCs w:val="1"/>
          <w:color w:val="auto"/>
        </w:rPr>
      </w:pPr>
    </w:p>
    <w:p>
      <w:pPr>
        <w:jc w:val="both"/>
        <w:ind w:right="40" w:firstLine="424"/>
        <w:spacing w:after="0" w:line="268" w:lineRule="auto"/>
        <w:tabs>
          <w:tab w:leader="none" w:pos="582" w:val="left"/>
        </w:tabs>
        <w:numPr>
          <w:ilvl w:val="0"/>
          <w:numId w:val="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Provisions Applicable to Payment in Shares</w:t>
      </w:r>
      <w:r>
        <w:rPr>
          <w:rFonts w:ascii="Times New Roman" w:cs="Times New Roman" w:eastAsia="Times New Roman" w:hAnsi="Times New Roman"/>
          <w:sz w:val="12"/>
          <w:szCs w:val="12"/>
          <w:color w:val="auto"/>
        </w:rPr>
        <w:t>. If payment is to be made in shares of Stock, the number of such shares shall be determined by dividing the final value of the Performance Award by the Fair Market Value of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 xml:space="preserve">10.6. </w:t>
      </w:r>
      <w:r>
        <w:rPr>
          <w:rFonts w:ascii="Times New Roman" w:cs="Times New Roman" w:eastAsia="Times New Roman" w:hAnsi="Times New Roman"/>
          <w:sz w:val="12"/>
          <w:szCs w:val="12"/>
          <w:b w:val="1"/>
          <w:bCs w:val="1"/>
          <w:color w:val="auto"/>
        </w:rPr>
        <w:t>Voting Rights; Dividend Equivalent Rights and Distributions</w:t>
      </w:r>
      <w:r>
        <w:rPr>
          <w:rFonts w:ascii="Times New Roman" w:cs="Times New Roman" w:eastAsia="Times New Roman" w:hAnsi="Times New Roman"/>
          <w:sz w:val="12"/>
          <w:szCs w:val="12"/>
          <w:color w:val="auto"/>
        </w:rPr>
        <w:t>.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color w:val="auto"/>
        </w:rPr>
        <w:t>10.7.</w:t>
      </w:r>
      <w:r>
        <w:rPr>
          <w:sz w:val="20"/>
          <w:szCs w:val="20"/>
          <w:color w:val="auto"/>
        </w:rPr>
        <w:tab/>
      </w:r>
      <w:r>
        <w:rPr>
          <w:rFonts w:ascii="Times New Roman" w:cs="Times New Roman" w:eastAsia="Times New Roman" w:hAnsi="Times New Roman"/>
          <w:sz w:val="11"/>
          <w:szCs w:val="11"/>
          <w:b w:val="1"/>
          <w:bCs w:val="1"/>
          <w:color w:val="auto"/>
        </w:rPr>
        <w:t>Effect of Termination of Service</w:t>
      </w:r>
      <w:r>
        <w:rPr>
          <w:rFonts w:ascii="Times New Roman" w:cs="Times New Roman" w:eastAsia="Times New Roman" w:hAnsi="Times New Roman"/>
          <w:sz w:val="11"/>
          <w:szCs w:val="11"/>
          <w:color w:val="auto"/>
        </w:rPr>
        <w:t>. Unless otherwise provided by the Committee and set forth in the Award Agreement evidencing a Performance Award, the effect of a Participant’s termination of Service 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Performance Award shall be as follows:</w:t>
      </w:r>
    </w:p>
    <w:p>
      <w:pPr>
        <w:spacing w:after="0" w:line="99" w:lineRule="exact"/>
        <w:rPr>
          <w:sz w:val="20"/>
          <w:szCs w:val="20"/>
          <w:color w:val="auto"/>
        </w:rPr>
      </w:pPr>
    </w:p>
    <w:p>
      <w:pPr>
        <w:ind w:right="140" w:firstLine="424"/>
        <w:spacing w:after="0" w:line="334" w:lineRule="auto"/>
        <w:tabs>
          <w:tab w:leader="none" w:pos="602" w:val="left"/>
        </w:tabs>
        <w:numPr>
          <w:ilvl w:val="0"/>
          <w:numId w:val="6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Death or Disability</w:t>
      </w:r>
      <w:r>
        <w:rPr>
          <w:rFonts w:ascii="Times New Roman" w:cs="Times New Roman" w:eastAsia="Times New Roman" w:hAnsi="Times New Roman"/>
          <w:sz w:val="11"/>
          <w:szCs w:val="11"/>
          <w:color w:val="auto"/>
        </w:rPr>
        <w:t>. If the Participant’s Service terminates because of the death or Disability of the Participant before the completion of the Performance Period applicable to the Performance Award, the final value of the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Participant’s Performance Award shall be determined by the extent to which the applicable Performance Goals have been attained with respect to the entire Performance Period and shall be prorated based on the number of months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sectPr>
      </w:pPr>
    </w:p>
    <w:bookmarkStart w:id="64" w:name="page65"/>
    <w:bookmarkEnd w:id="64"/>
    <w:p>
      <w:pPr>
        <w:ind w:left="8"/>
        <w:spacing w:after="0"/>
        <w:rPr>
          <w:sz w:val="20"/>
          <w:szCs w:val="20"/>
          <w:color w:val="auto"/>
        </w:rPr>
      </w:pPr>
      <w:r>
        <w:rPr>
          <w:rFonts w:ascii="Times New Roman" w:cs="Times New Roman" w:eastAsia="Times New Roman" w:hAnsi="Times New Roman"/>
          <w:sz w:val="12"/>
          <w:szCs w:val="12"/>
          <w:color w:val="auto"/>
        </w:rPr>
        <w:t>of the Participant’s Service during the Performance Period. Payment shall be made following the end of the Performance Period in any manner permitted by Section 10.5.</w:t>
      </w:r>
    </w:p>
    <w:p>
      <w:pPr>
        <w:spacing w:after="0" w:line="110" w:lineRule="exact"/>
        <w:rPr>
          <w:sz w:val="20"/>
          <w:szCs w:val="20"/>
          <w:color w:val="auto"/>
        </w:rPr>
      </w:pPr>
    </w:p>
    <w:p>
      <w:pPr>
        <w:ind w:left="8" w:right="140" w:firstLine="424"/>
        <w:spacing w:after="0" w:line="262" w:lineRule="auto"/>
        <w:tabs>
          <w:tab w:leader="none" w:pos="616" w:val="left"/>
        </w:tabs>
        <w:numPr>
          <w:ilvl w:val="0"/>
          <w:numId w:val="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Termination of Service</w:t>
      </w:r>
      <w:r>
        <w:rPr>
          <w:rFonts w:ascii="Times New Roman" w:cs="Times New Roman" w:eastAsia="Times New Roman" w:hAnsi="Times New Roman"/>
          <w:sz w:val="12"/>
          <w:szCs w:val="12"/>
          <w:color w:val="auto"/>
        </w:rPr>
        <w:t>. If the Participant’s Service terminates for any reason except death or Disability before the completion of the Performance Period applicable to the Performance Award, such Award shall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81" w:lineRule="exact"/>
        <w:rPr>
          <w:sz w:val="20"/>
          <w:szCs w:val="20"/>
          <w:color w:val="auto"/>
        </w:rPr>
      </w:pPr>
    </w:p>
    <w:p>
      <w:pPr>
        <w:ind w:left="8" w:right="100"/>
        <w:spacing w:after="0" w:line="268" w:lineRule="auto"/>
        <w:rPr>
          <w:sz w:val="20"/>
          <w:szCs w:val="20"/>
          <w:color w:val="auto"/>
        </w:rPr>
      </w:pPr>
      <w:r>
        <w:rPr>
          <w:rFonts w:ascii="Times New Roman" w:cs="Times New Roman" w:eastAsia="Times New Roman" w:hAnsi="Times New Roman"/>
          <w:sz w:val="12"/>
          <w:szCs w:val="12"/>
          <w:color w:val="auto"/>
        </w:rPr>
        <w:t xml:space="preserve">10.8. </w:t>
      </w:r>
      <w:r>
        <w:rPr>
          <w:rFonts w:ascii="Times New Roman" w:cs="Times New Roman" w:eastAsia="Times New Roman" w:hAnsi="Times New Roman"/>
          <w:sz w:val="12"/>
          <w:szCs w:val="12"/>
          <w:b w:val="1"/>
          <w:bCs w:val="1"/>
          <w:color w:val="auto"/>
        </w:rPr>
        <w:t>Nontransferability of Performance Awards</w:t>
      </w:r>
      <w:r>
        <w:rPr>
          <w:rFonts w:ascii="Times New Roman" w:cs="Times New Roman" w:eastAsia="Times New Roman" w:hAnsi="Times New Roman"/>
          <w:sz w:val="12"/>
          <w:szCs w:val="12"/>
          <w:color w:val="auto"/>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78" w:lineRule="exact"/>
        <w:rPr>
          <w:sz w:val="20"/>
          <w:szCs w:val="20"/>
          <w:color w:val="auto"/>
        </w:rPr>
      </w:pPr>
    </w:p>
    <w:p>
      <w:pPr>
        <w:ind w:left="428" w:hanging="428"/>
        <w:spacing w:after="0"/>
        <w:tabs>
          <w:tab w:leader="none" w:pos="428"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CASH-BASED AWARDS AND OTHER STOCK-BASED AWARDS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71" w:lineRule="exact"/>
        <w:rPr>
          <w:sz w:val="20"/>
          <w:szCs w:val="20"/>
          <w:color w:val="auto"/>
        </w:rPr>
      </w:pPr>
    </w:p>
    <w:p>
      <w:pPr>
        <w:ind w:left="8" w:right="80"/>
        <w:spacing w:after="0" w:line="286" w:lineRule="auto"/>
        <w:rPr>
          <w:sz w:val="20"/>
          <w:szCs w:val="20"/>
          <w:color w:val="auto"/>
        </w:rPr>
      </w:pPr>
      <w:r>
        <w:rPr>
          <w:rFonts w:ascii="Times New Roman" w:cs="Times New Roman" w:eastAsia="Times New Roman" w:hAnsi="Times New Roman"/>
          <w:sz w:val="12"/>
          <w:szCs w:val="12"/>
          <w:color w:val="auto"/>
        </w:rPr>
        <w:t xml:space="preserve">11.1. </w:t>
      </w:r>
      <w:r>
        <w:rPr>
          <w:rFonts w:ascii="Times New Roman" w:cs="Times New Roman" w:eastAsia="Times New Roman" w:hAnsi="Times New Roman"/>
          <w:sz w:val="12"/>
          <w:szCs w:val="12"/>
          <w:b w:val="1"/>
          <w:bCs w:val="1"/>
          <w:color w:val="auto"/>
        </w:rPr>
        <w:t>Grant of Cash-Based Awards</w:t>
      </w:r>
      <w:r>
        <w:rPr>
          <w:rFonts w:ascii="Times New Roman" w:cs="Times New Roman" w:eastAsia="Times New Roman" w:hAnsi="Times New Roman"/>
          <w:sz w:val="12"/>
          <w:szCs w:val="12"/>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67" w:lineRule="exact"/>
        <w:rPr>
          <w:sz w:val="20"/>
          <w:szCs w:val="20"/>
          <w:color w:val="auto"/>
        </w:rPr>
      </w:pPr>
    </w:p>
    <w:p>
      <w:pPr>
        <w:ind w:left="8" w:right="80"/>
        <w:spacing w:after="0" w:line="259" w:lineRule="auto"/>
        <w:rPr>
          <w:sz w:val="20"/>
          <w:szCs w:val="20"/>
          <w:color w:val="auto"/>
        </w:rPr>
      </w:pPr>
      <w:r>
        <w:rPr>
          <w:rFonts w:ascii="Times New Roman" w:cs="Times New Roman" w:eastAsia="Times New Roman" w:hAnsi="Times New Roman"/>
          <w:sz w:val="12"/>
          <w:szCs w:val="12"/>
          <w:color w:val="auto"/>
        </w:rPr>
        <w:t xml:space="preserve">11.2. </w:t>
      </w:r>
      <w:r>
        <w:rPr>
          <w:rFonts w:ascii="Times New Roman" w:cs="Times New Roman" w:eastAsia="Times New Roman" w:hAnsi="Times New Roman"/>
          <w:sz w:val="12"/>
          <w:szCs w:val="12"/>
          <w:b w:val="1"/>
          <w:bCs w:val="1"/>
          <w:color w:val="auto"/>
        </w:rPr>
        <w:t>Grant of Other Stock-Based Awards</w:t>
      </w:r>
      <w:r>
        <w:rPr>
          <w:rFonts w:ascii="Times New Roman" w:cs="Times New Roman" w:eastAsia="Times New Roman" w:hAnsi="Times New Roman"/>
          <w:sz w:val="12"/>
          <w:szCs w:val="12"/>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83" w:lineRule="exact"/>
        <w:rPr>
          <w:sz w:val="20"/>
          <w:szCs w:val="20"/>
          <w:color w:val="auto"/>
        </w:rPr>
      </w:pPr>
    </w:p>
    <w:p>
      <w:pPr>
        <w:ind w:left="8"/>
        <w:spacing w:after="0" w:line="262" w:lineRule="auto"/>
        <w:rPr>
          <w:sz w:val="20"/>
          <w:szCs w:val="20"/>
          <w:color w:val="auto"/>
        </w:rPr>
      </w:pPr>
      <w:r>
        <w:rPr>
          <w:rFonts w:ascii="Times New Roman" w:cs="Times New Roman" w:eastAsia="Times New Roman" w:hAnsi="Times New Roman"/>
          <w:sz w:val="12"/>
          <w:szCs w:val="12"/>
          <w:color w:val="auto"/>
        </w:rPr>
        <w:t xml:space="preserve">11.3. </w:t>
      </w:r>
      <w:r>
        <w:rPr>
          <w:rFonts w:ascii="Times New Roman" w:cs="Times New Roman" w:eastAsia="Times New Roman" w:hAnsi="Times New Roman"/>
          <w:sz w:val="12"/>
          <w:szCs w:val="12"/>
          <w:b w:val="1"/>
          <w:bCs w:val="1"/>
          <w:color w:val="auto"/>
        </w:rPr>
        <w:t>Value of Cash-Based and Other Stock-Based Awards</w:t>
      </w:r>
      <w:r>
        <w:rPr>
          <w:rFonts w:ascii="Times New Roman" w:cs="Times New Roman" w:eastAsia="Times New Roman" w:hAnsi="Times New Roman"/>
          <w:sz w:val="12"/>
          <w:szCs w:val="12"/>
          <w:color w:val="auto"/>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spacing w:after="0" w:line="81" w:lineRule="exact"/>
        <w:rPr>
          <w:sz w:val="20"/>
          <w:szCs w:val="20"/>
          <w:color w:val="auto"/>
        </w:rPr>
      </w:pPr>
    </w:p>
    <w:p>
      <w:pPr>
        <w:jc w:val="both"/>
        <w:ind w:left="8" w:right="40"/>
        <w:spacing w:after="0" w:line="268" w:lineRule="auto"/>
        <w:rPr>
          <w:sz w:val="20"/>
          <w:szCs w:val="20"/>
          <w:color w:val="auto"/>
        </w:rPr>
      </w:pPr>
      <w:r>
        <w:rPr>
          <w:rFonts w:ascii="Times New Roman" w:cs="Times New Roman" w:eastAsia="Times New Roman" w:hAnsi="Times New Roman"/>
          <w:sz w:val="12"/>
          <w:szCs w:val="12"/>
          <w:color w:val="auto"/>
        </w:rPr>
        <w:t xml:space="preserve">11.4. </w:t>
      </w:r>
      <w:r>
        <w:rPr>
          <w:rFonts w:ascii="Times New Roman" w:cs="Times New Roman" w:eastAsia="Times New Roman" w:hAnsi="Times New Roman"/>
          <w:sz w:val="12"/>
          <w:szCs w:val="12"/>
          <w:b w:val="1"/>
          <w:bCs w:val="1"/>
          <w:color w:val="auto"/>
        </w:rPr>
        <w:t>Payment or Settlement of Cash-Based Awards and Other Stock-Based Awards</w:t>
      </w:r>
      <w:r>
        <w:rPr>
          <w:rFonts w:ascii="Times New Roman" w:cs="Times New Roman" w:eastAsia="Times New Roman" w:hAnsi="Times New Roman"/>
          <w:sz w:val="12"/>
          <w:szCs w:val="12"/>
          <w:color w:val="auto"/>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spacing w:after="0" w:line="78" w:lineRule="exact"/>
        <w:rPr>
          <w:sz w:val="20"/>
          <w:szCs w:val="20"/>
          <w:color w:val="auto"/>
        </w:rPr>
      </w:pPr>
    </w:p>
    <w:p>
      <w:pPr>
        <w:ind w:left="8" w:right="40"/>
        <w:spacing w:after="0" w:line="257" w:lineRule="auto"/>
        <w:rPr>
          <w:sz w:val="20"/>
          <w:szCs w:val="20"/>
          <w:color w:val="auto"/>
        </w:rPr>
      </w:pPr>
      <w:r>
        <w:rPr>
          <w:rFonts w:ascii="Times New Roman" w:cs="Times New Roman" w:eastAsia="Times New Roman" w:hAnsi="Times New Roman"/>
          <w:sz w:val="12"/>
          <w:szCs w:val="12"/>
          <w:color w:val="auto"/>
        </w:rPr>
        <w:t xml:space="preserve">11.5. </w:t>
      </w:r>
      <w:r>
        <w:rPr>
          <w:rFonts w:ascii="Times New Roman" w:cs="Times New Roman" w:eastAsia="Times New Roman" w:hAnsi="Times New Roman"/>
          <w:sz w:val="12"/>
          <w:szCs w:val="12"/>
          <w:b w:val="1"/>
          <w:bCs w:val="1"/>
          <w:color w:val="auto"/>
        </w:rPr>
        <w:t>Voting Rights; Dividend Equivalent Rights and Distributions</w:t>
      </w:r>
      <w:r>
        <w:rPr>
          <w:rFonts w:ascii="Times New Roman" w:cs="Times New Roman" w:eastAsia="Times New Roman" w:hAnsi="Times New Roman"/>
          <w:sz w:val="12"/>
          <w:szCs w:val="12"/>
          <w:color w:val="auto"/>
        </w:rPr>
        <w:t>.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w:t>
      </w:r>
    </w:p>
    <w:p>
      <w:pPr>
        <w:spacing w:after="0" w:line="3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3" w:right="299" w:bottom="1440" w:gutter="0" w:footer="0" w:header="0"/>
        </w:sectPr>
      </w:pPr>
    </w:p>
    <w:bookmarkStart w:id="65" w:name="page66"/>
    <w:bookmarkEnd w:id="65"/>
    <w:p>
      <w:pPr>
        <w:ind w:left="8" w:right="60"/>
        <w:spacing w:after="0" w:line="265" w:lineRule="auto"/>
        <w:rPr>
          <w:sz w:val="20"/>
          <w:szCs w:val="20"/>
          <w:color w:val="auto"/>
        </w:rPr>
      </w:pPr>
      <w:r>
        <w:rPr>
          <w:rFonts w:ascii="Times New Roman" w:cs="Times New Roman" w:eastAsia="Times New Roman" w:hAnsi="Times New Roman"/>
          <w:sz w:val="12"/>
          <w:szCs w:val="12"/>
          <w:color w:val="auto"/>
        </w:rPr>
        <w:t>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spacing w:after="0" w:line="79" w:lineRule="exact"/>
        <w:rPr>
          <w:sz w:val="20"/>
          <w:szCs w:val="20"/>
          <w:color w:val="auto"/>
        </w:rPr>
      </w:pPr>
    </w:p>
    <w:p>
      <w:pPr>
        <w:ind w:left="8" w:right="60"/>
        <w:spacing w:after="0" w:line="268" w:lineRule="auto"/>
        <w:rPr>
          <w:sz w:val="20"/>
          <w:szCs w:val="20"/>
          <w:color w:val="auto"/>
        </w:rPr>
      </w:pPr>
      <w:r>
        <w:rPr>
          <w:rFonts w:ascii="Times New Roman" w:cs="Times New Roman" w:eastAsia="Times New Roman" w:hAnsi="Times New Roman"/>
          <w:sz w:val="12"/>
          <w:szCs w:val="12"/>
          <w:color w:val="auto"/>
        </w:rPr>
        <w:t xml:space="preserve">11.6. </w:t>
      </w:r>
      <w:r>
        <w:rPr>
          <w:rFonts w:ascii="Times New Roman" w:cs="Times New Roman" w:eastAsia="Times New Roman" w:hAnsi="Times New Roman"/>
          <w:sz w:val="12"/>
          <w:szCs w:val="12"/>
          <w:b w:val="1"/>
          <w:bCs w:val="1"/>
          <w:color w:val="auto"/>
        </w:rPr>
        <w:t>Effect of Termination of Service</w:t>
      </w:r>
      <w:r>
        <w:rPr>
          <w:rFonts w:ascii="Times New Roman" w:cs="Times New Roman" w:eastAsia="Times New Roman" w:hAnsi="Times New Roman"/>
          <w:sz w:val="12"/>
          <w:szCs w:val="12"/>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78" w:lineRule="exact"/>
        <w:rPr>
          <w:sz w:val="20"/>
          <w:szCs w:val="20"/>
          <w:color w:val="auto"/>
        </w:rPr>
      </w:pPr>
    </w:p>
    <w:p>
      <w:pPr>
        <w:ind w:left="8" w:right="60"/>
        <w:spacing w:after="0" w:line="259" w:lineRule="auto"/>
        <w:rPr>
          <w:sz w:val="20"/>
          <w:szCs w:val="20"/>
          <w:color w:val="auto"/>
        </w:rPr>
      </w:pPr>
      <w:r>
        <w:rPr>
          <w:rFonts w:ascii="Times New Roman" w:cs="Times New Roman" w:eastAsia="Times New Roman" w:hAnsi="Times New Roman"/>
          <w:sz w:val="12"/>
          <w:szCs w:val="12"/>
          <w:color w:val="auto"/>
        </w:rPr>
        <w:t xml:space="preserve">11.7.   </w:t>
      </w:r>
      <w:r>
        <w:rPr>
          <w:rFonts w:ascii="Times New Roman" w:cs="Times New Roman" w:eastAsia="Times New Roman" w:hAnsi="Times New Roman"/>
          <w:sz w:val="12"/>
          <w:szCs w:val="12"/>
          <w:b w:val="1"/>
          <w:bCs w:val="1"/>
          <w:color w:val="auto"/>
        </w:rPr>
        <w:t>Nontransferability of Cash-Based Awards and Other Stock-Based Awards</w:t>
      </w:r>
      <w:r>
        <w:rPr>
          <w:rFonts w:ascii="Times New Roman" w:cs="Times New Roman" w:eastAsia="Times New Roman" w:hAnsi="Times New Roman"/>
          <w:sz w:val="12"/>
          <w:szCs w:val="12"/>
          <w:color w:val="auto"/>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83" w:lineRule="exact"/>
        <w:rPr>
          <w:sz w:val="20"/>
          <w:szCs w:val="20"/>
          <w:color w:val="auto"/>
        </w:rPr>
      </w:pPr>
    </w:p>
    <w:p>
      <w:pPr>
        <w:ind w:left="428" w:hanging="428"/>
        <w:spacing w:after="0"/>
        <w:tabs>
          <w:tab w:leader="none" w:pos="428" w:val="left"/>
        </w:tabs>
        <w:numPr>
          <w:ilvl w:val="0"/>
          <w:numId w:val="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STANDARD FORMS OF AWARD AGREEMENT.</w:t>
      </w:r>
    </w:p>
    <w:p>
      <w:pPr>
        <w:spacing w:after="0" w:line="114" w:lineRule="exact"/>
        <w:rPr>
          <w:sz w:val="20"/>
          <w:szCs w:val="20"/>
          <w:color w:val="auto"/>
        </w:rPr>
      </w:pPr>
    </w:p>
    <w:p>
      <w:pPr>
        <w:ind w:left="8" w:right="240"/>
        <w:spacing w:after="0" w:line="286" w:lineRule="auto"/>
        <w:rPr>
          <w:sz w:val="20"/>
          <w:szCs w:val="20"/>
          <w:color w:val="auto"/>
        </w:rPr>
      </w:pPr>
      <w:r>
        <w:rPr>
          <w:rFonts w:ascii="Times New Roman" w:cs="Times New Roman" w:eastAsia="Times New Roman" w:hAnsi="Times New Roman"/>
          <w:sz w:val="12"/>
          <w:szCs w:val="12"/>
          <w:color w:val="auto"/>
        </w:rPr>
        <w:t xml:space="preserve">12.1. </w:t>
      </w:r>
      <w:r>
        <w:rPr>
          <w:rFonts w:ascii="Times New Roman" w:cs="Times New Roman" w:eastAsia="Times New Roman" w:hAnsi="Times New Roman"/>
          <w:sz w:val="12"/>
          <w:szCs w:val="12"/>
          <w:b w:val="1"/>
          <w:bCs w:val="1"/>
          <w:color w:val="auto"/>
        </w:rPr>
        <w:t>Award Agreements</w:t>
      </w:r>
      <w:r>
        <w:rPr>
          <w:rFonts w:ascii="Times New Roman" w:cs="Times New Roman" w:eastAsia="Times New Roman" w:hAnsi="Times New Roman"/>
          <w:sz w:val="12"/>
          <w:szCs w:val="12"/>
          <w:color w:val="auto"/>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spacing w:after="0" w:line="67" w:lineRule="exact"/>
        <w:rPr>
          <w:sz w:val="20"/>
          <w:szCs w:val="20"/>
          <w:color w:val="auto"/>
        </w:rPr>
      </w:pPr>
    </w:p>
    <w:p>
      <w:pPr>
        <w:jc w:val="both"/>
        <w:ind w:left="8" w:right="80"/>
        <w:spacing w:after="0" w:line="268" w:lineRule="auto"/>
        <w:rPr>
          <w:sz w:val="20"/>
          <w:szCs w:val="20"/>
          <w:color w:val="auto"/>
        </w:rPr>
      </w:pPr>
      <w:r>
        <w:rPr>
          <w:rFonts w:ascii="Times New Roman" w:cs="Times New Roman" w:eastAsia="Times New Roman" w:hAnsi="Times New Roman"/>
          <w:sz w:val="12"/>
          <w:szCs w:val="12"/>
          <w:color w:val="auto"/>
        </w:rPr>
        <w:t xml:space="preserve">12.2. </w:t>
      </w:r>
      <w:r>
        <w:rPr>
          <w:rFonts w:ascii="Times New Roman" w:cs="Times New Roman" w:eastAsia="Times New Roman" w:hAnsi="Times New Roman"/>
          <w:sz w:val="12"/>
          <w:szCs w:val="12"/>
          <w:b w:val="1"/>
          <w:bCs w:val="1"/>
          <w:color w:val="auto"/>
        </w:rPr>
        <w:t>Authority to Vary Terms</w:t>
      </w:r>
      <w:r>
        <w:rPr>
          <w:rFonts w:ascii="Times New Roman" w:cs="Times New Roman" w:eastAsia="Times New Roman" w:hAnsi="Times New Roman"/>
          <w:sz w:val="12"/>
          <w:szCs w:val="12"/>
          <w:color w:val="auto"/>
        </w:rPr>
        <w:t>.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78" w:lineRule="exact"/>
        <w:rPr>
          <w:sz w:val="20"/>
          <w:szCs w:val="20"/>
          <w:color w:val="auto"/>
        </w:rPr>
      </w:pPr>
    </w:p>
    <w:p>
      <w:pPr>
        <w:ind w:left="428" w:hanging="428"/>
        <w:spacing w:after="0"/>
        <w:tabs>
          <w:tab w:leader="none" w:pos="428" w:val="left"/>
        </w:tabs>
        <w:numPr>
          <w:ilvl w:val="0"/>
          <w:numId w:val="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CHANGE IN CONTROL</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right="80"/>
        <w:spacing w:after="0" w:line="257" w:lineRule="auto"/>
        <w:rPr>
          <w:sz w:val="20"/>
          <w:szCs w:val="20"/>
          <w:color w:val="auto"/>
        </w:rPr>
      </w:pPr>
      <w:r>
        <w:rPr>
          <w:rFonts w:ascii="Times New Roman" w:cs="Times New Roman" w:eastAsia="Times New Roman" w:hAnsi="Times New Roman"/>
          <w:sz w:val="12"/>
          <w:szCs w:val="12"/>
          <w:color w:val="auto"/>
        </w:rPr>
        <w:t xml:space="preserve">13.1. </w:t>
      </w:r>
      <w:r>
        <w:rPr>
          <w:rFonts w:ascii="Times New Roman" w:cs="Times New Roman" w:eastAsia="Times New Roman" w:hAnsi="Times New Roman"/>
          <w:sz w:val="12"/>
          <w:szCs w:val="12"/>
          <w:b w:val="1"/>
          <w:bCs w:val="1"/>
          <w:color w:val="auto"/>
        </w:rPr>
        <w:t>Effect of Change in Control on Awards</w:t>
      </w:r>
      <w:r>
        <w:rPr>
          <w:rFonts w:ascii="Times New Roman" w:cs="Times New Roman" w:eastAsia="Times New Roman" w:hAnsi="Times New Roman"/>
          <w:sz w:val="12"/>
          <w:szCs w:val="12"/>
          <w:color w:val="auto"/>
        </w:rPr>
        <w:t>. In the event of a Change in Control, outstanding Awards shall be subject to the definitive agreement entered into by the Company in connection with the Change in Control. Subject to the requirements and limitations of Section 409A, if applicable, the following provisions will apply to Awards in the event of a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 The Committee need not take the same action or actions with respect to all Awards or portions thereof or with respect to all Participants and in each case may make such determination in its discretion and without the consent of any Participant (unless otherwise provided in the Award Agreement or any other written agreement between the Company or any Affiliate and the Participant or unless otherwise expressly provided by the Committee at the time of grant of an Award).</w:t>
      </w:r>
    </w:p>
    <w:p>
      <w:pPr>
        <w:spacing w:after="0" w:line="85" w:lineRule="exact"/>
        <w:rPr>
          <w:sz w:val="20"/>
          <w:szCs w:val="20"/>
          <w:color w:val="auto"/>
        </w:rPr>
      </w:pPr>
    </w:p>
    <w:p>
      <w:pPr>
        <w:ind w:left="8" w:right="20" w:firstLine="424"/>
        <w:spacing w:after="0" w:line="268" w:lineRule="auto"/>
        <w:tabs>
          <w:tab w:leader="none" w:pos="610" w:val="left"/>
        </w:tabs>
        <w:numPr>
          <w:ilvl w:val="0"/>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Accelerated Vesting</w:t>
      </w:r>
      <w:r>
        <w:rPr>
          <w:rFonts w:ascii="Times New Roman" w:cs="Times New Roman" w:eastAsia="Times New Roman" w:hAnsi="Times New Roman"/>
          <w:sz w:val="12"/>
          <w:szCs w:val="12"/>
          <w:color w:val="auto"/>
        </w:rPr>
        <w:t>. The Committee may take such action as it deems appropriate to provide for acceleration of the exercisability, vesting and/or settlement in connection with a Change in Control of each or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outstanding Award or portion thereof and shares acquired pursuant thereto upon such conditions, including termination of the Participant’s Service prior to, upon, or following the Change in Control, and to such extent as the Committee determines.</w:t>
      </w:r>
    </w:p>
    <w:p>
      <w:pPr>
        <w:spacing w:after="0" w:line="77" w:lineRule="exact"/>
        <w:rPr>
          <w:rFonts w:ascii="Times New Roman" w:cs="Times New Roman" w:eastAsia="Times New Roman" w:hAnsi="Times New Roman"/>
          <w:sz w:val="12"/>
          <w:szCs w:val="12"/>
          <w:b w:val="1"/>
          <w:bCs w:val="1"/>
          <w:color w:val="auto"/>
        </w:rPr>
      </w:pPr>
    </w:p>
    <w:p>
      <w:pPr>
        <w:jc w:val="both"/>
        <w:ind w:left="8" w:firstLine="424"/>
        <w:spacing w:after="0" w:line="259" w:lineRule="auto"/>
        <w:tabs>
          <w:tab w:leader="none" w:pos="616" w:val="left"/>
        </w:tabs>
        <w:numPr>
          <w:ilvl w:val="0"/>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Assumption, Continuation or Substitution</w:t>
      </w:r>
      <w:r>
        <w:rPr>
          <w:rFonts w:ascii="Times New Roman" w:cs="Times New Roman" w:eastAsia="Times New Roman" w:hAnsi="Times New Roman"/>
          <w:sz w:val="12"/>
          <w:szCs w:val="12"/>
          <w:color w:val="auto"/>
        </w:rPr>
        <w:t>. The Committee may arrange for the surviving, continuing, successor, or purchasing corporation or other business entity or parent thereof, as the case may be (the “</w:t>
      </w:r>
      <w:r>
        <w:rPr>
          <w:rFonts w:ascii="Times New Roman" w:cs="Times New Roman" w:eastAsia="Times New Roman" w:hAnsi="Times New Roman"/>
          <w:sz w:val="12"/>
          <w:szCs w:val="12"/>
          <w:b w:val="1"/>
          <w:bCs w:val="1"/>
          <w:color w:val="auto"/>
        </w:rPr>
        <w:t>Acquiror</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w:t>
      </w:r>
    </w:p>
    <w:p>
      <w:pPr>
        <w:spacing w:after="0" w:line="3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813" w:right="319" w:bottom="1440" w:gutter="0" w:footer="0" w:header="0"/>
        </w:sectPr>
      </w:pPr>
    </w:p>
    <w:bookmarkStart w:id="66" w:name="page67"/>
    <w:bookmarkEnd w:id="66"/>
    <w:p>
      <w:pPr>
        <w:spacing w:after="0" w:line="257" w:lineRule="auto"/>
        <w:rPr>
          <w:sz w:val="20"/>
          <w:szCs w:val="20"/>
          <w:color w:val="auto"/>
        </w:rPr>
      </w:pPr>
      <w:r>
        <w:rPr>
          <w:rFonts w:ascii="Times New Roman" w:cs="Times New Roman" w:eastAsia="Times New Roman" w:hAnsi="Times New Roman"/>
          <w:sz w:val="12"/>
          <w:szCs w:val="12"/>
          <w:color w:val="auto"/>
        </w:rPr>
        <w:t>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or settled prior to the time of consummation of the Change in Control shall terminate and cease to be outstanding effective as of the time of consummation of the Change in Control.</w:t>
      </w:r>
    </w:p>
    <w:p>
      <w:pPr>
        <w:spacing w:after="0" w:line="85" w:lineRule="exact"/>
        <w:rPr>
          <w:sz w:val="20"/>
          <w:szCs w:val="20"/>
          <w:color w:val="auto"/>
        </w:rPr>
      </w:pPr>
    </w:p>
    <w:p>
      <w:pPr>
        <w:ind w:right="260" w:firstLine="424"/>
        <w:spacing w:after="0" w:line="286" w:lineRule="auto"/>
        <w:tabs>
          <w:tab w:leader="none" w:pos="595" w:val="left"/>
        </w:tabs>
        <w:numPr>
          <w:ilvl w:val="0"/>
          <w:numId w:val="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 or Lapse of Reacquisition or Repurchase Rights</w:t>
      </w:r>
      <w:r>
        <w:rPr>
          <w:rFonts w:ascii="Times New Roman" w:cs="Times New Roman" w:eastAsia="Times New Roman" w:hAnsi="Times New Roman"/>
          <w:sz w:val="12"/>
          <w:szCs w:val="12"/>
          <w:color w:val="auto"/>
        </w:rPr>
        <w:t>. The Committee may arrange for the assignment of any reacquisition or repurchase rights held by the Company in respect of Stock issued pursuant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Award to the Acquiror or arrange for the lapse, in whole or in part, of any reacquisition or repurchase rights held by the Company with respect to the Award.</w:t>
      </w:r>
    </w:p>
    <w:p>
      <w:pPr>
        <w:spacing w:after="0" w:line="67" w:lineRule="exact"/>
        <w:rPr>
          <w:rFonts w:ascii="Times New Roman" w:cs="Times New Roman" w:eastAsia="Times New Roman" w:hAnsi="Times New Roman"/>
          <w:sz w:val="12"/>
          <w:szCs w:val="12"/>
          <w:b w:val="1"/>
          <w:bCs w:val="1"/>
          <w:color w:val="auto"/>
        </w:rPr>
      </w:pPr>
    </w:p>
    <w:p>
      <w:pPr>
        <w:ind w:right="380" w:firstLine="424"/>
        <w:spacing w:after="0" w:line="286" w:lineRule="auto"/>
        <w:tabs>
          <w:tab w:leader="none" w:pos="608" w:val="left"/>
        </w:tabs>
        <w:numPr>
          <w:ilvl w:val="0"/>
          <w:numId w:val="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Cancellation</w:t>
      </w:r>
      <w:r>
        <w:rPr>
          <w:rFonts w:ascii="Times New Roman" w:cs="Times New Roman" w:eastAsia="Times New Roman" w:hAnsi="Times New Roman"/>
          <w:sz w:val="12"/>
          <w:szCs w:val="12"/>
          <w:color w:val="auto"/>
        </w:rPr>
        <w:t>. In its discretion, the Committee may cancel or arrange for the cancellation of the Award, to the extent not vested or not exercised prior to the effective time of the Change in Control, in exchange for no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consideration ($0) or such consideration, if any, as determined by the Committee.</w:t>
      </w:r>
    </w:p>
    <w:p>
      <w:pPr>
        <w:spacing w:after="0" w:line="67" w:lineRule="exact"/>
        <w:rPr>
          <w:rFonts w:ascii="Times New Roman" w:cs="Times New Roman" w:eastAsia="Times New Roman" w:hAnsi="Times New Roman"/>
          <w:sz w:val="12"/>
          <w:szCs w:val="12"/>
          <w:b w:val="1"/>
          <w:bCs w:val="1"/>
          <w:color w:val="auto"/>
        </w:rPr>
      </w:pPr>
    </w:p>
    <w:p>
      <w:pPr>
        <w:ind w:right="100" w:firstLine="424"/>
        <w:spacing w:after="0" w:line="255" w:lineRule="auto"/>
        <w:tabs>
          <w:tab w:leader="none" w:pos="595" w:val="left"/>
        </w:tabs>
        <w:numPr>
          <w:ilvl w:val="0"/>
          <w:numId w:val="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Cash-Out of Outstanding Stock-Based Awards</w:t>
      </w:r>
      <w:r>
        <w:rPr>
          <w:rFonts w:ascii="Times New Roman" w:cs="Times New Roman" w:eastAsia="Times New Roman" w:hAnsi="Times New Roman"/>
          <w:sz w:val="12"/>
          <w:szCs w:val="12"/>
          <w:color w:val="auto"/>
        </w:rPr>
        <w:t>. The Committee may determine that, upon the occurrence of a Change in Control, each or any Award denominated in shares of Stock or portion thereof outstanding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 or, if determined by the Committee and in compliance with Section 409A, as soon as practicable following the date of the Change in Control.</w:t>
      </w:r>
    </w:p>
    <w:p>
      <w:pPr>
        <w:spacing w:after="0" w:line="87" w:lineRule="exact"/>
        <w:rPr>
          <w:rFonts w:ascii="Times New Roman" w:cs="Times New Roman" w:eastAsia="Times New Roman" w:hAnsi="Times New Roman"/>
          <w:sz w:val="12"/>
          <w:szCs w:val="12"/>
          <w:b w:val="1"/>
          <w:bCs w:val="1"/>
          <w:color w:val="auto"/>
        </w:rPr>
      </w:pPr>
    </w:p>
    <w:p>
      <w:pPr>
        <w:ind w:right="100" w:firstLine="424"/>
        <w:spacing w:after="0" w:line="268" w:lineRule="auto"/>
        <w:tabs>
          <w:tab w:leader="none" w:pos="582" w:val="left"/>
        </w:tabs>
        <w:numPr>
          <w:ilvl w:val="0"/>
          <w:numId w:val="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Adjustments and Earnouts</w:t>
      </w:r>
      <w:r>
        <w:rPr>
          <w:rFonts w:ascii="Times New Roman" w:cs="Times New Roman" w:eastAsia="Times New Roman" w:hAnsi="Times New Roman"/>
          <w:sz w:val="12"/>
          <w:szCs w:val="12"/>
          <w:color w:val="auto"/>
        </w:rPr>
        <w:t>. In making any determination pursuant to this Section 13.1 in the event of a Change in Control, the Committee may, in its discretion, determine that an Award shall or shall not be subject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spacing w:after="0" w:line="7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2"/>
          <w:szCs w:val="12"/>
          <w:color w:val="auto"/>
        </w:rPr>
        <w:t xml:space="preserve">13.2. </w:t>
      </w:r>
      <w:r>
        <w:rPr>
          <w:rFonts w:ascii="Times New Roman" w:cs="Times New Roman" w:eastAsia="Times New Roman" w:hAnsi="Times New Roman"/>
          <w:sz w:val="12"/>
          <w:szCs w:val="12"/>
          <w:b w:val="1"/>
          <w:bCs w:val="1"/>
          <w:color w:val="auto"/>
        </w:rPr>
        <w:t>Effect of Change in Control on Nonemployee Director Awards</w:t>
      </w:r>
      <w:r>
        <w:rPr>
          <w:rFonts w:ascii="Times New Roman" w:cs="Times New Roman" w:eastAsia="Times New Roman" w:hAnsi="Times New Roman"/>
          <w:sz w:val="12"/>
          <w:szCs w:val="12"/>
          <w:color w:val="auto"/>
        </w:rPr>
        <w:t>. 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Change in Control and, except to the extent assumed, continued or substituted for pursuant to Section 13.1(b) or otherwise restricted by Section 409A, shall be settled effective immediately prior to the time of consummation of the Change in Control if not exercised or settled prior to the Change in Control.</w:t>
      </w:r>
    </w:p>
    <w:p>
      <w:pPr>
        <w:spacing w:after="0" w:line="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color w:val="auto"/>
        </w:rPr>
        <w:t>13.3.</w:t>
      </w:r>
      <w:r>
        <w:rPr>
          <w:sz w:val="20"/>
          <w:szCs w:val="20"/>
          <w:color w:val="auto"/>
        </w:rPr>
        <w:tab/>
      </w:r>
      <w:r>
        <w:rPr>
          <w:rFonts w:ascii="Times New Roman" w:cs="Times New Roman" w:eastAsia="Times New Roman" w:hAnsi="Times New Roman"/>
          <w:sz w:val="11"/>
          <w:szCs w:val="11"/>
          <w:b w:val="1"/>
          <w:bCs w:val="1"/>
          <w:color w:val="auto"/>
        </w:rPr>
        <w:t>Federal Excise Tax Under Section 4999 of the Code</w:t>
      </w:r>
      <w:r>
        <w:rPr>
          <w:rFonts w:ascii="Times New Roman" w:cs="Times New Roman" w:eastAsia="Times New Roman" w:hAnsi="Times New Roman"/>
          <w:sz w:val="11"/>
          <w:szCs w:val="11"/>
          <w:color w:val="auto"/>
        </w:rPr>
        <w:t>.</w:t>
      </w:r>
    </w:p>
    <w:p>
      <w:pPr>
        <w:spacing w:after="0" w:line="114" w:lineRule="exact"/>
        <w:rPr>
          <w:sz w:val="20"/>
          <w:szCs w:val="20"/>
          <w:color w:val="auto"/>
        </w:rPr>
      </w:pPr>
    </w:p>
    <w:p>
      <w:pPr>
        <w:ind w:right="60" w:firstLine="424"/>
        <w:spacing w:after="0" w:line="268" w:lineRule="auto"/>
        <w:tabs>
          <w:tab w:leader="none" w:pos="602" w:val="left"/>
        </w:tabs>
        <w:numPr>
          <w:ilvl w:val="0"/>
          <w:numId w:val="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Excess Parachute Payment</w:t>
      </w:r>
      <w:r>
        <w:rPr>
          <w:rFonts w:ascii="Times New Roman" w:cs="Times New Roman" w:eastAsia="Times New Roman" w:hAnsi="Times New Roman"/>
          <w:sz w:val="12"/>
          <w:szCs w:val="12"/>
          <w:color w:val="auto"/>
        </w:rPr>
        <w:t>. If any acceleration of vesting pursuant to an Award and any other payment or benefit received or to be received by a Participant would subject the Participant to any excise tax pursuant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77" w:lineRule="exact"/>
        <w:rPr>
          <w:rFonts w:ascii="Times New Roman" w:cs="Times New Roman" w:eastAsia="Times New Roman" w:hAnsi="Times New Roman"/>
          <w:sz w:val="12"/>
          <w:szCs w:val="12"/>
          <w:b w:val="1"/>
          <w:bCs w:val="1"/>
          <w:color w:val="auto"/>
        </w:rPr>
      </w:pPr>
    </w:p>
    <w:p>
      <w:pPr>
        <w:jc w:val="both"/>
        <w:ind w:right="120" w:firstLine="424"/>
        <w:spacing w:after="0" w:line="268" w:lineRule="auto"/>
        <w:tabs>
          <w:tab w:leader="none" w:pos="608" w:val="left"/>
        </w:tabs>
        <w:numPr>
          <w:ilvl w:val="0"/>
          <w:numId w:val="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Determination by Tax Firm</w:t>
      </w:r>
      <w:r>
        <w:rPr>
          <w:rFonts w:ascii="Times New Roman" w:cs="Times New Roman" w:eastAsia="Times New Roman" w:hAnsi="Times New Roman"/>
          <w:sz w:val="12"/>
          <w:szCs w:val="12"/>
          <w:color w:val="auto"/>
        </w:rPr>
        <w:t>. To aid the Participant in making any election called for under Section 13.3(a), no later than the date of the occurrence of any event that might reasonably be anticipated to result in an “excess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sectPr>
      </w:pPr>
    </w:p>
    <w:bookmarkStart w:id="67" w:name="page68"/>
    <w:bookmarkEnd w:id="67"/>
    <w:p>
      <w:pPr>
        <w:ind w:left="8" w:right="60"/>
        <w:spacing w:after="0" w:line="262" w:lineRule="auto"/>
        <w:rPr>
          <w:sz w:val="20"/>
          <w:szCs w:val="20"/>
          <w:color w:val="auto"/>
        </w:rPr>
      </w:pPr>
      <w:r>
        <w:rPr>
          <w:rFonts w:ascii="Times New Roman" w:cs="Times New Roman" w:eastAsia="Times New Roman" w:hAnsi="Times New Roman"/>
          <w:sz w:val="12"/>
          <w:szCs w:val="12"/>
          <w:color w:val="auto"/>
        </w:rPr>
        <w:t>recognized tax firm to make the determinations required by this Section (the “</w:t>
      </w:r>
      <w:r>
        <w:rPr>
          <w:rFonts w:ascii="Times New Roman" w:cs="Times New Roman" w:eastAsia="Times New Roman" w:hAnsi="Times New Roman"/>
          <w:sz w:val="12"/>
          <w:szCs w:val="12"/>
          <w:b w:val="1"/>
          <w:bCs w:val="1"/>
          <w:color w:val="auto"/>
        </w:rPr>
        <w:t>Tax Firm</w:t>
      </w:r>
      <w:r>
        <w:rPr>
          <w:rFonts w:ascii="Times New Roman" w:cs="Times New Roman" w:eastAsia="Times New Roman" w:hAnsi="Times New Roman"/>
          <w:sz w:val="12"/>
          <w:szCs w:val="12"/>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81" w:lineRule="exact"/>
        <w:rPr>
          <w:sz w:val="20"/>
          <w:szCs w:val="20"/>
          <w:color w:val="auto"/>
        </w:rPr>
      </w:pPr>
    </w:p>
    <w:p>
      <w:pPr>
        <w:ind w:left="428" w:hanging="428"/>
        <w:spacing w:after="0"/>
        <w:tabs>
          <w:tab w:leader="none" w:pos="428" w:val="left"/>
        </w:tabs>
        <w:numPr>
          <w:ilvl w:val="0"/>
          <w:numId w:val="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COMPLIANCE WITH SECURITIES LAW</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86" w:lineRule="exact"/>
        <w:rPr>
          <w:sz w:val="20"/>
          <w:szCs w:val="20"/>
          <w:color w:val="auto"/>
        </w:rPr>
      </w:pPr>
    </w:p>
    <w:p>
      <w:pPr>
        <w:ind w:left="428" w:hanging="428"/>
        <w:spacing w:after="0"/>
        <w:tabs>
          <w:tab w:leader="none" w:pos="428" w:val="left"/>
        </w:tabs>
        <w:numPr>
          <w:ilvl w:val="0"/>
          <w:numId w:val="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COMPLIANCE WITH SECTION 409A</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color w:val="auto"/>
        </w:rPr>
        <w:t>15.1.</w:t>
      </w:r>
      <w:r>
        <w:rPr>
          <w:sz w:val="20"/>
          <w:szCs w:val="20"/>
          <w:color w:val="auto"/>
        </w:rPr>
        <w:tab/>
      </w:r>
      <w:r>
        <w:rPr>
          <w:rFonts w:ascii="Times New Roman" w:cs="Times New Roman" w:eastAsia="Times New Roman" w:hAnsi="Times New Roman"/>
          <w:sz w:val="11"/>
          <w:szCs w:val="11"/>
          <w:b w:val="1"/>
          <w:bCs w:val="1"/>
          <w:color w:val="auto"/>
        </w:rPr>
        <w:t>Awards Subject to Section 409A</w:t>
      </w:r>
      <w:r>
        <w:rPr>
          <w:rFonts w:ascii="Times New Roman" w:cs="Times New Roman" w:eastAsia="Times New Roman" w:hAnsi="Times New Roman"/>
          <w:sz w:val="11"/>
          <w:szCs w:val="11"/>
          <w:color w:val="auto"/>
        </w:rPr>
        <w:t>. The Company intends that Awards granted pursuant to the Plan shall either be exempt from or comply with Section 409A, and the Plan shall be so construed. The provisions of this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Section 15 shall apply to any Award or portion thereof that constitutes or provides for payment of Section 409A Deferred Compensation. Such Awards may include, without limitation:</w:t>
      </w:r>
    </w:p>
    <w:p>
      <w:pPr>
        <w:spacing w:after="0" w:line="103" w:lineRule="exact"/>
        <w:rPr>
          <w:sz w:val="20"/>
          <w:szCs w:val="20"/>
          <w:color w:val="auto"/>
        </w:rPr>
      </w:pPr>
    </w:p>
    <w:p>
      <w:pPr>
        <w:ind w:left="8" w:right="40" w:firstLine="424"/>
        <w:spacing w:after="0" w:line="279" w:lineRule="auto"/>
        <w:tabs>
          <w:tab w:leader="none" w:pos="603"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75" w:lineRule="exact"/>
        <w:rPr>
          <w:rFonts w:ascii="Times New Roman" w:cs="Times New Roman" w:eastAsia="Times New Roman" w:hAnsi="Times New Roman"/>
          <w:sz w:val="12"/>
          <w:szCs w:val="12"/>
          <w:color w:val="auto"/>
        </w:rPr>
      </w:pPr>
    </w:p>
    <w:p>
      <w:pPr>
        <w:jc w:val="both"/>
        <w:ind w:left="8" w:right="180" w:firstLine="424"/>
        <w:spacing w:after="0" w:line="265" w:lineRule="auto"/>
        <w:tabs>
          <w:tab w:leader="none" w:pos="61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79"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color w:val="auto"/>
        </w:rPr>
        <w:t>Subject to the provisions of Section 409A, the term “</w:t>
      </w:r>
      <w:r>
        <w:rPr>
          <w:rFonts w:ascii="Times New Roman" w:cs="Times New Roman" w:eastAsia="Times New Roman" w:hAnsi="Times New Roman"/>
          <w:sz w:val="12"/>
          <w:szCs w:val="12"/>
          <w:b w:val="1"/>
          <w:bCs w:val="1"/>
          <w:i w:val="1"/>
          <w:iCs w:val="1"/>
          <w:color w:val="auto"/>
        </w:rPr>
        <w:t>Short-Term Deferral Period</w:t>
      </w:r>
      <w:r>
        <w:rPr>
          <w:rFonts w:ascii="Times New Roman" w:cs="Times New Roman" w:eastAsia="Times New Roman" w:hAnsi="Times New Roman"/>
          <w:sz w:val="12"/>
          <w:szCs w:val="12"/>
          <w:color w:val="auto"/>
        </w:rPr>
        <w:t>” means the 2 1/2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78"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color w:val="auto"/>
        </w:rPr>
        <w:t>15.2.</w:t>
      </w:r>
      <w:r>
        <w:rPr>
          <w:sz w:val="20"/>
          <w:szCs w:val="20"/>
          <w:color w:val="auto"/>
        </w:rPr>
        <w:tab/>
      </w:r>
      <w:r>
        <w:rPr>
          <w:rFonts w:ascii="Times New Roman" w:cs="Times New Roman" w:eastAsia="Times New Roman" w:hAnsi="Times New Roman"/>
          <w:sz w:val="11"/>
          <w:szCs w:val="11"/>
          <w:b w:val="1"/>
          <w:bCs w:val="1"/>
          <w:color w:val="auto"/>
        </w:rPr>
        <w:t>Deferral and/or Distribution Elections</w:t>
      </w:r>
      <w:r>
        <w:rPr>
          <w:rFonts w:ascii="Times New Roman" w:cs="Times New Roman" w:eastAsia="Times New Roman" w:hAnsi="Times New Roman"/>
          <w:sz w:val="11"/>
          <w:szCs w:val="11"/>
          <w:color w:val="auto"/>
        </w:rPr>
        <w:t>. Except as otherwise permitted or required by Section 409A and the Company, the following rules shall apply to any compensation deferral and/or payment elections (each, an</w:t>
      </w:r>
    </w:p>
    <w:p>
      <w:pPr>
        <w:spacing w:after="0" w:line="3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09"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Election</w:t>
      </w:r>
      <w:r>
        <w:rPr>
          <w:rFonts w:ascii="Times New Roman" w:cs="Times New Roman" w:eastAsia="Times New Roman" w:hAnsi="Times New Roman"/>
          <w:sz w:val="12"/>
          <w:szCs w:val="12"/>
          <w:color w:val="auto"/>
        </w:rPr>
        <w:t>”) that may be permitted or required by the Committee pursuant to an Award providing Section 409A Deferred Compensation:</w:t>
      </w:r>
    </w:p>
    <w:p>
      <w:pPr>
        <w:spacing w:after="0" w:line="118" w:lineRule="exact"/>
        <w:rPr>
          <w:sz w:val="20"/>
          <w:szCs w:val="20"/>
          <w:color w:val="auto"/>
        </w:rPr>
      </w:pPr>
    </w:p>
    <w:p>
      <w:pPr>
        <w:ind w:left="580" w:hanging="156"/>
        <w:spacing w:after="0"/>
        <w:tabs>
          <w:tab w:leader="none" w:pos="58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Elections must be in writing and specify the amount of the payment in settlement of an Award being deferred, as well as the time and form of payment as permitted by this Plan.</w:t>
      </w:r>
    </w:p>
    <w:p>
      <w:pPr>
        <w:spacing w:after="0" w:line="114"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Elections shall be made by the end of the Participant’s taxable year prior to the year in which services commence for which an Award may be granted to the Participant.</w:t>
      </w:r>
    </w:p>
    <w:p>
      <w:pPr>
        <w:spacing w:after="0" w:line="114" w:lineRule="exact"/>
        <w:rPr>
          <w:rFonts w:ascii="Times New Roman" w:cs="Times New Roman" w:eastAsia="Times New Roman" w:hAnsi="Times New Roman"/>
          <w:sz w:val="12"/>
          <w:szCs w:val="12"/>
          <w:color w:val="auto"/>
        </w:rPr>
      </w:pPr>
    </w:p>
    <w:p>
      <w:pPr>
        <w:ind w:right="40" w:firstLine="424"/>
        <w:spacing w:after="0" w:line="279" w:lineRule="auto"/>
        <w:tabs>
          <w:tab w:leader="none" w:pos="595"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2"/>
          <w:szCs w:val="12"/>
          <w:color w:val="auto"/>
        </w:rPr>
        <w:t xml:space="preserve">15.3. </w:t>
      </w:r>
      <w:r>
        <w:rPr>
          <w:rFonts w:ascii="Times New Roman" w:cs="Times New Roman" w:eastAsia="Times New Roman" w:hAnsi="Times New Roman"/>
          <w:sz w:val="12"/>
          <w:szCs w:val="12"/>
          <w:b w:val="1"/>
          <w:bCs w:val="1"/>
          <w:color w:val="auto"/>
        </w:rPr>
        <w:t>Subsequent Elections</w:t>
      </w:r>
      <w:r>
        <w:rPr>
          <w:rFonts w:ascii="Times New Roman" w:cs="Times New Roman" w:eastAsia="Times New Roman" w:hAnsi="Times New Roman"/>
          <w:sz w:val="12"/>
          <w:szCs w:val="12"/>
          <w:color w:val="auto"/>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71" w:lineRule="exact"/>
        <w:rPr>
          <w:sz w:val="20"/>
          <w:szCs w:val="20"/>
          <w:color w:val="auto"/>
        </w:rPr>
      </w:pPr>
    </w:p>
    <w:p>
      <w:pPr>
        <w:ind w:left="580" w:hanging="156"/>
        <w:spacing w:after="0"/>
        <w:tabs>
          <w:tab w:leader="none" w:pos="5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subsequent Election may take effect until at least twelve (12) months after the date on which the subsequent Election is made.</w:t>
      </w:r>
    </w:p>
    <w:p>
      <w:pPr>
        <w:spacing w:after="0" w:line="114" w:lineRule="exact"/>
        <w:rPr>
          <w:rFonts w:ascii="Times New Roman" w:cs="Times New Roman" w:eastAsia="Times New Roman" w:hAnsi="Times New Roman"/>
          <w:sz w:val="12"/>
          <w:szCs w:val="12"/>
          <w:color w:val="auto"/>
        </w:rPr>
      </w:pPr>
    </w:p>
    <w:p>
      <w:pPr>
        <w:ind w:right="140" w:firstLine="424"/>
        <w:spacing w:after="0" w:line="279" w:lineRule="auto"/>
        <w:tabs>
          <w:tab w:leader="none" w:pos="602"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spacing w:after="0" w:line="75" w:lineRule="exact"/>
        <w:rPr>
          <w:rFonts w:ascii="Times New Roman" w:cs="Times New Roman" w:eastAsia="Times New Roman" w:hAnsi="Times New Roman"/>
          <w:sz w:val="12"/>
          <w:szCs w:val="12"/>
          <w:color w:val="auto"/>
        </w:rPr>
      </w:pPr>
    </w:p>
    <w:p>
      <w:pPr>
        <w:ind w:left="580" w:hanging="156"/>
        <w:spacing w:after="0"/>
        <w:tabs>
          <w:tab w:leader="none" w:pos="5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subsequent Election related to a payment pursuant to Section 15.4(a)(vi) shall be made less than twelve (12) months before the date on which such payment would otherwise have been made.</w:t>
      </w:r>
    </w:p>
    <w:p>
      <w:pPr>
        <w:spacing w:after="0" w:line="114" w:lineRule="exact"/>
        <w:rPr>
          <w:rFonts w:ascii="Times New Roman" w:cs="Times New Roman" w:eastAsia="Times New Roman" w:hAnsi="Times New Roman"/>
          <w:sz w:val="12"/>
          <w:szCs w:val="12"/>
          <w:color w:val="auto"/>
        </w:rPr>
      </w:pPr>
    </w:p>
    <w:p>
      <w:pPr>
        <w:ind w:right="20" w:firstLine="424"/>
        <w:spacing w:after="0" w:line="279" w:lineRule="auto"/>
        <w:tabs>
          <w:tab w:leader="none" w:pos="602"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w:t>
      </w:r>
      <w:r>
        <w:rPr>
          <w:rFonts w:ascii="Times New Roman" w:cs="Times New Roman" w:eastAsia="Times New Roman" w:hAnsi="Times New Roman"/>
          <w:sz w:val="12"/>
          <w:szCs w:val="12"/>
          <w:i w:val="1"/>
          <w:iCs w:val="1"/>
          <w:color w:val="auto"/>
        </w:rPr>
        <w:t>or making the subsequent Election determined in accordance the preceding paragraphs of this Section 15.3.</w:t>
      </w:r>
    </w:p>
    <w:p>
      <w:pPr>
        <w:spacing w:after="0" w:line="7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color w:val="auto"/>
        </w:rPr>
        <w:t>15.4.</w:t>
      </w:r>
      <w:r>
        <w:rPr>
          <w:sz w:val="20"/>
          <w:szCs w:val="20"/>
          <w:color w:val="auto"/>
        </w:rPr>
        <w:tab/>
      </w:r>
      <w:r>
        <w:rPr>
          <w:rFonts w:ascii="Times New Roman" w:cs="Times New Roman" w:eastAsia="Times New Roman" w:hAnsi="Times New Roman"/>
          <w:sz w:val="11"/>
          <w:szCs w:val="11"/>
          <w:b w:val="1"/>
          <w:bCs w:val="1"/>
          <w:color w:val="auto"/>
        </w:rPr>
        <w:t>Payment of Section 409A Deferred Compensation</w:t>
      </w:r>
      <w:r>
        <w:rPr>
          <w:rFonts w:ascii="Times New Roman" w:cs="Times New Roman" w:eastAsia="Times New Roman" w:hAnsi="Times New Roman"/>
          <w:sz w:val="11"/>
          <w:szCs w:val="11"/>
          <w:color w:val="auto"/>
        </w:rPr>
        <w:t>.</w:t>
      </w:r>
    </w:p>
    <w:p>
      <w:pPr>
        <w:spacing w:after="0" w:line="114" w:lineRule="exact"/>
        <w:rPr>
          <w:sz w:val="20"/>
          <w:szCs w:val="20"/>
          <w:color w:val="auto"/>
        </w:rPr>
      </w:pPr>
    </w:p>
    <w:p>
      <w:pPr>
        <w:ind w:right="80" w:firstLine="424"/>
        <w:spacing w:after="0" w:line="286" w:lineRule="auto"/>
        <w:tabs>
          <w:tab w:leader="none" w:pos="602" w:val="left"/>
        </w:tabs>
        <w:numPr>
          <w:ilvl w:val="0"/>
          <w:numId w:val="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Permissible Payments</w:t>
      </w:r>
      <w:r>
        <w:rPr>
          <w:rFonts w:ascii="Times New Roman" w:cs="Times New Roman" w:eastAsia="Times New Roman" w:hAnsi="Times New Roman"/>
          <w:sz w:val="12"/>
          <w:szCs w:val="12"/>
          <w:color w:val="auto"/>
        </w:rPr>
        <w:t>. Except as otherwise permitted or required by Section 409A, an Award providing Section 409A Deferred Compensation must provide for payment in settlement of the Award only upon one or more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following:</w:t>
      </w:r>
    </w:p>
    <w:p>
      <w:pPr>
        <w:spacing w:after="0" w:line="71" w:lineRule="exact"/>
        <w:rPr>
          <w:rFonts w:ascii="Times New Roman" w:cs="Times New Roman" w:eastAsia="Times New Roman" w:hAnsi="Times New Roman"/>
          <w:sz w:val="12"/>
          <w:szCs w:val="12"/>
          <w:b w:val="1"/>
          <w:bCs w:val="1"/>
          <w:color w:val="auto"/>
        </w:rPr>
      </w:pPr>
    </w:p>
    <w:p>
      <w:pPr>
        <w:ind w:left="1000" w:hanging="144"/>
        <w:spacing w:after="0"/>
        <w:tabs>
          <w:tab w:leader="none" w:pos="1000"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Participant’s “separation from service” (as defined by Section 409A);</w:t>
      </w:r>
    </w:p>
    <w:p>
      <w:pPr>
        <w:spacing w:after="0" w:line="114" w:lineRule="exact"/>
        <w:rPr>
          <w:rFonts w:ascii="Times New Roman" w:cs="Times New Roman" w:eastAsia="Times New Roman" w:hAnsi="Times New Roman"/>
          <w:sz w:val="12"/>
          <w:szCs w:val="12"/>
          <w:color w:val="auto"/>
        </w:rPr>
      </w:pPr>
    </w:p>
    <w:p>
      <w:pPr>
        <w:ind w:left="1040" w:hanging="184"/>
        <w:spacing w:after="0"/>
        <w:tabs>
          <w:tab w:leader="none" w:pos="1040"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Participant’s becoming “disabled” (as defined by Section 409A);</w:t>
      </w:r>
    </w:p>
    <w:p>
      <w:pPr>
        <w:spacing w:after="0" w:line="114" w:lineRule="exact"/>
        <w:rPr>
          <w:rFonts w:ascii="Times New Roman" w:cs="Times New Roman" w:eastAsia="Times New Roman" w:hAnsi="Times New Roman"/>
          <w:sz w:val="12"/>
          <w:szCs w:val="12"/>
          <w:color w:val="auto"/>
        </w:rPr>
      </w:pPr>
    </w:p>
    <w:p>
      <w:pPr>
        <w:ind w:left="1060" w:hanging="204"/>
        <w:spacing w:after="0"/>
        <w:tabs>
          <w:tab w:leader="none" w:pos="1060"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Participant’s death;</w:t>
      </w:r>
    </w:p>
    <w:p>
      <w:pPr>
        <w:spacing w:after="0" w:line="114" w:lineRule="exact"/>
        <w:rPr>
          <w:rFonts w:ascii="Times New Roman" w:cs="Times New Roman" w:eastAsia="Times New Roman" w:hAnsi="Times New Roman"/>
          <w:sz w:val="12"/>
          <w:szCs w:val="12"/>
          <w:color w:val="auto"/>
        </w:rPr>
      </w:pPr>
    </w:p>
    <w:p>
      <w:pPr>
        <w:ind w:right="240" w:firstLine="856"/>
        <w:spacing w:after="0" w:line="279" w:lineRule="auto"/>
        <w:tabs>
          <w:tab w:leader="none" w:pos="1067"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75"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the ownership or effective control or the Company or in the ownership of a substantial portion of the assets of the Company determined in accordance with Section 409A; or</w:t>
      </w:r>
    </w:p>
    <w:p>
      <w:pPr>
        <w:spacing w:after="0" w:line="114" w:lineRule="exact"/>
        <w:rPr>
          <w:rFonts w:ascii="Times New Roman" w:cs="Times New Roman" w:eastAsia="Times New Roman" w:hAnsi="Times New Roman"/>
          <w:sz w:val="12"/>
          <w:szCs w:val="12"/>
          <w:color w:val="auto"/>
        </w:rPr>
      </w:pPr>
    </w:p>
    <w:p>
      <w:pPr>
        <w:ind w:left="1060" w:hanging="204"/>
        <w:spacing w:after="0"/>
        <w:tabs>
          <w:tab w:leader="none" w:pos="1060"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an “unforeseeable emergency” (as defined by Section 409A).</w:t>
      </w:r>
    </w:p>
    <w:p>
      <w:pPr>
        <w:spacing w:after="0" w:line="110" w:lineRule="exact"/>
        <w:rPr>
          <w:rFonts w:ascii="Times New Roman" w:cs="Times New Roman" w:eastAsia="Times New Roman" w:hAnsi="Times New Roman"/>
          <w:sz w:val="12"/>
          <w:szCs w:val="12"/>
          <w:color w:val="auto"/>
        </w:rPr>
      </w:pPr>
    </w:p>
    <w:p>
      <w:pPr>
        <w:ind w:right="40" w:firstLine="424"/>
        <w:spacing w:after="0" w:line="286" w:lineRule="auto"/>
        <w:tabs>
          <w:tab w:leader="none" w:pos="608" w:val="left"/>
        </w:tabs>
        <w:numPr>
          <w:ilvl w:val="0"/>
          <w:numId w:val="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Installment Payments</w:t>
      </w:r>
      <w:r>
        <w:rPr>
          <w:rFonts w:ascii="Times New Roman" w:cs="Times New Roman" w:eastAsia="Times New Roman" w:hAnsi="Times New Roman"/>
          <w:sz w:val="12"/>
          <w:szCs w:val="12"/>
          <w:color w:val="auto"/>
        </w:rPr>
        <w:t>. It is the intent of this Plan that any right of a Participant to receive installment payments (within the meaning of Section 409A) shall, for all purposes of Section 409A, be treated as a right to a series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separate payments.</w:t>
      </w:r>
    </w:p>
    <w:p>
      <w:pPr>
        <w:spacing w:after="0" w:line="67" w:lineRule="exact"/>
        <w:rPr>
          <w:rFonts w:ascii="Times New Roman" w:cs="Times New Roman" w:eastAsia="Times New Roman" w:hAnsi="Times New Roman"/>
          <w:sz w:val="12"/>
          <w:szCs w:val="12"/>
          <w:b w:val="1"/>
          <w:bCs w:val="1"/>
          <w:color w:val="auto"/>
        </w:rPr>
      </w:pPr>
    </w:p>
    <w:p>
      <w:pPr>
        <w:ind w:firstLine="424"/>
        <w:spacing w:after="0" w:line="268" w:lineRule="auto"/>
        <w:tabs>
          <w:tab w:leader="none" w:pos="595" w:val="left"/>
        </w:tabs>
        <w:numPr>
          <w:ilvl w:val="0"/>
          <w:numId w:val="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Required Delay in Payment to Specified Employee Pursuant to Separation from Service</w:t>
      </w:r>
      <w:r>
        <w:rPr>
          <w:rFonts w:ascii="Times New Roman" w:cs="Times New Roman" w:eastAsia="Times New Roman" w:hAnsi="Times New Roman"/>
          <w:sz w:val="12"/>
          <w:szCs w:val="12"/>
          <w:color w:val="auto"/>
        </w:rPr>
        <w:t>. Notwithstanding any provision of the Plan or an Award Agreement to the contrary, except as otherwise permitted by Section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409A, no payment pursuant to 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Times New Roman" w:cs="Times New Roman" w:eastAsia="Times New Roman" w:hAnsi="Times New Roman"/>
          <w:sz w:val="12"/>
          <w:szCs w:val="12"/>
          <w:b w:val="1"/>
          <w:bCs w:val="1"/>
          <w:color w:val="auto"/>
        </w:rPr>
        <w:t>Delayed Payment Date</w:t>
      </w:r>
      <w:r>
        <w:rPr>
          <w:rFonts w:ascii="Times New Roman" w:cs="Times New Roman" w:eastAsia="Times New Roman" w:hAnsi="Times New Roman"/>
          <w:sz w:val="12"/>
          <w:szCs w:val="12"/>
          <w:color w:val="auto"/>
        </w:rPr>
        <w:t>”) that is six (6) months after the date of such Participant’s separation from service, or, if earlier, the date of the Participant’s death. All</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color w:val="auto"/>
        </w:rPr>
        <w:t>such amounts that would, but for this paragraph, become payable prior to the Delayed Payment Date shall be accumulated and paid on the Delayed Payment Date.</w:t>
      </w:r>
    </w:p>
    <w:p>
      <w:pPr>
        <w:spacing w:after="0" w:line="110" w:lineRule="exact"/>
        <w:rPr>
          <w:sz w:val="20"/>
          <w:szCs w:val="20"/>
          <w:color w:val="auto"/>
        </w:rPr>
      </w:pPr>
    </w:p>
    <w:p>
      <w:pPr>
        <w:ind w:right="220" w:firstLine="424"/>
        <w:spacing w:after="0" w:line="268" w:lineRule="auto"/>
        <w:tabs>
          <w:tab w:leader="none" w:pos="608" w:val="left"/>
        </w:tabs>
        <w:numPr>
          <w:ilvl w:val="0"/>
          <w:numId w:val="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Payment Upon Disability</w:t>
      </w:r>
      <w:r>
        <w:rPr>
          <w:rFonts w:ascii="Times New Roman" w:cs="Times New Roman" w:eastAsia="Times New Roman" w:hAnsi="Times New Roman"/>
          <w:sz w:val="12"/>
          <w:szCs w:val="12"/>
          <w:color w:val="auto"/>
        </w:rPr>
        <w:t>. All distributions of Section 409A Deferred Compensation payable pursuant to Section 15.4(a)(ii) by reason of a Participant becoming disabled shall be paid in a lump sum or in periodic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spacing w:after="0" w:line="77" w:lineRule="exact"/>
        <w:rPr>
          <w:rFonts w:ascii="Times New Roman" w:cs="Times New Roman" w:eastAsia="Times New Roman" w:hAnsi="Times New Roman"/>
          <w:sz w:val="12"/>
          <w:szCs w:val="12"/>
          <w:b w:val="1"/>
          <w:bCs w:val="1"/>
          <w:color w:val="auto"/>
        </w:rPr>
      </w:pPr>
    </w:p>
    <w:p>
      <w:pPr>
        <w:jc w:val="both"/>
        <w:ind w:right="140" w:firstLine="424"/>
        <w:spacing w:after="0" w:line="268" w:lineRule="auto"/>
        <w:tabs>
          <w:tab w:leader="none" w:pos="595" w:val="left"/>
        </w:tabs>
        <w:numPr>
          <w:ilvl w:val="0"/>
          <w:numId w:val="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Payment Upon Death</w:t>
      </w:r>
      <w:r>
        <w:rPr>
          <w:rFonts w:ascii="Times New Roman" w:cs="Times New Roman" w:eastAsia="Times New Roman" w:hAnsi="Times New Roman"/>
          <w:sz w:val="12"/>
          <w:szCs w:val="12"/>
          <w:color w:val="auto"/>
        </w:rPr>
        <w:t>. If a Participant dies before complete distribution of amounts payable upon settlement of an Award subject to Section 409A, such undistributed amounts shall be distributed to his or her beneficiary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77" w:lineRule="exact"/>
        <w:rPr>
          <w:rFonts w:ascii="Times New Roman" w:cs="Times New Roman" w:eastAsia="Times New Roman" w:hAnsi="Times New Roman"/>
          <w:sz w:val="12"/>
          <w:szCs w:val="12"/>
          <w:b w:val="1"/>
          <w:bCs w:val="1"/>
          <w:color w:val="auto"/>
        </w:rPr>
      </w:pPr>
    </w:p>
    <w:p>
      <w:pPr>
        <w:ind w:right="200" w:firstLine="424"/>
        <w:spacing w:after="0" w:line="257" w:lineRule="auto"/>
        <w:tabs>
          <w:tab w:leader="none" w:pos="582" w:val="left"/>
        </w:tabs>
        <w:numPr>
          <w:ilvl w:val="0"/>
          <w:numId w:val="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Payment Upon Change in Control</w:t>
      </w:r>
      <w:r>
        <w:rPr>
          <w:rFonts w:ascii="Times New Roman" w:cs="Times New Roman" w:eastAsia="Times New Roman" w:hAnsi="Times New Roman"/>
          <w:sz w:val="12"/>
          <w:szCs w:val="12"/>
          <w:color w:val="auto"/>
        </w:rPr>
        <w:t>. Notwithstanding any provision of the Plan or an Award Agreement to the contrary, to the extent that any amount constituting Section 409A Deferred Compensation would become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13.1(b)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85" w:lineRule="exact"/>
        <w:rPr>
          <w:rFonts w:ascii="Times New Roman" w:cs="Times New Roman" w:eastAsia="Times New Roman" w:hAnsi="Times New Roman"/>
          <w:sz w:val="12"/>
          <w:szCs w:val="12"/>
          <w:b w:val="1"/>
          <w:bCs w:val="1"/>
          <w:color w:val="auto"/>
        </w:rPr>
      </w:pPr>
    </w:p>
    <w:p>
      <w:pPr>
        <w:ind w:firstLine="424"/>
        <w:spacing w:after="0" w:line="256" w:lineRule="auto"/>
        <w:tabs>
          <w:tab w:leader="none" w:pos="602" w:val="left"/>
        </w:tabs>
        <w:numPr>
          <w:ilvl w:val="0"/>
          <w:numId w:val="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Payment Upon Unforeseeable Emergency</w:t>
      </w:r>
      <w:r>
        <w:rPr>
          <w:rFonts w:ascii="Times New Roman" w:cs="Times New Roman" w:eastAsia="Times New Roman" w:hAnsi="Times New Roman"/>
          <w:sz w:val="12"/>
          <w:szCs w:val="12"/>
          <w:color w:val="auto"/>
        </w:rPr>
        <w:t>. The Committee shall have the authority to provide in the Award Agreement evidencing any Award providing for Section 409A Deferred Compensation for payment pursuant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85" w:lineRule="exact"/>
        <w:rPr>
          <w:rFonts w:ascii="Times New Roman" w:cs="Times New Roman" w:eastAsia="Times New Roman" w:hAnsi="Times New Roman"/>
          <w:sz w:val="12"/>
          <w:szCs w:val="12"/>
          <w:b w:val="1"/>
          <w:bCs w:val="1"/>
          <w:color w:val="auto"/>
        </w:rPr>
      </w:pPr>
    </w:p>
    <w:p>
      <w:pPr>
        <w:ind w:right="20" w:firstLine="424"/>
        <w:spacing w:after="0" w:line="268" w:lineRule="auto"/>
        <w:tabs>
          <w:tab w:leader="none" w:pos="608" w:val="left"/>
        </w:tabs>
        <w:numPr>
          <w:ilvl w:val="0"/>
          <w:numId w:val="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Prohibition of Acceleration of Payments</w:t>
      </w:r>
      <w:r>
        <w:rPr>
          <w:rFonts w:ascii="Times New Roman" w:cs="Times New Roman" w:eastAsia="Times New Roman" w:hAnsi="Times New Roman"/>
          <w:sz w:val="12"/>
          <w:szCs w:val="12"/>
          <w:color w:val="auto"/>
        </w:rPr>
        <w:t>. Notwithstanding any provision of the Plan or an Award Agreement to the contrary, this Plan does not permit the acceleration of the time or schedule of any payment under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w:t>
      </w:r>
    </w:p>
    <w:p>
      <w:pPr>
        <w:spacing w:after="0" w:line="77" w:lineRule="exact"/>
        <w:rPr>
          <w:rFonts w:ascii="Times New Roman" w:cs="Times New Roman" w:eastAsia="Times New Roman" w:hAnsi="Times New Roman"/>
          <w:sz w:val="12"/>
          <w:szCs w:val="12"/>
          <w:b w:val="1"/>
          <w:bCs w:val="1"/>
          <w:color w:val="auto"/>
        </w:rPr>
      </w:pPr>
    </w:p>
    <w:p>
      <w:pPr>
        <w:ind w:right="260" w:firstLine="424"/>
        <w:spacing w:after="0" w:line="286" w:lineRule="auto"/>
        <w:tabs>
          <w:tab w:leader="none" w:pos="575" w:val="left"/>
        </w:tabs>
        <w:numPr>
          <w:ilvl w:val="0"/>
          <w:numId w:val="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Representation Regarding Section 409A Compliance</w:t>
      </w:r>
      <w:r>
        <w:rPr>
          <w:rFonts w:ascii="Times New Roman" w:cs="Times New Roman" w:eastAsia="Times New Roman" w:hAnsi="Times New Roman"/>
          <w:sz w:val="12"/>
          <w:szCs w:val="12"/>
          <w:color w:val="auto"/>
        </w:rPr>
        <w:t>. Notwithstanding any other provision of the Plan, the Company makes no representation that Awards shall be exempt from or comply with Section 409A. No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Participating Company shall be liable for any tax, penalty or interest imposed on a Participant by Section 409A.</w:t>
      </w:r>
    </w:p>
    <w:p>
      <w:pPr>
        <w:spacing w:after="0" w:line="67" w:lineRule="exact"/>
        <w:rPr>
          <w:sz w:val="20"/>
          <w:szCs w:val="20"/>
          <w:color w:val="auto"/>
        </w:rPr>
      </w:pPr>
    </w:p>
    <w:p>
      <w:pPr>
        <w:ind w:left="860" w:hanging="436"/>
        <w:spacing w:after="0"/>
        <w:tabs>
          <w:tab w:leader="none" w:pos="860" w:val="left"/>
        </w:tabs>
        <w:numPr>
          <w:ilvl w:val="0"/>
          <w:numId w:val="7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TAX WITHHOLDING</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2"/>
          <w:szCs w:val="12"/>
          <w:color w:val="auto"/>
        </w:rPr>
        <w:t xml:space="preserve">16.1. </w:t>
      </w:r>
      <w:r>
        <w:rPr>
          <w:rFonts w:ascii="Times New Roman" w:cs="Times New Roman" w:eastAsia="Times New Roman" w:hAnsi="Times New Roman"/>
          <w:sz w:val="12"/>
          <w:szCs w:val="12"/>
          <w:b w:val="1"/>
          <w:bCs w:val="1"/>
          <w:color w:val="auto"/>
        </w:rPr>
        <w:t>Tax Withholding in General</w:t>
      </w:r>
      <w:r>
        <w:rPr>
          <w:rFonts w:ascii="Times New Roman" w:cs="Times New Roman" w:eastAsia="Times New Roman" w:hAnsi="Times New Roman"/>
          <w:sz w:val="12"/>
          <w:szCs w:val="12"/>
          <w:color w:val="auto"/>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color w:val="auto"/>
        </w:rPr>
        <w:t>16.2.</w:t>
      </w:r>
      <w:r>
        <w:rPr>
          <w:sz w:val="20"/>
          <w:szCs w:val="20"/>
          <w:color w:val="auto"/>
        </w:rPr>
        <w:tab/>
      </w:r>
      <w:r>
        <w:rPr>
          <w:rFonts w:ascii="Times New Roman" w:cs="Times New Roman" w:eastAsia="Times New Roman" w:hAnsi="Times New Roman"/>
          <w:sz w:val="11"/>
          <w:szCs w:val="11"/>
          <w:b w:val="1"/>
          <w:bCs w:val="1"/>
          <w:color w:val="auto"/>
        </w:rPr>
        <w:t>Withholding in or Directed Sale of Shares</w:t>
      </w:r>
      <w:r>
        <w:rPr>
          <w:rFonts w:ascii="Times New Roman" w:cs="Times New Roman" w:eastAsia="Times New Roman" w:hAnsi="Times New Roman"/>
          <w:sz w:val="11"/>
          <w:szCs w:val="11"/>
          <w:color w:val="auto"/>
        </w:rPr>
        <w:t>. The Company shall have the right, but not the obligation, to deduct from the shares of Stock issuable to a Participant upon the exercise or settlement of an Award, or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3" w:right="339" w:bottom="1440" w:gutter="0" w:footer="0" w:header="0"/>
        </w:sectPr>
      </w:pPr>
    </w:p>
    <w:bookmarkStart w:id="70" w:name="page71"/>
    <w:bookmarkEnd w:id="70"/>
    <w:p>
      <w:pPr>
        <w:jc w:val="both"/>
        <w:ind w:left="8" w:right="140"/>
        <w:spacing w:after="0" w:line="260" w:lineRule="auto"/>
        <w:rPr>
          <w:sz w:val="20"/>
          <w:szCs w:val="20"/>
          <w:color w:val="auto"/>
        </w:rPr>
      </w:pPr>
      <w:r>
        <w:rPr>
          <w:rFonts w:ascii="Times New Roman" w:cs="Times New Roman" w:eastAsia="Times New Roman" w:hAnsi="Times New Roman"/>
          <w:sz w:val="12"/>
          <w:szCs w:val="12"/>
          <w:color w:val="auto"/>
        </w:rPr>
        <w:t>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be determined by the Company in accordance with the Company’s withholding procedures and after considering any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82" w:lineRule="exact"/>
        <w:rPr>
          <w:sz w:val="20"/>
          <w:szCs w:val="20"/>
          <w:color w:val="auto"/>
        </w:rPr>
      </w:pPr>
    </w:p>
    <w:p>
      <w:pPr>
        <w:ind w:left="428" w:hanging="428"/>
        <w:spacing w:after="0"/>
        <w:tabs>
          <w:tab w:leader="none" w:pos="428" w:val="left"/>
        </w:tabs>
        <w:numPr>
          <w:ilvl w:val="0"/>
          <w:numId w:val="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AMENDMENT, SUSPENSION OR TERMINATION OF PLAN</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86" w:lineRule="exact"/>
        <w:rPr>
          <w:sz w:val="20"/>
          <w:szCs w:val="20"/>
          <w:color w:val="auto"/>
        </w:rPr>
      </w:pPr>
    </w:p>
    <w:p>
      <w:pPr>
        <w:ind w:left="428" w:hanging="428"/>
        <w:spacing w:after="0"/>
        <w:tabs>
          <w:tab w:leader="none" w:pos="428" w:val="left"/>
        </w:tabs>
        <w:numPr>
          <w:ilvl w:val="0"/>
          <w:numId w:val="7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MISCELLANEOUS PROVISIONS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right="160"/>
        <w:spacing w:after="0" w:line="262" w:lineRule="auto"/>
        <w:rPr>
          <w:sz w:val="20"/>
          <w:szCs w:val="20"/>
          <w:color w:val="auto"/>
        </w:rPr>
      </w:pPr>
      <w:r>
        <w:rPr>
          <w:rFonts w:ascii="Times New Roman" w:cs="Times New Roman" w:eastAsia="Times New Roman" w:hAnsi="Times New Roman"/>
          <w:sz w:val="12"/>
          <w:szCs w:val="12"/>
          <w:color w:val="auto"/>
        </w:rPr>
        <w:t xml:space="preserve">18.1. </w:t>
      </w:r>
      <w:r>
        <w:rPr>
          <w:rFonts w:ascii="Times New Roman" w:cs="Times New Roman" w:eastAsia="Times New Roman" w:hAnsi="Times New Roman"/>
          <w:sz w:val="12"/>
          <w:szCs w:val="12"/>
          <w:b w:val="1"/>
          <w:bCs w:val="1"/>
          <w:color w:val="auto"/>
        </w:rPr>
        <w:t>Repurchase Rights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81"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color w:val="auto"/>
        </w:rPr>
        <w:t>18.2.</w:t>
      </w:r>
      <w:r>
        <w:rPr>
          <w:sz w:val="20"/>
          <w:szCs w:val="20"/>
          <w:color w:val="auto"/>
        </w:rPr>
        <w:tab/>
      </w:r>
      <w:r>
        <w:rPr>
          <w:rFonts w:ascii="Times New Roman" w:cs="Times New Roman" w:eastAsia="Times New Roman" w:hAnsi="Times New Roman"/>
          <w:sz w:val="11"/>
          <w:szCs w:val="11"/>
          <w:b w:val="1"/>
          <w:bCs w:val="1"/>
          <w:color w:val="auto"/>
        </w:rPr>
        <w:t>Forfeiture Events</w:t>
      </w:r>
      <w:r>
        <w:rPr>
          <w:rFonts w:ascii="Times New Roman" w:cs="Times New Roman" w:eastAsia="Times New Roman" w:hAnsi="Times New Roman"/>
          <w:sz w:val="11"/>
          <w:szCs w:val="11"/>
          <w:color w:val="auto"/>
        </w:rPr>
        <w:t>.</w:t>
      </w:r>
    </w:p>
    <w:p>
      <w:pPr>
        <w:spacing w:after="0" w:line="118" w:lineRule="exact"/>
        <w:rPr>
          <w:sz w:val="20"/>
          <w:szCs w:val="20"/>
          <w:color w:val="auto"/>
        </w:rPr>
      </w:pPr>
    </w:p>
    <w:p>
      <w:pPr>
        <w:ind w:left="8" w:right="60" w:firstLine="424"/>
        <w:spacing w:after="0" w:line="257" w:lineRule="auto"/>
        <w:tabs>
          <w:tab w:leader="none" w:pos="603"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In addition, to the extent that claw-back or similar provisions applicable to Awards are required by applicable law, listing standards and/or policies adopted by the Company, Awards granted under the Plan shall be subject to such provisions.</w:t>
      </w:r>
    </w:p>
    <w:p>
      <w:pPr>
        <w:spacing w:after="0" w:line="89" w:lineRule="exact"/>
        <w:rPr>
          <w:rFonts w:ascii="Times New Roman" w:cs="Times New Roman" w:eastAsia="Times New Roman" w:hAnsi="Times New Roman"/>
          <w:sz w:val="12"/>
          <w:szCs w:val="12"/>
          <w:color w:val="auto"/>
        </w:rPr>
      </w:pPr>
    </w:p>
    <w:p>
      <w:pPr>
        <w:ind w:left="8" w:right="20" w:firstLine="424"/>
        <w:spacing w:after="0" w:line="256" w:lineRule="auto"/>
        <w:tabs>
          <w:tab w:leader="none" w:pos="61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or other applicable law or listing requirements,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 No recovery of compensation pursuant to the foregoing provisions will constitute an event giving rise to a</w:t>
      </w:r>
    </w:p>
    <w:p>
      <w:pPr>
        <w:spacing w:after="0" w:line="3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13"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color w:val="auto"/>
        </w:rPr>
        <w:t>Participant’s right to voluntarily terminate employment upon a “resignation for good reason” or for a “constructive termination” or any similar term under any plan or agreement with the Company.</w:t>
      </w:r>
    </w:p>
    <w:p>
      <w:pPr>
        <w:spacing w:after="0" w:line="1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color w:val="auto"/>
        </w:rPr>
        <w:t>18.3.</w:t>
      </w:r>
      <w:r>
        <w:rPr>
          <w:sz w:val="20"/>
          <w:szCs w:val="20"/>
          <w:color w:val="auto"/>
        </w:rPr>
        <w:tab/>
      </w:r>
      <w:r>
        <w:rPr>
          <w:rFonts w:ascii="Times New Roman" w:cs="Times New Roman" w:eastAsia="Times New Roman" w:hAnsi="Times New Roman"/>
          <w:sz w:val="11"/>
          <w:szCs w:val="11"/>
          <w:b w:val="1"/>
          <w:bCs w:val="1"/>
          <w:color w:val="auto"/>
        </w:rPr>
        <w:t>Provision of Information</w:t>
      </w:r>
      <w:r>
        <w:rPr>
          <w:rFonts w:ascii="Times New Roman" w:cs="Times New Roman" w:eastAsia="Times New Roman" w:hAnsi="Times New Roman"/>
          <w:sz w:val="11"/>
          <w:szCs w:val="11"/>
          <w:color w:val="auto"/>
        </w:rPr>
        <w:t>. Each Participant shall be given access to information concerning the Company equivalent to that information generally made available to the Company’s common stockholders.</w:t>
      </w:r>
    </w:p>
    <w:p>
      <w:pPr>
        <w:spacing w:after="0" w:line="11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2"/>
          <w:szCs w:val="12"/>
          <w:color w:val="auto"/>
        </w:rPr>
        <w:t xml:space="preserve">18.4. </w:t>
      </w:r>
      <w:r>
        <w:rPr>
          <w:rFonts w:ascii="Times New Roman" w:cs="Times New Roman" w:eastAsia="Times New Roman" w:hAnsi="Times New Roman"/>
          <w:sz w:val="12"/>
          <w:szCs w:val="12"/>
          <w:b w:val="1"/>
          <w:bCs w:val="1"/>
          <w:color w:val="auto"/>
        </w:rPr>
        <w:t>Electronic Delivery and Participation</w:t>
      </w:r>
      <w:r>
        <w:rPr>
          <w:rFonts w:ascii="Times New Roman" w:cs="Times New Roman" w:eastAsia="Times New Roman" w:hAnsi="Times New Roman"/>
          <w:sz w:val="12"/>
          <w:szCs w:val="12"/>
          <w:color w:val="auto"/>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Stock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a stock certificate or electronic entry evidencing such shares) shall be determined by the Company.</w:t>
      </w:r>
    </w:p>
    <w:p>
      <w:pPr>
        <w:spacing w:after="0" w:line="8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2"/>
          <w:szCs w:val="12"/>
          <w:color w:val="auto"/>
        </w:rPr>
        <w:t xml:space="preserve">18.5. </w:t>
      </w:r>
      <w:r>
        <w:rPr>
          <w:rFonts w:ascii="Times New Roman" w:cs="Times New Roman" w:eastAsia="Times New Roman" w:hAnsi="Times New Roman"/>
          <w:sz w:val="12"/>
          <w:szCs w:val="12"/>
          <w:b w:val="1"/>
          <w:bCs w:val="1"/>
          <w:color w:val="auto"/>
        </w:rPr>
        <w:t>Change in Time Commitment</w:t>
      </w:r>
      <w:r>
        <w:rPr>
          <w:rFonts w:ascii="Times New Roman" w:cs="Times New Roman" w:eastAsia="Times New Roman" w:hAnsi="Times New Roman"/>
          <w:sz w:val="12"/>
          <w:szCs w:val="12"/>
          <w:color w:val="auto"/>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8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2"/>
          <w:szCs w:val="12"/>
          <w:color w:val="auto"/>
        </w:rPr>
        <w:t xml:space="preserve">18.6. </w:t>
      </w:r>
      <w:r>
        <w:rPr>
          <w:rFonts w:ascii="Times New Roman" w:cs="Times New Roman" w:eastAsia="Times New Roman" w:hAnsi="Times New Roman"/>
          <w:sz w:val="12"/>
          <w:szCs w:val="12"/>
          <w:b w:val="1"/>
          <w:bCs w:val="1"/>
          <w:color w:val="auto"/>
        </w:rPr>
        <w:t>Rights as Employee, Consultant or Director</w:t>
      </w:r>
      <w:r>
        <w:rPr>
          <w:rFonts w:ascii="Times New Roman" w:cs="Times New Roman" w:eastAsia="Times New Roman" w:hAnsi="Times New Roman"/>
          <w:sz w:val="12"/>
          <w:szCs w:val="12"/>
          <w:color w:val="auto"/>
        </w:rPr>
        <w:t>.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8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2"/>
          <w:szCs w:val="12"/>
          <w:color w:val="auto"/>
        </w:rPr>
        <w:t xml:space="preserve">18.7. </w:t>
      </w:r>
      <w:r>
        <w:rPr>
          <w:rFonts w:ascii="Times New Roman" w:cs="Times New Roman" w:eastAsia="Times New Roman" w:hAnsi="Times New Roman"/>
          <w:sz w:val="12"/>
          <w:szCs w:val="12"/>
          <w:b w:val="1"/>
          <w:bCs w:val="1"/>
          <w:color w:val="auto"/>
        </w:rPr>
        <w:t>Rights as a Stockholder</w:t>
      </w:r>
      <w:r>
        <w:rPr>
          <w:rFonts w:ascii="Times New Roman" w:cs="Times New Roman" w:eastAsia="Times New Roman" w:hAnsi="Times New Roman"/>
          <w:sz w:val="12"/>
          <w:szCs w:val="12"/>
          <w:color w:val="auto"/>
        </w:rPr>
        <w:t>.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w:t>
      </w:r>
    </w:p>
    <w:p>
      <w:pPr>
        <w:spacing w:after="0" w:line="7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2"/>
          <w:szCs w:val="12"/>
          <w:color w:val="auto"/>
        </w:rPr>
        <w:t xml:space="preserve">18.8. </w:t>
      </w:r>
      <w:r>
        <w:rPr>
          <w:rFonts w:ascii="Times New Roman" w:cs="Times New Roman" w:eastAsia="Times New Roman" w:hAnsi="Times New Roman"/>
          <w:sz w:val="12"/>
          <w:szCs w:val="12"/>
          <w:b w:val="1"/>
          <w:bCs w:val="1"/>
          <w:color w:val="auto"/>
        </w:rPr>
        <w:t>Delivery of Title to Shares</w:t>
      </w:r>
      <w:r>
        <w:rPr>
          <w:rFonts w:ascii="Times New Roman" w:cs="Times New Roman" w:eastAsia="Times New Roman" w:hAnsi="Times New Roman"/>
          <w:sz w:val="12"/>
          <w:szCs w:val="12"/>
          <w:color w:val="auto"/>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color w:val="auto"/>
        </w:rPr>
        <w:t>18.9.</w:t>
      </w:r>
      <w:r>
        <w:rPr>
          <w:sz w:val="20"/>
          <w:szCs w:val="20"/>
          <w:color w:val="auto"/>
        </w:rPr>
        <w:tab/>
      </w:r>
      <w:r>
        <w:rPr>
          <w:rFonts w:ascii="Times New Roman" w:cs="Times New Roman" w:eastAsia="Times New Roman" w:hAnsi="Times New Roman"/>
          <w:sz w:val="11"/>
          <w:szCs w:val="11"/>
          <w:b w:val="1"/>
          <w:bCs w:val="1"/>
          <w:color w:val="auto"/>
        </w:rPr>
        <w:t>Fractional Shares</w:t>
      </w:r>
      <w:r>
        <w:rPr>
          <w:rFonts w:ascii="Times New Roman" w:cs="Times New Roman" w:eastAsia="Times New Roman" w:hAnsi="Times New Roman"/>
          <w:sz w:val="11"/>
          <w:szCs w:val="11"/>
          <w:color w:val="auto"/>
        </w:rPr>
        <w:t>. The Company shall not be required to issue fractional shares upon the exercise or settlement of any Award.</w:t>
      </w:r>
    </w:p>
    <w:p>
      <w:pPr>
        <w:spacing w:after="0" w:line="11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2"/>
          <w:szCs w:val="12"/>
          <w:color w:val="auto"/>
        </w:rPr>
        <w:t xml:space="preserve">18.10. </w:t>
      </w:r>
      <w:r>
        <w:rPr>
          <w:rFonts w:ascii="Times New Roman" w:cs="Times New Roman" w:eastAsia="Times New Roman" w:hAnsi="Times New Roman"/>
          <w:sz w:val="12"/>
          <w:szCs w:val="12"/>
          <w:b w:val="1"/>
          <w:bCs w:val="1"/>
          <w:color w:val="auto"/>
        </w:rPr>
        <w:t>Provisions for Non-U</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Participants</w:t>
      </w:r>
      <w:r>
        <w:rPr>
          <w:rFonts w:ascii="Times New Roman" w:cs="Times New Roman" w:eastAsia="Times New Roman" w:hAnsi="Times New Roman"/>
          <w:sz w:val="12"/>
          <w:szCs w:val="12"/>
          <w:color w:val="auto"/>
        </w:rPr>
        <w:t>.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6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2"/>
          <w:szCs w:val="12"/>
          <w:color w:val="auto"/>
        </w:rPr>
        <w:t xml:space="preserve">18.11. </w:t>
      </w:r>
      <w:r>
        <w:rPr>
          <w:rFonts w:ascii="Times New Roman" w:cs="Times New Roman" w:eastAsia="Times New Roman" w:hAnsi="Times New Roman"/>
          <w:sz w:val="12"/>
          <w:szCs w:val="12"/>
          <w:b w:val="1"/>
          <w:bCs w:val="1"/>
          <w:color w:val="auto"/>
        </w:rPr>
        <w:t>Lock-Up Period</w:t>
      </w:r>
      <w:r>
        <w:rPr>
          <w:rFonts w:ascii="Times New Roman" w:cs="Times New Roman" w:eastAsia="Times New Roman" w:hAnsi="Times New Roman"/>
          <w:sz w:val="12"/>
          <w:szCs w:val="12"/>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w:t>
      </w:r>
    </w:p>
    <w:p>
      <w:pPr>
        <w:spacing w:after="0" w:line="7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2"/>
          <w:szCs w:val="12"/>
          <w:color w:val="auto"/>
        </w:rPr>
        <w:t xml:space="preserve">18.12. </w:t>
      </w:r>
      <w:r>
        <w:rPr>
          <w:rFonts w:ascii="Times New Roman" w:cs="Times New Roman" w:eastAsia="Times New Roman" w:hAnsi="Times New Roman"/>
          <w:sz w:val="12"/>
          <w:szCs w:val="12"/>
          <w:b w:val="1"/>
          <w:bCs w:val="1"/>
          <w:color w:val="auto"/>
        </w:rPr>
        <w:t>Data Privacy</w:t>
      </w:r>
      <w:r>
        <w:rPr>
          <w:rFonts w:ascii="Times New Roman" w:cs="Times New Roman" w:eastAsia="Times New Roman" w:hAnsi="Times New Roman"/>
          <w:sz w:val="12"/>
          <w:szCs w:val="12"/>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3" w:right="299" w:bottom="1440" w:gutter="0" w:footer="0" w:header="0"/>
        </w:sectPr>
      </w:pPr>
    </w:p>
    <w:bookmarkStart w:id="72" w:name="page73"/>
    <w:bookmarkEnd w:id="72"/>
    <w:p>
      <w:pPr>
        <w:ind w:right="60"/>
        <w:spacing w:after="0" w:line="253" w:lineRule="auto"/>
        <w:rPr>
          <w:sz w:val="20"/>
          <w:szCs w:val="20"/>
          <w:color w:val="auto"/>
        </w:rPr>
      </w:pPr>
      <w:r>
        <w:rPr>
          <w:rFonts w:ascii="Times New Roman" w:cs="Times New Roman" w:eastAsia="Times New Roman" w:hAnsi="Times New Roman"/>
          <w:sz w:val="12"/>
          <w:szCs w:val="12"/>
          <w:color w:val="auto"/>
        </w:rPr>
        <w:t>birthdate; social security, insurance number or other identification number; salary; nationality; job title(s); any shares of Stock held in the Company or its Subsidiaries and affiliates; and Award details, to implement, manage and administer the Plan and Awards (the “</w:t>
      </w:r>
      <w:r>
        <w:rPr>
          <w:rFonts w:ascii="Times New Roman" w:cs="Times New Roman" w:eastAsia="Times New Roman" w:hAnsi="Times New Roman"/>
          <w:sz w:val="12"/>
          <w:szCs w:val="12"/>
          <w:b w:val="1"/>
          <w:bCs w:val="1"/>
          <w:i w:val="1"/>
          <w:iCs w:val="1"/>
          <w:color w:val="auto"/>
        </w:rPr>
        <w:t>Data</w:t>
      </w:r>
      <w:r>
        <w:rPr>
          <w:rFonts w:ascii="Times New Roman" w:cs="Times New Roman" w:eastAsia="Times New Roman" w:hAnsi="Times New Roman"/>
          <w:sz w:val="12"/>
          <w:szCs w:val="12"/>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8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2"/>
          <w:szCs w:val="12"/>
          <w:color w:val="auto"/>
        </w:rPr>
        <w:t xml:space="preserve">18.13. </w:t>
      </w:r>
      <w:r>
        <w:rPr>
          <w:rFonts w:ascii="Times New Roman" w:cs="Times New Roman" w:eastAsia="Times New Roman" w:hAnsi="Times New Roman"/>
          <w:sz w:val="12"/>
          <w:szCs w:val="12"/>
          <w:b w:val="1"/>
          <w:bCs w:val="1"/>
          <w:color w:val="auto"/>
        </w:rPr>
        <w:t>Retirement and Welfare Plans</w:t>
      </w:r>
      <w:r>
        <w:rPr>
          <w:rFonts w:ascii="Times New Roman" w:cs="Times New Roman" w:eastAsia="Times New Roman" w:hAnsi="Times New Roman"/>
          <w:sz w:val="12"/>
          <w:szCs w:val="12"/>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spacing w:after="0" w:line="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2"/>
          <w:szCs w:val="12"/>
          <w:color w:val="auto"/>
        </w:rPr>
        <w:t xml:space="preserve">18.14. </w:t>
      </w:r>
      <w:r>
        <w:rPr>
          <w:rFonts w:ascii="Times New Roman" w:cs="Times New Roman" w:eastAsia="Times New Roman" w:hAnsi="Times New Roman"/>
          <w:sz w:val="12"/>
          <w:szCs w:val="12"/>
          <w:b w:val="1"/>
          <w:bCs w:val="1"/>
          <w:color w:val="auto"/>
        </w:rPr>
        <w:t>Beneficiary Designation</w:t>
      </w:r>
      <w:r>
        <w:rPr>
          <w:rFonts w:ascii="Times New Roman" w:cs="Times New Roman" w:eastAsia="Times New Roman" w:hAnsi="Times New Roman"/>
          <w:sz w:val="12"/>
          <w:szCs w:val="12"/>
          <w:color w:val="auto"/>
        </w:rPr>
        <w:t>.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8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2"/>
          <w:szCs w:val="12"/>
          <w:color w:val="auto"/>
        </w:rPr>
        <w:t xml:space="preserve">18.15. </w:t>
      </w:r>
      <w:r>
        <w:rPr>
          <w:rFonts w:ascii="Times New Roman" w:cs="Times New Roman" w:eastAsia="Times New Roman" w:hAnsi="Times New Roman"/>
          <w:sz w:val="12"/>
          <w:szCs w:val="12"/>
          <w:b w:val="1"/>
          <w:bCs w:val="1"/>
          <w:color w:val="auto"/>
        </w:rPr>
        <w:t>Severability</w:t>
      </w:r>
      <w:r>
        <w:rPr>
          <w:rFonts w:ascii="Times New Roman" w:cs="Times New Roman" w:eastAsia="Times New Roman" w:hAnsi="Times New Roman"/>
          <w:sz w:val="12"/>
          <w:szCs w:val="12"/>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6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2"/>
          <w:szCs w:val="12"/>
          <w:color w:val="auto"/>
        </w:rPr>
        <w:t xml:space="preserve">18.16. </w:t>
      </w:r>
      <w:r>
        <w:rPr>
          <w:rFonts w:ascii="Times New Roman" w:cs="Times New Roman" w:eastAsia="Times New Roman" w:hAnsi="Times New Roman"/>
          <w:sz w:val="12"/>
          <w:szCs w:val="12"/>
          <w:b w:val="1"/>
          <w:bCs w:val="1"/>
          <w:color w:val="auto"/>
        </w:rPr>
        <w:t>No Constraint on Corporate Action</w:t>
      </w:r>
      <w:r>
        <w:rPr>
          <w:rFonts w:ascii="Times New Roman" w:cs="Times New Roman" w:eastAsia="Times New Roman" w:hAnsi="Times New Roman"/>
          <w:sz w:val="12"/>
          <w:szCs w:val="12"/>
          <w:color w:val="auto"/>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 xml:space="preserve">18.17. </w:t>
      </w:r>
      <w:r>
        <w:rPr>
          <w:rFonts w:ascii="Times New Roman" w:cs="Times New Roman" w:eastAsia="Times New Roman" w:hAnsi="Times New Roman"/>
          <w:sz w:val="12"/>
          <w:szCs w:val="12"/>
          <w:b w:val="1"/>
          <w:bCs w:val="1"/>
          <w:color w:val="auto"/>
        </w:rPr>
        <w:t>Unfunded Obligation</w:t>
      </w:r>
      <w:r>
        <w:rPr>
          <w:rFonts w:ascii="Times New Roman" w:cs="Times New Roman" w:eastAsia="Times New Roman" w:hAnsi="Times New Roman"/>
          <w:sz w:val="12"/>
          <w:szCs w:val="12"/>
          <w:color w:val="auto"/>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2"/>
          <w:szCs w:val="12"/>
          <w:color w:val="auto"/>
        </w:rPr>
        <w:t xml:space="preserve">18.18. </w:t>
      </w:r>
      <w:r>
        <w:rPr>
          <w:rFonts w:ascii="Times New Roman" w:cs="Times New Roman" w:eastAsia="Times New Roman" w:hAnsi="Times New Roman"/>
          <w:sz w:val="12"/>
          <w:szCs w:val="12"/>
          <w:b w:val="1"/>
          <w:bCs w:val="1"/>
          <w:color w:val="auto"/>
        </w:rPr>
        <w:t>Choice of Law</w:t>
      </w:r>
      <w:r>
        <w:rPr>
          <w:rFonts w:ascii="Times New Roman" w:cs="Times New Roman" w:eastAsia="Times New Roman" w:hAnsi="Times New Roman"/>
          <w:sz w:val="12"/>
          <w:szCs w:val="12"/>
          <w:color w:val="auto"/>
        </w:rPr>
        <w:t>. Except to the extent governed by applicable federal law, the validity, interpretation, construction and performance of the Plan and each Award Agreement shall be governed by the laws of the State of Delaware, without regard to its conflict of law rules.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A-25</w:t>
      </w:r>
    </w:p>
    <w:p>
      <w:pPr>
        <w:sectPr>
          <w:pgSz w:w="11900" w:h="16838" w:orient="portrait"/>
          <w:cols w:equalWidth="0" w:num="1">
            <w:col w:w="11300"/>
          </w:cols>
          <w:pgMar w:left="300" w:top="813" w:right="299" w:bottom="1440"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o"/>
      <w:numFmt w:val="bullet"/>
      <w:start w:val="1"/>
    </w:lvl>
  </w:abstractNum>
  <w:abstractNum w:abstractNumId="1">
    <w:nsid w:val="2D517796"/>
    <w:multiLevelType w:val="hybridMultilevel"/>
    <w:lvl w:ilvl="0">
      <w:lvlJc w:val="left"/>
      <w:lvlText w:val="x"/>
      <w:numFmt w:val="bullet"/>
      <w:start w:val="1"/>
    </w:lvl>
  </w:abstractNum>
  <w:abstractNum w:abstractNumId="2">
    <w:nsid w:val="580BD78F"/>
    <w:multiLevelType w:val="hybridMultilevel"/>
    <w:lvl w:ilvl="0">
      <w:lvlJc w:val="left"/>
      <w:lvlText w:val="o"/>
      <w:numFmt w:val="bullet"/>
      <w:start w:val="1"/>
    </w:lvl>
  </w:abstractNum>
  <w:abstractNum w:abstractNumId="3">
    <w:nsid w:val="153EA438"/>
    <w:multiLevelType w:val="hybridMultilevel"/>
    <w:lvl w:ilvl="0">
      <w:lvlJc w:val="left"/>
      <w:lvlText w:val="x"/>
      <w:numFmt w:val="bullet"/>
      <w:start w:val="1"/>
    </w:lvl>
  </w:abstractNum>
  <w:abstractNum w:abstractNumId="4">
    <w:nsid w:val="3855585C"/>
    <w:multiLevelType w:val="hybridMultilevel"/>
    <w:lvl w:ilvl="0">
      <w:lvlJc w:val="left"/>
      <w:lvlText w:val="o"/>
      <w:numFmt w:val="bullet"/>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1)"/>
      <w:numFmt w:val="lowerRoman"/>
      <w:start w:val="4"/>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6"/>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1)"/>
      <w:numFmt w:val="decimal"/>
      <w:start w:val="9"/>
    </w:lvl>
  </w:abstractNum>
  <w:abstractNum w:abstractNumId="31">
    <w:nsid w:val="23F9C13C"/>
    <w:multiLevelType w:val="hybridMultilevel"/>
    <w:lvl w:ilvl="0">
      <w:lvlJc w:val="left"/>
      <w:lvlText w:val="%1."/>
      <w:numFmt w:val="decimal"/>
      <w:start w:val="2"/>
    </w:lvl>
  </w:abstractNum>
  <w:abstractNum w:abstractNumId="32">
    <w:nsid w:val="649BB77C"/>
    <w:multiLevelType w:val="hybridMultilevel"/>
    <w:lvl w:ilvl="0">
      <w:lvlJc w:val="left"/>
      <w:lvlText w:val="%1."/>
      <w:numFmt w:val="decimal"/>
      <w:start w:val="6"/>
    </w:lvl>
  </w:abstractNum>
  <w:abstractNum w:abstractNumId="33">
    <w:nsid w:val="275AC794"/>
    <w:multiLevelType w:val="hybridMultilevel"/>
    <w:lvl w:ilvl="0">
      <w:lvlJc w:val="left"/>
      <w:lvlText w:val="%1."/>
      <w:numFmt w:val="decimal"/>
      <w:start w:val="11"/>
    </w:lvl>
  </w:abstractNum>
  <w:abstractNum w:abstractNumId="34">
    <w:nsid w:val="39386575"/>
    <w:multiLevelType w:val="hybridMultilevel"/>
    <w:lvl w:ilvl="0">
      <w:lvlJc w:val="left"/>
      <w:lvlText w:val="%1."/>
      <w:numFmt w:val="decimal"/>
      <w:start w:val="12"/>
    </w:lvl>
  </w:abstractNum>
  <w:abstractNum w:abstractNumId="35">
    <w:nsid w:val="1CF10FD8"/>
    <w:multiLevelType w:val="hybridMultilevel"/>
    <w:lvl w:ilvl="0">
      <w:lvlJc w:val="left"/>
      <w:lvlText w:val="%1."/>
      <w:numFmt w:val="decimal"/>
      <w:start w:val="14"/>
    </w:lvl>
  </w:abstractNum>
  <w:abstractNum w:abstractNumId="36">
    <w:nsid w:val="180115BE"/>
    <w:multiLevelType w:val="hybridMultilevel"/>
    <w:lvl w:ilvl="0">
      <w:lvlJc w:val="left"/>
      <w:lvlText w:val="%1."/>
      <w:numFmt w:val="decimal"/>
      <w:start w:val="17"/>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1."/>
      <w:numFmt w:val="decimal"/>
      <w:start w:val="2"/>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1"/>
    </w:lvl>
  </w:abstractNum>
  <w:abstractNum w:abstractNumId="41">
    <w:nsid w:val="741226BB"/>
    <w:multiLevelType w:val="hybridMultilevel"/>
    <w:lvl w:ilvl="0">
      <w:lvlJc w:val="left"/>
      <w:lvlText w:val="%1."/>
      <w:numFmt w:val="decimal"/>
      <w:start w:val="3"/>
    </w:lvl>
  </w:abstractNum>
  <w:abstractNum w:abstractNumId="42">
    <w:nsid w:val="D34B6A8"/>
    <w:multiLevelType w:val="hybridMultilevel"/>
    <w:lvl w:ilvl="0">
      <w:lvlJc w:val="left"/>
      <w:lvlText w:val="(%1)"/>
      <w:numFmt w:val="lowerLetter"/>
      <w:start w:val="1"/>
    </w:lvl>
  </w:abstractNum>
  <w:abstractNum w:abstractNumId="43">
    <w:nsid w:val="10233C99"/>
    <w:multiLevelType w:val="hybridMultilevel"/>
    <w:lvl w:ilvl="0">
      <w:lvlJc w:val="left"/>
      <w:lvlText w:val="(%1)"/>
      <w:numFmt w:val="lowerLetter"/>
      <w:start w:val="11"/>
    </w:lvl>
  </w:abstractNum>
  <w:abstractNum w:abstractNumId="44">
    <w:nsid w:val="3F6AB60F"/>
    <w:multiLevelType w:val="hybridMultilevel"/>
    <w:lvl w:ilvl="0">
      <w:lvlJc w:val="left"/>
      <w:lvlText w:val="%1."/>
      <w:numFmt w:val="decimal"/>
      <w:start w:val="4"/>
    </w:lvl>
  </w:abstractNum>
  <w:abstractNum w:abstractNumId="45">
    <w:nsid w:val="61574095"/>
    <w:multiLevelType w:val="hybridMultilevel"/>
    <w:lvl w:ilvl="0">
      <w:lvlJc w:val="left"/>
      <w:lvlText w:val="%1."/>
      <w:numFmt w:val="decimal"/>
      <w:start w:val="5"/>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decimal"/>
      <w:start w:val="6"/>
    </w:lvl>
  </w:abstractNum>
  <w:abstractNum w:abstractNumId="48">
    <w:nsid w:val="579BE4F1"/>
    <w:multiLevelType w:val="hybridMultilevel"/>
    <w:lvl w:ilvl="0">
      <w:lvlJc w:val="left"/>
      <w:lvlText w:val="(%1)"/>
      <w:numFmt w:val="lowerLetter"/>
      <w:start w:val="1"/>
    </w:lvl>
    <w:lvl w:ilvl="1">
      <w:lvlJc w:val="left"/>
      <w:lvlText w:val="(%2)"/>
      <w:numFmt w:val="lowerLetter"/>
      <w:start w:val="9"/>
    </w:lvl>
  </w:abstractNum>
  <w:abstractNum w:abstractNumId="49">
    <w:nsid w:val="310C50B3"/>
    <w:multiLevelType w:val="hybridMultilevel"/>
    <w:lvl w:ilvl="0">
      <w:lvlJc w:val="left"/>
      <w:lvlText w:val="(%1)"/>
      <w:numFmt w:val="lowerRoman"/>
      <w:start w:val="2"/>
    </w:lvl>
  </w:abstractNum>
  <w:abstractNum w:abstractNumId="50">
    <w:nsid w:val="5FF87E05"/>
    <w:multiLevelType w:val="hybridMultilevel"/>
    <w:lvl w:ilvl="0">
      <w:lvlJc w:val="left"/>
      <w:lvlText w:val="(%1)"/>
      <w:numFmt w:val="lowerLetter"/>
      <w:start w:val="1"/>
    </w:lvl>
    <w:lvl w:ilvl="1">
      <w:lvlJc w:val="left"/>
      <w:lvlText w:val="(%2)"/>
      <w:numFmt w:val="lowerRoman"/>
      <w:start w:val="1"/>
    </w:lvl>
  </w:abstractNum>
  <w:abstractNum w:abstractNumId="51">
    <w:nsid w:val="2F305DEF"/>
    <w:multiLevelType w:val="hybridMultilevel"/>
    <w:lvl w:ilvl="0">
      <w:lvlJc w:val="left"/>
      <w:lvlText w:val="%1."/>
      <w:numFmt w:val="decimal"/>
      <w:start w:val="7"/>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decimal"/>
      <w:start w:val="8"/>
    </w:lvl>
  </w:abstractNum>
  <w:abstractNum w:abstractNumId="54">
    <w:nsid w:val="4AD084E9"/>
    <w:multiLevelType w:val="hybridMultilevel"/>
    <w:lvl w:ilvl="0">
      <w:lvlJc w:val="left"/>
      <w:lvlText w:val="%1."/>
      <w:numFmt w:val="decimal"/>
      <w:start w:val="9"/>
    </w:lvl>
  </w:abstractNum>
  <w:abstractNum w:abstractNumId="55">
    <w:nsid w:val="1F48EAA1"/>
    <w:multiLevelType w:val="hybridMultilevel"/>
    <w:lvl w:ilvl="0">
      <w:lvlJc w:val="left"/>
      <w:lvlText w:val="%1."/>
      <w:numFmt w:val="decimal"/>
      <w:start w:val="10"/>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4"/>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2"/>
    </w:lvl>
  </w:abstractNum>
  <w:abstractNum w:abstractNumId="61">
    <w:nsid w:val="5F5E7FD0"/>
    <w:multiLevelType w:val="hybridMultilevel"/>
    <w:lvl w:ilvl="0">
      <w:lvlJc w:val="left"/>
      <w:lvlText w:val="%1."/>
      <w:numFmt w:val="decimal"/>
      <w:start w:val="11"/>
    </w:lvl>
  </w:abstractNum>
  <w:abstractNum w:abstractNumId="62">
    <w:nsid w:val="98A3148"/>
    <w:multiLevelType w:val="hybridMultilevel"/>
    <w:lvl w:ilvl="0">
      <w:lvlJc w:val="left"/>
      <w:lvlText w:val="%1."/>
      <w:numFmt w:val="decimal"/>
      <w:start w:val="12"/>
    </w:lvl>
  </w:abstractNum>
  <w:abstractNum w:abstractNumId="63">
    <w:nsid w:val="799D0247"/>
    <w:multiLevelType w:val="hybridMultilevel"/>
    <w:lvl w:ilvl="0">
      <w:lvlJc w:val="left"/>
      <w:lvlText w:val="%1."/>
      <w:numFmt w:val="decimal"/>
      <w:start w:val="13"/>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lowerLetter"/>
      <w:start w:val="3"/>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decimal"/>
      <w:start w:val="14"/>
    </w:lvl>
  </w:abstractNum>
  <w:abstractNum w:abstractNumId="68">
    <w:nsid w:val="661E3F1E"/>
    <w:multiLevelType w:val="hybridMultilevel"/>
    <w:lvl w:ilvl="0">
      <w:lvlJc w:val="left"/>
      <w:lvlText w:val="%1."/>
      <w:numFmt w:val="decimal"/>
      <w:start w:val="15"/>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lowerLetter"/>
      <w:start w:val="1"/>
    </w:lvl>
    <w:lvl w:ilvl="1">
      <w:lvlJc w:val="left"/>
      <w:lvlText w:val="(%2)"/>
      <w:numFmt w:val="lowerRoman"/>
      <w:start w:val="1"/>
    </w:lvl>
  </w:abstractNum>
  <w:abstractNum w:abstractNumId="73">
    <w:nsid w:val="613EFDC5"/>
    <w:multiLevelType w:val="hybridMultilevel"/>
    <w:lvl w:ilvl="0">
      <w:lvlJc w:val="left"/>
      <w:lvlText w:val="(%1)"/>
      <w:numFmt w:val="lowerLetter"/>
      <w:start w:val="4"/>
    </w:lvl>
  </w:abstractNum>
  <w:abstractNum w:abstractNumId="74">
    <w:nsid w:val="BF72B14"/>
    <w:multiLevelType w:val="hybridMultilevel"/>
    <w:lvl w:ilvl="0">
      <w:lvlJc w:val="left"/>
      <w:lvlText w:val="%1."/>
      <w:numFmt w:val="decimal"/>
      <w:start w:val="16"/>
    </w:lvl>
  </w:abstractNum>
  <w:abstractNum w:abstractNumId="75">
    <w:nsid w:val="11447B73"/>
    <w:multiLevelType w:val="hybridMultilevel"/>
    <w:lvl w:ilvl="0">
      <w:lvlJc w:val="left"/>
      <w:lvlText w:val="%1."/>
      <w:numFmt w:val="decimal"/>
      <w:start w:val="17"/>
    </w:lvl>
  </w:abstractNum>
  <w:abstractNum w:abstractNumId="76">
    <w:nsid w:val="42963E5A"/>
    <w:multiLevelType w:val="hybridMultilevel"/>
    <w:lvl w:ilvl="0">
      <w:lvlJc w:val="left"/>
      <w:lvlText w:val="%1."/>
      <w:numFmt w:val="decimal"/>
      <w:start w:val="18"/>
    </w:lvl>
  </w:abstractNum>
  <w:abstractNum w:abstractNumId="77">
    <w:nsid w:val="A0382C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2026-07-02T07:04:04Z</dcterms:created>
  <dcterms:modified xsi:type="dcterms:W3CDTF">2026-07-02T07:04:04Z</dcterms:modified>
</cp:coreProperties>
</file>