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shd w:fill="FFFFFF" w:val="clear"/>
        </w:rPr>
        <w:t xml:space="preserve">As filed with the Securities and Exchange Commission on </w:t>
      </w:r>
      <w:r>
        <w:rPr>
          <w:rFonts w:ascii="Times New Roman;serif" w:hAnsi="Times New Roman;serif"/>
          <w:b/>
          <w:color w:val="000000"/>
          <w:sz w:val="20"/>
        </w:rPr>
        <w:t>August 3, 2026</w:t>
      </w:r>
    </w:p>
    <w:p>
      <w:pPr>
        <w:pStyle w:val="TextBody"/>
        <w:bidi w:val="0"/>
        <w:spacing w:lineRule="auto" w:line="288" w:before="0" w:after="0"/>
        <w:jc w:val="right"/>
        <w:rPr/>
      </w:pPr>
      <w:r>
        <w:rPr>
          <w:rFonts w:ascii="Times New Roman;serif" w:hAnsi="Times New Roman;serif"/>
          <w:b/>
          <w:color w:val="000000"/>
          <w:sz w:val="20"/>
        </w:rPr>
        <w:t>Registration</w:t>
      </w:r>
      <w:r>
        <w:rPr>
          <w:color w:val="000000"/>
          <w:shd w:fill="FFFFFF" w:val="clear"/>
        </w:rPr>
        <w:t xml:space="preserve"> </w:t>
      </w:r>
      <w:r>
        <w:rPr>
          <w:rFonts w:ascii="Times New Roman;serif" w:hAnsi="Times New Roman;serif"/>
          <w:b/>
          <w:color w:val="000000"/>
          <w:sz w:val="20"/>
          <w:shd w:fill="FFFFFF" w:val="clear"/>
        </w:rPr>
        <w:t xml:space="preserve">No. 333- </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QT Imaging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4512"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86-1728920</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 Hamilton Landing, Suite 160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Novato, CA 94949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including zip code, of principal executive offices)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QT Imaging Holdings, Inc. Amended and Restated 2024 Incentive Plan </w:t>
        <w:br/>
      </w:r>
      <w:r>
        <w:rPr>
          <w:rFonts w:ascii="Times New Roman;serif" w:hAnsi="Times New Roman;serif"/>
          <w:b/>
          <w:color w:val="000000"/>
          <w:sz w:val="16"/>
        </w:rPr>
        <w:t xml:space="preserve">(Full title of the plan)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Dr. Raluca Dinu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 Hamilton Landing, Suite 160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Novato, CA 94949</w:t>
        <w:br/>
        <w:t xml:space="preserve">(415) 842-7250 </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and 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Copy to: </w:t>
        <w:br/>
        <w:t>Jeffrey C. Selman</w:t>
        <w:br/>
        <w:t>DLA Piper LLP (US)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555 Mission Street, Suite 2400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 Francisco, CA 94105</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(415) 615-6095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59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180"/>
        <w:jc w:val="both"/>
        <w:rPr/>
      </w:pPr>
      <w:r>
        <w:rPr>
          <w:rFonts w:ascii="Times New Roman;serif" w:hAnsi="Times New Roman;serif"/>
          <w:b w:val="false"/>
          <w:color w:val="000000"/>
          <w:sz w:val="20"/>
        </w:rPr>
        <w:t>This Registration Statement has been filed by QT Imaging Holdings, Inc.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to register 550,900 additional shares of common stock, par value $0.0001 per share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of the Registrant, to be offered pursuant to the QT Imaging Holdings, Inc. Amended and Restated 2024 Equity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The additional shares registered hereby reflect an increase in the shares of Common Stock authorized and reserved for issuance under the Plan, which increase was approved by the Registrant’s stockholders at the Registrant’s annual meeting of stockholders held on July 28, 2026.</w:t>
      </w:r>
    </w:p>
    <w:p>
      <w:pPr>
        <w:pStyle w:val="TextBody"/>
        <w:bidi w:val="0"/>
        <w:spacing w:lineRule="auto" w:line="288" w:before="0" w:after="180"/>
        <w:jc w:val="both"/>
        <w:rPr/>
      </w:pPr>
      <w:r>
        <w:rPr>
          <w:rFonts w:ascii="Times New Roman;serif" w:hAnsi="Times New Roman;serif"/>
          <w:b w:val="false"/>
          <w:color w:val="000000"/>
          <w:sz w:val="20"/>
        </w:rPr>
        <w:t>Initial shares of the Plan were registered pursuant to that Registration Statement on Form S-8 (File No. 333-279671), filed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on May 23, 2024 (the “</w:t>
      </w:r>
      <w:r>
        <w:rPr>
          <w:rFonts w:ascii="Times New Roman;serif" w:hAnsi="Times New Roman;serif"/>
          <w:b/>
          <w:i/>
          <w:color w:val="000000"/>
          <w:sz w:val="20"/>
        </w:rPr>
        <w:t>2024 Registration Statement</w:t>
      </w:r>
      <w:r>
        <w:rPr>
          <w:color w:val="000000"/>
        </w:rPr>
        <w:t>”</w:t>
      </w:r>
      <w:r>
        <w:rPr>
          <w:rFonts w:ascii="Times New Roman;serif" w:hAnsi="Times New Roman;serif"/>
          <w:b w:val="false"/>
          <w:color w:val="000000"/>
          <w:sz w:val="20"/>
        </w:rPr>
        <w:t>). Additional shares offered pursuant to the Plan were registered pursuant to that Registration Statement on Form S-8 (File No. 333-284869), filed with the Commission on February 12, 2025 (the “</w:t>
      </w:r>
      <w:r>
        <w:rPr>
          <w:rFonts w:ascii="Times New Roman;serif" w:hAnsi="Times New Roman;serif"/>
          <w:b/>
          <w:i/>
          <w:color w:val="000000"/>
          <w:sz w:val="20"/>
        </w:rPr>
        <w:t>2025 Registration Statement</w:t>
      </w:r>
      <w:r>
        <w:rPr>
          <w:color w:val="000000"/>
        </w:rPr>
        <w:t>”</w:t>
      </w:r>
      <w:r>
        <w:rPr>
          <w:rFonts w:ascii="Times New Roman;serif" w:hAnsi="Times New Roman;serif"/>
          <w:b w:val="false"/>
          <w:color w:val="000000"/>
          <w:sz w:val="20"/>
        </w:rPr>
        <w:t>) and pursuant to that Registration Statement on Form S-8 (File No. 333-293142), filed with the Commission on February 2, 2026 (the “</w:t>
      </w:r>
      <w:r>
        <w:rPr>
          <w:rFonts w:ascii="Times New Roman;serif" w:hAnsi="Times New Roman;serif"/>
          <w:b/>
          <w:i/>
          <w:color w:val="000000"/>
          <w:sz w:val="20"/>
        </w:rPr>
        <w:t>2026 Registration Statement</w:t>
      </w:r>
      <w:r>
        <w:rPr>
          <w:color w:val="000000"/>
        </w:rPr>
        <w:t xml:space="preserve">” </w:t>
      </w:r>
      <w:r>
        <w:rPr>
          <w:rFonts w:ascii="Times New Roman;serif" w:hAnsi="Times New Roman;serif"/>
          <w:b w:val="false"/>
          <w:color w:val="000000"/>
          <w:sz w:val="20"/>
        </w:rPr>
        <w:t>and together with the 2024 Registration Statement and the 2025 Registration Statement, the “</w:t>
      </w:r>
      <w:r>
        <w:rPr>
          <w:rFonts w:ascii="Times New Roman;serif" w:hAnsi="Times New Roman;serif"/>
          <w:b/>
          <w:i/>
          <w:color w:val="000000"/>
          <w:sz w:val="20"/>
        </w:rPr>
        <w:t>EIP Registration Statements</w:t>
      </w:r>
      <w:r>
        <w:rPr>
          <w:color w:val="000000"/>
        </w:rPr>
        <w:t>”</w:t>
      </w:r>
      <w:r>
        <w:rPr>
          <w:rFonts w:ascii="Times New Roman;serif" w:hAnsi="Times New Roman;serif"/>
          <w:b w:val="false"/>
          <w:color w:val="000000"/>
          <w:sz w:val="20"/>
        </w:rPr>
        <w:t xml:space="preserve">). Pursuant to General Instruction E to Form S-8 regarding registration of additional securities, the entire contents of the EIP Registration Statements are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left"/>
        <w:rPr/>
      </w:pPr>
      <w:r>
        <w:rPr/>
      </w:r>
    </w:p>
    <w:tbl>
      <w:tblPr>
        <w:tblW w:w="4469" w:type="dxa"/>
        <w:jc w:val="left"/>
        <w:tblInd w:w="0" w:type="dxa"/>
        <w:tblLayout w:type="fixed"/>
        <w:tblCellMar>
          <w:top w:w="28" w:type="dxa"/>
          <w:left w:w="28" w:type="dxa"/>
          <w:bottom w:w="28" w:type="dxa"/>
          <w:right w:w="28" w:type="dxa"/>
        </w:tblCellMar>
      </w:tblPr>
      <w:tblGrid>
        <w:gridCol w:w="255"/>
        <w:gridCol w:w="223"/>
        <w:gridCol w:w="226"/>
        <w:gridCol w:w="1101"/>
        <w:gridCol w:w="1101"/>
        <w:gridCol w:w="156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Incorporation of Documents by Reference. </w:t>
            </w:r>
          </w:p>
        </w:tc>
      </w:tr>
    </w:tbl>
    <w:p>
      <w:pPr>
        <w:pStyle w:val="TextBody"/>
        <w:bidi w:val="0"/>
        <w:spacing w:lineRule="auto" w:line="288" w:before="120" w:after="283"/>
        <w:jc w:val="left"/>
        <w:rPr/>
      </w:pPr>
      <w:r>
        <w:rPr>
          <w:rFonts w:ascii="Times New Roman;serif" w:hAnsi="Times New Roman;serif"/>
          <w:b w:val="false"/>
          <w:color w:val="000000"/>
          <w:sz w:val="20"/>
        </w:rPr>
        <w:t>The following documents previously filed by the Company with the Commission under the Securities and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are incorporated by reference into this Registration Statement: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Annual Report on Form 10-K for the year ended December 31, 2025, filed with the Commission on March 25,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Quarterly Report on Form 10-Q for the quarterly period ended on March 31, 2026, filed with the Commission on May 13,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Current Reports on Form 8-K filed with the Commission on January 20, 2026, January 23, 2026, January 27, 2026, February 6, 2026, March 25, 2026 at 8:13:59 a.m. EDT, May 21, 2026, and July 28, 2026;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7"/>
        <w:gridCol w:w="2697"/>
        <w:gridCol w:w="3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description of the Registrant’s Common Stock contained in the Registrant’s Registration Statement on Form 8-A (File No. 001-40839), filed with the Commission on January 27, 2026, pursuant to Section 12 of the Exchange Act, including any amendment or report filed for the purpose of updating such description. </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04" w:type="dxa"/>
        <w:jc w:val="left"/>
        <w:tblInd w:w="0" w:type="dxa"/>
        <w:tblLayout w:type="fixed"/>
        <w:tblCellMar>
          <w:top w:w="28" w:type="dxa"/>
          <w:left w:w="28" w:type="dxa"/>
          <w:bottom w:w="28" w:type="dxa"/>
          <w:right w:w="28" w:type="dxa"/>
        </w:tblCellMar>
      </w:tblPr>
      <w:tblGrid>
        <w:gridCol w:w="255"/>
        <w:gridCol w:w="223"/>
        <w:gridCol w:w="226"/>
        <w:gridCol w:w="263"/>
        <w:gridCol w:w="263"/>
        <w:gridCol w:w="37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filed as a part of or incorporated by reference into this Registration Statement. </w:t>
      </w:r>
    </w:p>
    <w:tbl>
      <w:tblPr>
        <w:tblW w:w="10205" w:type="dxa"/>
        <w:jc w:val="left"/>
        <w:tblInd w:w="0" w:type="dxa"/>
        <w:tblLayout w:type="fixed"/>
        <w:tblCellMar>
          <w:top w:w="28" w:type="dxa"/>
          <w:left w:w="28" w:type="dxa"/>
          <w:bottom w:w="28" w:type="dxa"/>
          <w:right w:w="28" w:type="dxa"/>
        </w:tblCellMar>
      </w:tblPr>
      <w:tblGrid>
        <w:gridCol w:w="309"/>
        <w:gridCol w:w="272"/>
        <w:gridCol w:w="273"/>
        <w:gridCol w:w="1197"/>
        <w:gridCol w:w="1105"/>
        <w:gridCol w:w="1108"/>
        <w:gridCol w:w="345"/>
        <w:gridCol w:w="345"/>
        <w:gridCol w:w="346"/>
        <w:gridCol w:w="808"/>
        <w:gridCol w:w="808"/>
        <w:gridCol w:w="810"/>
        <w:gridCol w:w="252"/>
        <w:gridCol w:w="252"/>
        <w:gridCol w:w="253"/>
        <w:gridCol w:w="501"/>
        <w:gridCol w:w="501"/>
        <w:gridCol w:w="720"/>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4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Filed Herewith</w:t>
            </w:r>
          </w:p>
        </w:tc>
        <w:tc>
          <w:tcPr>
            <w:tcW w:w="24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Incorporated by Reference Herein from Form or Schedule</w:t>
            </w:r>
          </w:p>
        </w:tc>
        <w:tc>
          <w:tcPr>
            <w:tcW w:w="75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Filing Date</w:t>
            </w:r>
          </w:p>
        </w:tc>
        <w:tc>
          <w:tcPr>
            <w:tcW w:w="17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Commission File / Reg. Number</w:t>
            </w:r>
          </w:p>
        </w:tc>
      </w:tr>
      <w:tr>
        <w:trPr/>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u w:val="single"/>
                </w:rPr>
                <w:t>Second Amended and Restated Certificate of Incorporation of QT Imaging Holdings, Inc.</w:t>
              </w:r>
            </w:hyperlink>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03/08/2024</w:t>
            </w:r>
          </w:p>
        </w:tc>
        <w:tc>
          <w:tcPr>
            <w:tcW w:w="1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001-40389</w:t>
            </w:r>
          </w:p>
        </w:tc>
      </w:tr>
      <w:tr>
        <w:trPr/>
        <w:tc>
          <w:tcPr>
            <w:tcW w:w="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00"/>
                  <w:sz w:val="20"/>
                  <w:u w:val="single"/>
                </w:rPr>
                <w:t>Amended and Restated Bylaws of QT Imaging Holdings, Inc.</w:t>
              </w:r>
            </w:hyperlink>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75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03/08/2024</w:t>
            </w:r>
          </w:p>
        </w:tc>
        <w:tc>
          <w:tcPr>
            <w:tcW w:w="17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001-40389</w:t>
            </w:r>
          </w:p>
        </w:tc>
      </w:tr>
      <w:tr>
        <w:trPr/>
        <w:tc>
          <w:tcPr>
            <w:tcW w:w="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00"/>
                  <w:sz w:val="20"/>
                  <w:u w:val="single"/>
                </w:rPr>
                <w:t>Specimen Common Stock Certificate of GigCapital5, Inc.</w:t>
              </w:r>
            </w:hyperlink>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S-4/A</w:t>
            </w:r>
          </w:p>
        </w:tc>
        <w:tc>
          <w:tcPr>
            <w:tcW w:w="75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02/05/2024</w:t>
            </w:r>
          </w:p>
        </w:tc>
        <w:tc>
          <w:tcPr>
            <w:tcW w:w="17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333-269760</w:t>
            </w:r>
          </w:p>
        </w:tc>
      </w:tr>
      <w:tr>
        <w:trPr/>
        <w:tc>
          <w:tcPr>
            <w:tcW w:w="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s-8x2026x08x032024eip2.htm">
              <w:r>
                <w:rPr>
                  <w:rStyle w:val="InternetLink"/>
                  <w:rFonts w:ascii="Times New Roman;serif" w:hAnsi="Times New Roman;serif"/>
                  <w:b w:val="false"/>
                  <w:color w:val="000000"/>
                  <w:sz w:val="20"/>
                  <w:u w:val="single"/>
                </w:rPr>
                <w:t>Opinion of DLA Piper LLP (US).</w:t>
              </w:r>
            </w:hyperlink>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s-8x2026x08x032024eip2a.htm">
              <w:r>
                <w:rPr>
                  <w:rStyle w:val="InternetLink"/>
                  <w:rFonts w:ascii="Times New Roman;serif" w:hAnsi="Times New Roman;serif"/>
                  <w:b w:val="false"/>
                  <w:color w:val="000000"/>
                  <w:sz w:val="20"/>
                  <w:u w:val="single"/>
                </w:rPr>
                <w:t>QT Imaging Holdings, Inc. Amended and Restated 2024 Equity Incentive Plan.</w:t>
              </w:r>
            </w:hyperlink>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4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s-8x2026x08x032024eip2b.htm">
              <w:r>
                <w:rPr>
                  <w:rStyle w:val="InternetLink"/>
                  <w:rFonts w:ascii="Times New Roman;serif" w:hAnsi="Times New Roman;serif"/>
                  <w:b w:val="false"/>
                  <w:color w:val="000000"/>
                  <w:sz w:val="20"/>
                  <w:u w:val="single"/>
                </w:rPr>
                <w:t>Consent of BPM LLP, independent registered public accounting firm for QT Imaging Holdings, Inc.</w:t>
              </w:r>
            </w:hyperlink>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tbl>
      <w:tblPr>
        <w:tblW w:w="8659" w:type="dxa"/>
        <w:jc w:val="left"/>
        <w:tblInd w:w="0" w:type="dxa"/>
        <w:tblLayout w:type="fixed"/>
        <w:tblCellMar>
          <w:top w:w="28" w:type="dxa"/>
          <w:left w:w="28" w:type="dxa"/>
          <w:bottom w:w="28" w:type="dxa"/>
          <w:right w:w="28" w:type="dxa"/>
        </w:tblCellMar>
      </w:tblPr>
      <w:tblGrid>
        <w:gridCol w:w="174"/>
        <w:gridCol w:w="153"/>
        <w:gridCol w:w="154"/>
        <w:gridCol w:w="2272"/>
        <w:gridCol w:w="2272"/>
        <w:gridCol w:w="2281"/>
        <w:gridCol w:w="109"/>
        <w:gridCol w:w="109"/>
        <w:gridCol w:w="109"/>
        <w:gridCol w:w="109"/>
        <w:gridCol w:w="109"/>
        <w:gridCol w:w="109"/>
        <w:gridCol w:w="109"/>
        <w:gridCol w:w="109"/>
        <w:gridCol w:w="109"/>
        <w:gridCol w:w="109"/>
        <w:gridCol w:w="109"/>
        <w:gridCol w:w="1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68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DLA Piper LLP (US) (included in Exhibit 5.1).</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68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the signature page to this Registration Statement).</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68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00"/>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Novato, California, on this 3rd day of August, 2026</w:t>
      </w:r>
      <w:r>
        <w:rPr>
          <w:rFonts w:ascii="Times New Roman;serif" w:hAnsi="Times New Roman;serif"/>
          <w:b w:val="false"/>
          <w:color w:val="000000"/>
          <w:sz w:val="20"/>
          <w:shd w:fill="FFFFFF" w:val="clear"/>
        </w:rPr>
        <w:t>.</w:t>
      </w:r>
    </w:p>
    <w:p>
      <w:pPr>
        <w:pStyle w:val="TextBody"/>
        <w:bidi w:val="0"/>
        <w:spacing w:before="0" w:after="0"/>
        <w:jc w:val="left"/>
        <w:rPr/>
      </w:pPr>
      <w:r>
        <w:rPr/>
      </w:r>
    </w:p>
    <w:tbl>
      <w:tblPr>
        <w:tblW w:w="4217" w:type="dxa"/>
        <w:jc w:val="left"/>
        <w:tblInd w:w="0" w:type="dxa"/>
        <w:tblLayout w:type="fixed"/>
        <w:tblCellMar>
          <w:top w:w="28" w:type="dxa"/>
          <w:left w:w="28" w:type="dxa"/>
          <w:bottom w:w="28" w:type="dxa"/>
          <w:right w:w="28" w:type="dxa"/>
        </w:tblCellMar>
      </w:tblPr>
      <w:tblGrid>
        <w:gridCol w:w="267"/>
        <w:gridCol w:w="235"/>
        <w:gridCol w:w="235"/>
        <w:gridCol w:w="235"/>
        <w:gridCol w:w="235"/>
        <w:gridCol w:w="235"/>
        <w:gridCol w:w="235"/>
        <w:gridCol w:w="235"/>
        <w:gridCol w:w="235"/>
        <w:gridCol w:w="606"/>
        <w:gridCol w:w="606"/>
        <w:gridCol w:w="858"/>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QT IMAGING HOLDINGS, INC.</w:t>
            </w:r>
          </w:p>
        </w:tc>
      </w:tr>
      <w:tr>
        <w:trPr/>
        <w:tc>
          <w:tcPr>
            <w:tcW w:w="14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Raluca Dinu</w:t>
            </w:r>
          </w:p>
        </w:tc>
      </w:tr>
      <w:tr>
        <w:trPr/>
        <w:tc>
          <w:tcPr>
            <w:tcW w:w="14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r>
      <w:tr>
        <w:trPr/>
        <w:tc>
          <w:tcPr>
            <w:tcW w:w="14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Dr. Raluca Dinu and Jay Jennings and each or any one of them, his true and lawful attorney-in-fact and agent, with full power of substitution and resubstitution, for them and in their name, place and stead, in any and all capacities, to sign any and all amendments to this Registration Statement on Form S-8,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this Registration Statement on Form S-8 has been signed below by the following persons on behalf of the Registrant in the capacities and on the dates indicated.</w:t>
      </w:r>
    </w:p>
    <w:p>
      <w:pPr>
        <w:pStyle w:val="TextBody"/>
        <w:bidi w:val="0"/>
        <w:spacing w:before="120" w:after="283"/>
        <w:jc w:val="left"/>
        <w:rPr/>
      </w:pPr>
      <w:r>
        <w:rPr/>
      </w:r>
    </w:p>
    <w:tbl>
      <w:tblPr>
        <w:tblW w:w="7581" w:type="dxa"/>
        <w:jc w:val="left"/>
        <w:tblInd w:w="0" w:type="dxa"/>
        <w:tblLayout w:type="fixed"/>
        <w:tblCellMar>
          <w:top w:w="28" w:type="dxa"/>
          <w:left w:w="28" w:type="dxa"/>
          <w:bottom w:w="28" w:type="dxa"/>
          <w:right w:w="28" w:type="dxa"/>
        </w:tblCellMar>
      </w:tblPr>
      <w:tblGrid>
        <w:gridCol w:w="656"/>
        <w:gridCol w:w="575"/>
        <w:gridCol w:w="583"/>
        <w:gridCol w:w="109"/>
        <w:gridCol w:w="109"/>
        <w:gridCol w:w="109"/>
        <w:gridCol w:w="1234"/>
        <w:gridCol w:w="1234"/>
        <w:gridCol w:w="1251"/>
        <w:gridCol w:w="109"/>
        <w:gridCol w:w="109"/>
        <w:gridCol w:w="109"/>
        <w:gridCol w:w="407"/>
        <w:gridCol w:w="407"/>
        <w:gridCol w:w="580"/>
      </w:tblGrid>
      <w:tr>
        <w:trPr/>
        <w:tc>
          <w:tcPr>
            <w:tcW w:w="65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Dr. Raluca Dinu</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Dr. Raluca Dinu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Jay Jennings</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Jennings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Dr. Avi Katz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Dr. Avi Katz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Dr. John Klock</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John Klock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Bryan Timm</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Bryan Timm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Daniel Dickson</w:t>
            </w:r>
          </w:p>
          <w:p>
            <w:pPr>
              <w:pStyle w:val="TableContents"/>
              <w:bidi w:val="0"/>
              <w:spacing w:before="0" w:after="2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Daniel Dickson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S. Greene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S. Greene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Prof. Zeev Weiner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r>
      <w:tr>
        <w:trPr/>
        <w:tc>
          <w:tcPr>
            <w:tcW w:w="18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 Zeev Weiner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40" w:before="0" w:after="0"/>
        <w:jc w:val="left"/>
        <w:rPr>
          <w:color w:val="000000"/>
        </w:rPr>
      </w:pPr>
      <w:r>
        <w:rPr>
          <w:color w:val="000000"/>
        </w:rPr>
        <w:t>        </w:t>
      </w:r>
    </w:p>
    <w:p>
      <w:pPr>
        <w:pStyle w:val="TextBody"/>
        <w:bidi w:val="0"/>
        <w:spacing w:before="0" w:after="283"/>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45" w:type="dxa"/>
        <w:jc w:val="left"/>
        <w:tblInd w:w="0" w:type="dxa"/>
        <w:tblLayout w:type="fixed"/>
        <w:tblCellMar>
          <w:top w:w="28" w:type="dxa"/>
          <w:left w:w="28" w:type="dxa"/>
          <w:bottom w:w="28" w:type="dxa"/>
          <w:right w:w="28" w:type="dxa"/>
        </w:tblCellMar>
      </w:tblPr>
      <w:tblGrid>
        <w:gridCol w:w="3691"/>
        <w:gridCol w:w="154"/>
      </w:tblGrid>
      <w:tr>
        <w:trPr/>
        <w:tc>
          <w:tcPr>
            <w:tcW w:w="38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9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b/>
              </w:rPr>
            </w:pPr>
            <w:r>
              <w:rPr>
                <w:b/>
              </w:rPr>
              <w:t xml:space="preserve">QT IMAGING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7"/>
        <w:gridCol w:w="1301"/>
        <w:gridCol w:w="1210"/>
        <w:gridCol w:w="1243"/>
        <w:gridCol w:w="1603"/>
        <w:gridCol w:w="1127"/>
        <w:gridCol w:w="1440"/>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7" w:type="dxa"/>
            <w:tcBorders/>
            <w:shd w:fill="E7E7E2" w:val="clear"/>
            <w:vAlign w:val="center"/>
          </w:tcPr>
          <w:p>
            <w:pPr>
              <w:pStyle w:val="TableContents"/>
              <w:bidi w:val="0"/>
              <w:spacing w:before="0" w:after="283"/>
              <w:jc w:val="left"/>
              <w:rPr/>
            </w:pPr>
            <w:r>
              <w:rPr/>
              <w:t xml:space="preserve">Common Stock, par value, $0.0001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550,900 </w:t>
            </w:r>
          </w:p>
        </w:tc>
        <w:tc>
          <w:tcPr>
            <w:tcW w:w="1243" w:type="dxa"/>
            <w:tcBorders/>
            <w:shd w:fill="E7E7E2" w:val="clear"/>
            <w:vAlign w:val="center"/>
          </w:tcPr>
          <w:p>
            <w:pPr>
              <w:pStyle w:val="TableContents"/>
              <w:bidi w:val="0"/>
              <w:spacing w:before="0" w:after="283"/>
              <w:jc w:val="right"/>
              <w:rPr/>
            </w:pPr>
            <w:r>
              <w:rPr/>
              <w:t xml:space="preserve">$ 2.74 </w:t>
            </w:r>
          </w:p>
        </w:tc>
        <w:tc>
          <w:tcPr>
            <w:tcW w:w="1603" w:type="dxa"/>
            <w:tcBorders/>
            <w:shd w:fill="E7E7E2" w:val="clear"/>
            <w:vAlign w:val="center"/>
          </w:tcPr>
          <w:p>
            <w:pPr>
              <w:pStyle w:val="TableContents"/>
              <w:bidi w:val="0"/>
              <w:spacing w:before="0" w:after="283"/>
              <w:jc w:val="right"/>
              <w:rPr/>
            </w:pPr>
            <w:r>
              <w:rPr/>
              <w:t xml:space="preserve">$ 1,509,466.00 </w:t>
            </w:r>
          </w:p>
        </w:tc>
        <w:tc>
          <w:tcPr>
            <w:tcW w:w="1127" w:type="dxa"/>
            <w:tcBorders/>
            <w:shd w:fill="E7E7E2" w:val="clear"/>
            <w:vAlign w:val="center"/>
          </w:tcPr>
          <w:p>
            <w:pPr>
              <w:pStyle w:val="TableContents"/>
              <w:bidi w:val="0"/>
              <w:spacing w:before="0" w:after="283"/>
              <w:jc w:val="right"/>
              <w:rPr/>
            </w:pPr>
            <w:r>
              <w:rPr/>
              <w:t xml:space="preserve">0.0001381 </w:t>
            </w:r>
          </w:p>
        </w:tc>
        <w:tc>
          <w:tcPr>
            <w:tcW w:w="1440" w:type="dxa"/>
            <w:tcBorders/>
            <w:shd w:fill="E7E7E2" w:val="clear"/>
            <w:vAlign w:val="center"/>
          </w:tcPr>
          <w:p>
            <w:pPr>
              <w:pStyle w:val="TableContents"/>
              <w:bidi w:val="0"/>
              <w:spacing w:before="0" w:after="283"/>
              <w:jc w:val="right"/>
              <w:rPr/>
            </w:pPr>
            <w:r>
              <w:rPr/>
              <w:t xml:space="preserve">$ 208.46 </w:t>
            </w:r>
          </w:p>
        </w:tc>
      </w:tr>
      <w:tr>
        <w:trPr/>
        <w:tc>
          <w:tcPr>
            <w:tcW w:w="4792" w:type="dxa"/>
            <w:gridSpan w:val="5"/>
            <w:tcBorders/>
            <w:vAlign w:val="center"/>
          </w:tcPr>
          <w:p>
            <w:pPr>
              <w:pStyle w:val="TableContents"/>
              <w:bidi w:val="0"/>
              <w:spacing w:before="0" w:after="0"/>
              <w:ind w:left="0" w:right="0" w:hanging="0"/>
              <w:jc w:val="right"/>
              <w:rPr/>
            </w:pPr>
            <w:r>
              <w:rPr/>
              <w:t>Total Offering Amounts:</w:t>
            </w:r>
          </w:p>
        </w:tc>
        <w:tc>
          <w:tcPr>
            <w:tcW w:w="124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4" w:name="MaxAggtOfferingPrice"/>
            <w:bookmarkEnd w:id="4"/>
            <w:r>
              <w:rPr/>
              <w:t xml:space="preserve">$ 1,509,466.00 </w:t>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$ 208.46 </w:t>
            </w:r>
          </w:p>
        </w:tc>
      </w:tr>
      <w:tr>
        <w:trPr/>
        <w:tc>
          <w:tcPr>
            <w:tcW w:w="4792" w:type="dxa"/>
            <w:gridSpan w:val="5"/>
            <w:tcBorders/>
            <w:vAlign w:val="center"/>
          </w:tcPr>
          <w:p>
            <w:pPr>
              <w:pStyle w:val="TableContents"/>
              <w:bidi w:val="0"/>
              <w:spacing w:before="0" w:after="0"/>
              <w:ind w:left="0" w:right="0" w:hanging="0"/>
              <w:jc w:val="right"/>
              <w:rPr/>
            </w:pPr>
            <w:r>
              <w:rPr/>
              <w:t xml:space="preserve">Total Fee Offsets: </w:t>
            </w:r>
          </w:p>
        </w:tc>
        <w:tc>
          <w:tcPr>
            <w:tcW w:w="124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792" w:type="dxa"/>
            <w:gridSpan w:val="5"/>
            <w:tcBorders/>
            <w:vAlign w:val="center"/>
          </w:tcPr>
          <w:p>
            <w:pPr>
              <w:pStyle w:val="TableContents"/>
              <w:bidi w:val="0"/>
              <w:spacing w:before="0" w:after="0"/>
              <w:ind w:left="0" w:right="0" w:hanging="0"/>
              <w:jc w:val="right"/>
              <w:rPr/>
            </w:pPr>
            <w:r>
              <w:rPr/>
              <w:t xml:space="preserve">Net Fee Due: </w:t>
            </w:r>
          </w:p>
        </w:tc>
        <w:tc>
          <w:tcPr>
            <w:tcW w:w="124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0"/>
              <w:ind w:left="0" w:right="0" w:hanging="0"/>
              <w:jc w:val="right"/>
              <w:rPr/>
            </w:pPr>
            <w:bookmarkStart w:id="7" w:name="NetFeeAmt"/>
            <w:bookmarkEnd w:id="7"/>
            <w:r>
              <w:rPr/>
              <w:t xml:space="preserve">$ 208.46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433" w:type="dxa"/>
        <w:jc w:val="left"/>
        <w:tblInd w:w="0" w:type="dxa"/>
        <w:tblLayout w:type="fixed"/>
        <w:tblCellMar>
          <w:top w:w="28" w:type="dxa"/>
          <w:left w:w="28" w:type="dxa"/>
          <w:bottom w:w="28" w:type="dxa"/>
          <w:right w:w="28" w:type="dxa"/>
        </w:tblCellMar>
      </w:tblPr>
      <w:tblGrid>
        <w:gridCol w:w="256"/>
        <w:gridCol w:w="23"/>
        <w:gridCol w:w="154"/>
      </w:tblGrid>
      <w:tr>
        <w:trPr/>
        <w:tc>
          <w:tcPr>
            <w:tcW w:w="25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77" w:type="dxa"/>
            <w:gridSpan w:val="2"/>
            <w:tcBorders/>
            <w:vAlign w:val="center"/>
          </w:tcPr>
          <w:p>
            <w:pPr>
              <w:pStyle w:val="TableContents"/>
              <w:bidi w:val="0"/>
              <w:spacing w:before="0" w:after="283"/>
              <w:jc w:val="left"/>
              <w:rPr>
                <w:sz w:val="4"/>
                <w:szCs w:val="4"/>
              </w:rPr>
            </w:pPr>
            <w:r>
              <w:rPr>
                <w:sz w:val="4"/>
                <w:szCs w:val="4"/>
              </w:rPr>
            </w:r>
          </w:p>
        </w:tc>
      </w:tr>
      <w:tr>
        <w:trPr/>
        <w:tc>
          <w:tcPr>
            <w:tcW w:w="279" w:type="dxa"/>
            <w:gridSpan w:val="2"/>
            <w:tcBorders/>
            <w:vAlign w:val="center"/>
          </w:tcPr>
          <w:p>
            <w:pPr>
              <w:pStyle w:val="HorizontalLine"/>
              <w:pBdr>
                <w:bottom w:val="double" w:sz="2" w:space="0" w:color="808080"/>
              </w:pBdr>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6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5.1</w:t>
      </w:r>
    </w:p>
    <w:p>
      <w:pPr>
        <w:pStyle w:val="TextBody"/>
        <w:bidi w:val="0"/>
        <w:spacing w:before="0" w:after="60"/>
        <w:jc w:val="righ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DLA Piper LLP (US)</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555 Mission Street, Suite 2400</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San Francisco, CA 94105-2933</w: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QT Imaging Holdings,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Hamilton Landing, Suite 160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Novato, CA 94949 </w:t>
      </w:r>
    </w:p>
    <w:tbl>
      <w:tblPr>
        <w:tblW w:w="6431" w:type="dxa"/>
        <w:jc w:val="left"/>
        <w:tblInd w:w="0" w:type="dxa"/>
        <w:tblLayout w:type="fixed"/>
        <w:tblCellMar>
          <w:top w:w="28" w:type="dxa"/>
          <w:left w:w="28" w:type="dxa"/>
          <w:bottom w:w="28" w:type="dxa"/>
          <w:right w:w="28" w:type="dxa"/>
        </w:tblCellMar>
      </w:tblPr>
      <w:tblGrid>
        <w:gridCol w:w="124"/>
        <w:gridCol w:w="109"/>
        <w:gridCol w:w="109"/>
        <w:gridCol w:w="129"/>
        <w:gridCol w:w="129"/>
        <w:gridCol w:w="131"/>
        <w:gridCol w:w="1666"/>
        <w:gridCol w:w="1666"/>
        <w:gridCol w:w="2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w:t>
            </w:r>
          </w:p>
        </w:tc>
        <w:tc>
          <w:tcPr>
            <w:tcW w:w="57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Registration Statement on Form S-8 of QT Imaging Holdings, Inc.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br/>
        <w:t>Ladies and Gentlemen:</w:t>
      </w:r>
    </w:p>
    <w:p>
      <w:pPr>
        <w:pStyle w:val="TextBody"/>
        <w:bidi w:val="0"/>
        <w:spacing w:lineRule="auto" w:line="288" w:before="0" w:after="180"/>
        <w:ind w:left="0" w:right="0" w:firstLine="490"/>
        <w:jc w:val="both"/>
        <w:rPr/>
      </w:pPr>
      <w:r>
        <w:rPr>
          <w:rFonts w:ascii="Times New Roman;serif" w:hAnsi="Times New Roman;serif"/>
          <w:b w:val="false"/>
          <w:color w:val="000000"/>
          <w:sz w:val="20"/>
        </w:rPr>
        <w:t>We have acted as counsel to QT Imaging Holdings,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in connection with the registration by the Company with the United States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of 550,900 shares of the common stock, par value $0.0001 per share, of the Company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issuable from time to time pursuant to options or awards granted or to be granted in accordance with the Company’s Amended and Restated 2024 Equity Incentive Plan (as it may be amended from time to time,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pursuant to a Registration Statement on Form S-8 filed by the Company with the Commission on August 3, 2026 (the “</w:t>
      </w:r>
      <w:r>
        <w:rPr>
          <w:rFonts w:ascii="Times New Roman;serif" w:hAnsi="Times New Roman;serif"/>
          <w:b/>
          <w:i/>
          <w:color w:val="000000"/>
          <w:sz w:val="20"/>
        </w:rPr>
        <w:t>Registration Statement</w:t>
      </w:r>
      <w:r>
        <w:rPr>
          <w:color w:val="000000"/>
          <w:shd w:fill="FFFFFF" w:val="clear"/>
        </w:rPr>
        <w:t>”</w:t>
      </w:r>
      <w:r>
        <w:rPr>
          <w:rFonts w:ascii="Times New Roman;serif" w:hAnsi="Times New Roman;serif"/>
          <w:b w:val="false"/>
          <w:color w:val="000000"/>
          <w:sz w:val="20"/>
          <w:shd w:fill="FFFFFF" w:val="clear"/>
        </w:rPr>
        <w:t>) pursuant to the Securities Act of 1933, as amended (the “</w:t>
      </w:r>
      <w:r>
        <w:rPr>
          <w:rFonts w:ascii="Times New Roman;serif" w:hAnsi="Times New Roman;serif"/>
          <w:b/>
          <w:i/>
          <w:color w:val="000000"/>
          <w:sz w:val="20"/>
        </w:rPr>
        <w:t>Securities Act</w:t>
      </w:r>
      <w:r>
        <w:rPr>
          <w:color w:val="000000"/>
          <w:shd w:fill="FFFFFF" w:val="clear"/>
        </w:rPr>
        <w:t>”</w:t>
      </w:r>
      <w:r>
        <w:rPr>
          <w:rFonts w:ascii="Times New Roman;serif" w:hAnsi="Times New Roman;serif"/>
          <w:b w:val="false"/>
          <w:color w:val="000000"/>
          <w:sz w:val="20"/>
          <w:shd w:fill="FFFFFF" w:val="clear"/>
        </w:rPr>
        <w:t>). Capitalized terms used herein but not otherwise defined herein have the meanings ascribed to them in the Registration Statement.</w:t>
      </w:r>
    </w:p>
    <w:p>
      <w:pPr>
        <w:pStyle w:val="TextBody"/>
        <w:bidi w:val="0"/>
        <w:spacing w:lineRule="auto" w:line="288" w:before="0" w:after="18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opinion is being delivered in accordance with the requirements of Item 601(b)(5) of Regulation S-K under the Securities Act.</w:t>
      </w:r>
    </w:p>
    <w:p>
      <w:pPr>
        <w:pStyle w:val="TextBody"/>
        <w:bidi w:val="0"/>
        <w:spacing w:lineRule="auto" w:line="288" w:before="0" w:after="18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examined such documents and considered such legal matters as we have deemed necessary and relevant as the basis for the opinion set forth below, including (i) the Second Amended and Restated Certificate of Incorporation of the Company, that is filed as Exhibit 3.1 to the Registration Statement; (ii) the Amended and Restated Bylaws of the Company, that are filed as Exhibit 3.2 to the Registration Statement; (iii) the Registration Statement; (iv) the Specimen Common Stock Certificate that is filed as Exhibit 4.1 to the Registration Statement; and (v) the Plan that is filed as Exhibit 10.1 to the Registration Statement. With respect to such examination, we have assumed, without independent investigation, (i) the genuineness of all signatures on all documents; (ii) the legal capacity of each natural person executing any document, whether on behalf of such person or an entity; (iii) the due authority of the persons signing any document on behalf of a party (other than the Company); (iv) the authenticity and completeness of all documents submitted to us as originals; (v) the completeness and conformity to the originals of all documents submitted to us as certified or photostatic copies or by facsimile or other means of electronic transmission or which we obtained from the Commission’s Electronic Data Gathering, Analysis and Retrieval system (“EDGAR”) or other sites on the internet, and the authenticity of the originals thereof; (vi) that all public records reviewed or relied upon by us are true and complete; (vii) that all statements and information contained in any documents are true and complete; and (viii) that there has been no oral or written modification or amendment to any documents by action or omission of the parties or otherwise. We have also assumed that the offer and sale of the Shares complies and will comply in all respects with the terms, conditions and restrictions set forth in the Registration Statement and the Plan. The Company has represented to us and we have also assumed that the Company has reserved from its duly authorized but unissued and otherwise unreserved capital stock a sufficient number of shares of common stock for issuance under the Plan.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exercise of options or the settlement of awards under the Plan. As to questions of fact and the consequences thereof relevant to the opinions expressed herein, we have, to the extent deemed appropriate, relied without independent investigation or verification upon, and assumed the accuracy and completeness of, representations of certain officers and employees of the Company. </w:t>
      </w:r>
    </w:p>
    <w:p>
      <w:pPr>
        <w:pStyle w:val="TextBody"/>
        <w:bidi w:val="0"/>
        <w:spacing w:lineRule="auto" w:line="288" w:before="0" w:after="18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Based upon the foregoing, and subject to the assumptions, qualifications and limitations set forth herein, we are of the opinion that, with respect to the Shares to be issued after the filing of the Registration Statement, the Shares are duly authorized and, when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issued and delivered in accordance with the terms of the Plan and the respective grant or option terms, and upon receipt by the Company of the requisite consideration therefor, such Shares will be validly issued, fully paid and non-assessable.</w:t>
      </w:r>
    </w:p>
    <w:p>
      <w:pPr>
        <w:pStyle w:val="TextBody"/>
        <w:bidi w:val="0"/>
        <w:spacing w:lineRule="auto" w:line="288" w:before="0" w:after="18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opinions contained herein are limited to the General Corporation Law of the State of Delaware (including the statutory provisions, all applicable provisions of the Delaware Constitution and the reported judicial decisions interpreting the foregoing) (the “DGCL”) and the federal laws of the United States of America, and we express no opinion as to the laws of any other state or jurisdiction. No opinion is expressed herein with respect to the qualification of the Shares under the securities or blue sky laws of any state or any foreign jurisdiction. </w:t>
      </w:r>
    </w:p>
    <w:p>
      <w:pPr>
        <w:pStyle w:val="TextBody"/>
        <w:bidi w:val="0"/>
        <w:spacing w:lineRule="auto" w:line="288" w:before="0" w:after="18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opinion expressed herein is limited to the matters set forth in this letter, and no other opinion should be inferred beyond the matters expressly stated.</w:t>
      </w:r>
    </w:p>
    <w:p>
      <w:pPr>
        <w:pStyle w:val="TextBody"/>
        <w:bidi w:val="0"/>
        <w:spacing w:lineRule="auto" w:line="288" w:before="0" w:after="18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hereby consent to the filing of this opinion as an exhibit to the Registration Statement, to the use of our name as your counsel, and to all references made to us in the Registration Statement and in the prospectus forming a part thereof. In giving this consent, we do not admit that we are within the category of persons whose consent is required under Section 7 of the Securities Act, the rules and regulations of the Commission promulgated thereunder, or Item 509 of Regulation S-K.</w:t>
      </w:r>
    </w:p>
    <w:p>
      <w:pPr>
        <w:pStyle w:val="TextBody"/>
        <w:bidi w:val="0"/>
        <w:spacing w:before="0" w:after="180"/>
        <w:ind w:left="0" w:right="0" w:hanging="245"/>
        <w:jc w:val="left"/>
        <w:rPr/>
      </w:pPr>
      <w:r>
        <w:rPr/>
      </w:r>
    </w:p>
    <w:p>
      <w:pPr>
        <w:pStyle w:val="TextBody"/>
        <w:bidi w:val="0"/>
        <w:spacing w:lineRule="auto" w:line="288" w:before="0" w:after="180"/>
        <w:ind w:left="0" w:right="0" w:hanging="24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Very truly yours,</w:t>
      </w:r>
    </w:p>
    <w:p>
      <w:pPr>
        <w:pStyle w:val="TextBody"/>
        <w:bidi w:val="0"/>
        <w:spacing w:before="120" w:after="60"/>
        <w:ind w:left="0" w:right="0" w:hanging="245"/>
        <w:jc w:val="left"/>
        <w:rPr/>
      </w:pPr>
      <w:r>
        <w:rPr/>
      </w:r>
    </w:p>
    <w:p>
      <w:pPr>
        <w:pStyle w:val="TextBody"/>
        <w:bidi w:val="0"/>
        <w:spacing w:lineRule="auto" w:line="288" w:before="120" w:after="60"/>
        <w:ind w:left="0" w:right="0" w:hanging="245"/>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/s/ DLA PIPER LLP (US)</w:t>
      </w:r>
    </w:p>
    <w:p>
      <w:pPr>
        <w:pStyle w:val="TextBody"/>
        <w:bidi w:val="0"/>
        <w:spacing w:lineRule="auto" w:line="288" w:before="120" w:after="60"/>
        <w:ind w:left="0" w:right="0" w:hanging="245"/>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DLA PIPER LLP (US)</w:t>
      </w:r>
    </w:p>
    <w:p>
      <w:pPr>
        <w:pStyle w:val="TextBody"/>
        <w:bidi w:val="0"/>
        <w:spacing w:before="240" w:after="60"/>
        <w:ind w:left="0" w:right="0" w:hanging="245"/>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shd w:fill="FFFFFF" w:val="clear"/>
        </w:rPr>
      </w:pPr>
      <w:r>
        <w:rPr>
          <w:rFonts w:ascii="Times New Roman;serif" w:hAnsi="Times New Roman;serif"/>
          <w:b/>
          <w:color w:val="000000"/>
          <w:sz w:val="22"/>
          <w:shd w:fill="FFFFFF" w:val="clear"/>
        </w:rPr>
        <w:t>Exhibit 10.1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shd w:fill="FFFFFF" w:val="clear"/>
        </w:rPr>
      </w:pPr>
      <w:r>
        <w:rPr>
          <w:rFonts w:ascii="Times New Roman;serif" w:hAnsi="Times New Roman;serif"/>
          <w:b/>
          <w:color w:val="000000"/>
          <w:sz w:val="22"/>
          <w:shd w:fill="FFFFFF" w:val="clear"/>
        </w:rPr>
        <w:t>QT IMAGING HOLDINGS, INC</w:t>
      </w:r>
      <w:r>
        <w:rPr>
          <w:rFonts w:ascii="Times New Roman;serif" w:hAnsi="Times New Roman;serif"/>
          <w:b w:val="false"/>
          <w:color w:val="000000"/>
          <w:sz w:val="22"/>
          <w:shd w:fill="FFFFFF" w:val="clear"/>
        </w:rPr>
        <w:t>.</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AMENDED AND RESTATED 2024 EQUITY INCENTIVE PLAN</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TABLE OF CONTENTS</w:t>
      </w:r>
    </w:p>
    <w:p>
      <w:pPr>
        <w:pStyle w:val="TextBody"/>
        <w:bidi w:val="0"/>
        <w:spacing w:lineRule="auto" w:line="288" w:before="0" w:after="100"/>
        <w:ind w:left="0" w:right="0" w:hanging="720"/>
        <w:jc w:val="left"/>
        <w:rPr/>
      </w:pPr>
      <w:hyperlink w:anchor="i105d86eced1c4a3794b2594af8df362d_4">
        <w:r>
          <w:rPr>
            <w:rStyle w:val="InternetLink"/>
          </w:rPr>
          <w:t>1.1</w:t>
        </w:r>
      </w:hyperlink>
      <w:hyperlink w:anchor="i105d86eced1c4a3794b2594af8df362d_4">
        <w:r>
          <w:rPr>
            <w:rStyle w:val="InternetLink"/>
          </w:rPr>
          <w:t>    </w:t>
        </w:r>
      </w:hyperlink>
      <w:hyperlink w:anchor="i105d86eced1c4a3794b2594af8df362d_4">
        <w:r>
          <w:rPr>
            <w:rStyle w:val="InternetLink"/>
          </w:rPr>
          <w:t>Establishment</w:t>
        </w:r>
      </w:hyperlink>
      <w:hyperlink w:anchor="i105d86eced1c4a3794b2594af8df362d_4">
        <w:r>
          <w:rPr>
            <w:rStyle w:val="InternetLink"/>
          </w:rPr>
          <w:t>    </w:t>
        </w:r>
      </w:hyperlink>
      <w:hyperlink w:anchor="i105d86eced1c4a3794b2594af8df362d_4">
        <w:r>
          <w:rPr>
            <w:rStyle w:val="InternetLink"/>
          </w:rPr>
          <w:t>1</w:t>
        </w:r>
      </w:hyperlink>
    </w:p>
    <w:p>
      <w:pPr>
        <w:pStyle w:val="TextBody"/>
        <w:bidi w:val="0"/>
        <w:spacing w:lineRule="auto" w:line="288" w:before="0" w:after="100"/>
        <w:ind w:left="0" w:right="0" w:hanging="720"/>
        <w:jc w:val="left"/>
        <w:rPr/>
      </w:pPr>
      <w:hyperlink w:anchor="i105d86eced1c4a3794b2594af8df362d_4">
        <w:r>
          <w:rPr>
            <w:rStyle w:val="InternetLink"/>
          </w:rPr>
          <w:t>1.2</w:t>
        </w:r>
      </w:hyperlink>
      <w:hyperlink w:anchor="i105d86eced1c4a3794b2594af8df362d_4">
        <w:r>
          <w:rPr>
            <w:rStyle w:val="InternetLink"/>
          </w:rPr>
          <w:t>    </w:t>
        </w:r>
      </w:hyperlink>
      <w:hyperlink w:anchor="i105d86eced1c4a3794b2594af8df362d_4">
        <w:r>
          <w:rPr>
            <w:rStyle w:val="InternetLink"/>
          </w:rPr>
          <w:t>Purpose</w:t>
        </w:r>
      </w:hyperlink>
      <w:hyperlink w:anchor="i105d86eced1c4a3794b2594af8df362d_4">
        <w:r>
          <w:rPr>
            <w:rStyle w:val="InternetLink"/>
          </w:rPr>
          <w:t>    </w:t>
        </w:r>
      </w:hyperlink>
      <w:hyperlink w:anchor="i105d86eced1c4a3794b2594af8df362d_4">
        <w:r>
          <w:rPr>
            <w:rStyle w:val="InternetLink"/>
          </w:rPr>
          <w:t>1</w:t>
        </w:r>
      </w:hyperlink>
    </w:p>
    <w:p>
      <w:pPr>
        <w:pStyle w:val="TextBody"/>
        <w:bidi w:val="0"/>
        <w:spacing w:lineRule="auto" w:line="288" w:before="0" w:after="100"/>
        <w:ind w:left="0" w:right="0" w:hanging="720"/>
        <w:jc w:val="left"/>
        <w:rPr/>
      </w:pPr>
      <w:hyperlink w:anchor="i105d86eced1c4a3794b2594af8df362d_4">
        <w:r>
          <w:rPr>
            <w:rStyle w:val="InternetLink"/>
          </w:rPr>
          <w:t>1.3</w:t>
        </w:r>
      </w:hyperlink>
      <w:hyperlink w:anchor="i105d86eced1c4a3794b2594af8df362d_4">
        <w:r>
          <w:rPr>
            <w:rStyle w:val="InternetLink"/>
          </w:rPr>
          <w:t>    </w:t>
        </w:r>
      </w:hyperlink>
      <w:hyperlink w:anchor="i105d86eced1c4a3794b2594af8df362d_4">
        <w:r>
          <w:rPr>
            <w:rStyle w:val="InternetLink"/>
          </w:rPr>
          <w:t>Term of Plan</w:t>
        </w:r>
      </w:hyperlink>
      <w:hyperlink w:anchor="i105d86eced1c4a3794b2594af8df362d_4">
        <w:r>
          <w:rPr>
            <w:rStyle w:val="InternetLink"/>
          </w:rPr>
          <w:t>    </w:t>
        </w:r>
      </w:hyperlink>
      <w:hyperlink w:anchor="i105d86eced1c4a3794b2594af8df362d_4">
        <w:r>
          <w:rPr>
            <w:rStyle w:val="InternetLink"/>
          </w:rPr>
          <w:t>1</w:t>
        </w:r>
      </w:hyperlink>
    </w:p>
    <w:p>
      <w:pPr>
        <w:pStyle w:val="TextBody"/>
        <w:bidi w:val="0"/>
        <w:spacing w:lineRule="auto" w:line="288" w:before="0" w:after="100"/>
        <w:ind w:left="0" w:right="0" w:hanging="720"/>
        <w:jc w:val="left"/>
        <w:rPr/>
      </w:pPr>
      <w:hyperlink w:anchor="i105d86eced1c4a3794b2594af8df362d_4">
        <w:r>
          <w:rPr>
            <w:rStyle w:val="InternetLink"/>
          </w:rPr>
          <w:t>2.</w:t>
        </w:r>
      </w:hyperlink>
      <w:hyperlink w:anchor="i105d86eced1c4a3794b2594af8df362d_4">
        <w:r>
          <w:rPr>
            <w:rStyle w:val="InternetLink"/>
          </w:rPr>
          <w:t>    </w:t>
        </w:r>
      </w:hyperlink>
      <w:hyperlink w:anchor="i105d86eced1c4a3794b2594af8df362d_4">
        <w:r>
          <w:rPr>
            <w:rStyle w:val="InternetLink"/>
          </w:rPr>
          <w:t>DEFINITIONS AND CONSTRUCTION.</w:t>
        </w:r>
      </w:hyperlink>
      <w:hyperlink w:anchor="i105d86eced1c4a3794b2594af8df362d_4">
        <w:r>
          <w:rPr>
            <w:rStyle w:val="InternetLink"/>
          </w:rPr>
          <w:t>    </w:t>
        </w:r>
      </w:hyperlink>
      <w:hyperlink w:anchor="i105d86eced1c4a3794b2594af8df362d_4">
        <w:r>
          <w:rPr>
            <w:rStyle w:val="InternetLink"/>
          </w:rPr>
          <w:t>1</w:t>
        </w:r>
      </w:hyperlink>
    </w:p>
    <w:p>
      <w:pPr>
        <w:pStyle w:val="TextBody"/>
        <w:bidi w:val="0"/>
        <w:spacing w:lineRule="auto" w:line="288" w:before="0" w:after="100"/>
        <w:ind w:left="0" w:right="0" w:hanging="720"/>
        <w:jc w:val="left"/>
        <w:rPr/>
      </w:pPr>
      <w:hyperlink w:anchor="i105d86eced1c4a3794b2594af8df362d_4">
        <w:r>
          <w:rPr>
            <w:rStyle w:val="InternetLink"/>
          </w:rPr>
          <w:t>2.1</w:t>
        </w:r>
      </w:hyperlink>
      <w:hyperlink w:anchor="i105d86eced1c4a3794b2594af8df362d_4">
        <w:r>
          <w:rPr>
            <w:rStyle w:val="InternetLink"/>
          </w:rPr>
          <w:t>    </w:t>
        </w:r>
      </w:hyperlink>
      <w:hyperlink w:anchor="i105d86eced1c4a3794b2594af8df362d_4">
        <w:r>
          <w:rPr>
            <w:rStyle w:val="InternetLink"/>
          </w:rPr>
          <w:t>Definitions</w:t>
        </w:r>
      </w:hyperlink>
      <w:hyperlink w:anchor="i105d86eced1c4a3794b2594af8df362d_4">
        <w:r>
          <w:rPr>
            <w:rStyle w:val="InternetLink"/>
          </w:rPr>
          <w:t>    </w:t>
        </w:r>
      </w:hyperlink>
      <w:hyperlink w:anchor="i105d86eced1c4a3794b2594af8df362d_4">
        <w:r>
          <w:rPr>
            <w:rStyle w:val="InternetLink"/>
          </w:rPr>
          <w:t>1</w:t>
        </w:r>
      </w:hyperlink>
    </w:p>
    <w:p>
      <w:pPr>
        <w:pStyle w:val="TextBody"/>
        <w:bidi w:val="0"/>
        <w:spacing w:lineRule="auto" w:line="288" w:before="0" w:after="100"/>
        <w:ind w:left="0" w:right="0" w:hanging="720"/>
        <w:jc w:val="left"/>
        <w:rPr/>
      </w:pPr>
      <w:hyperlink w:anchor="i105d86eced1c4a3794b2594af8df362d_4">
        <w:r>
          <w:rPr>
            <w:rStyle w:val="InternetLink"/>
          </w:rPr>
          <w:t>2.2</w:t>
        </w:r>
      </w:hyperlink>
      <w:hyperlink w:anchor="i105d86eced1c4a3794b2594af8df362d_4">
        <w:r>
          <w:rPr>
            <w:rStyle w:val="InternetLink"/>
          </w:rPr>
          <w:t>    </w:t>
        </w:r>
      </w:hyperlink>
      <w:hyperlink w:anchor="i105d86eced1c4a3794b2594af8df362d_4">
        <w:r>
          <w:rPr>
            <w:rStyle w:val="InternetLink"/>
          </w:rPr>
          <w:t>Construction</w:t>
        </w:r>
      </w:hyperlink>
      <w:hyperlink w:anchor="i105d86eced1c4a3794b2594af8df362d_4">
        <w:r>
          <w:rPr>
            <w:rStyle w:val="InternetLink"/>
          </w:rPr>
          <w:t>    </w:t>
        </w:r>
      </w:hyperlink>
      <w:hyperlink w:anchor="i105d86eced1c4a3794b2594af8df362d_4">
        <w:r>
          <w:rPr>
            <w:rStyle w:val="InternetLink"/>
          </w:rPr>
          <w:t>7</w:t>
        </w:r>
      </w:hyperlink>
    </w:p>
    <w:p>
      <w:pPr>
        <w:pStyle w:val="TextBody"/>
        <w:bidi w:val="0"/>
        <w:spacing w:lineRule="auto" w:line="288" w:before="0" w:after="100"/>
        <w:ind w:left="0" w:right="0" w:hanging="720"/>
        <w:jc w:val="left"/>
        <w:rPr/>
      </w:pPr>
      <w:hyperlink w:anchor="i105d86eced1c4a3794b2594af8df362d_4">
        <w:r>
          <w:rPr>
            <w:rStyle w:val="InternetLink"/>
          </w:rPr>
          <w:t>3.</w:t>
        </w:r>
      </w:hyperlink>
      <w:hyperlink w:anchor="i105d86eced1c4a3794b2594af8df362d_4">
        <w:r>
          <w:rPr>
            <w:rStyle w:val="InternetLink"/>
          </w:rPr>
          <w:t>    </w:t>
        </w:r>
      </w:hyperlink>
      <w:hyperlink w:anchor="i105d86eced1c4a3794b2594af8df362d_4">
        <w:r>
          <w:rPr>
            <w:rStyle w:val="InternetLink"/>
          </w:rPr>
          <w:t>ADMINISTRATION.</w:t>
        </w:r>
      </w:hyperlink>
      <w:hyperlink w:anchor="i105d86eced1c4a3794b2594af8df362d_4">
        <w:r>
          <w:rPr>
            <w:rStyle w:val="InternetLink"/>
          </w:rPr>
          <w:t>    </w:t>
        </w:r>
      </w:hyperlink>
      <w:hyperlink w:anchor="i105d86eced1c4a3794b2594af8df362d_4">
        <w:r>
          <w:rPr>
            <w:rStyle w:val="InternetLink"/>
          </w:rPr>
          <w:t>7</w:t>
        </w:r>
      </w:hyperlink>
    </w:p>
    <w:p>
      <w:pPr>
        <w:pStyle w:val="TextBody"/>
        <w:bidi w:val="0"/>
        <w:spacing w:lineRule="auto" w:line="288" w:before="0" w:after="100"/>
        <w:ind w:left="0" w:right="0" w:hanging="720"/>
        <w:jc w:val="left"/>
        <w:rPr/>
      </w:pPr>
      <w:hyperlink w:anchor="i105d86eced1c4a3794b2594af8df362d_4">
        <w:r>
          <w:rPr>
            <w:rStyle w:val="InternetLink"/>
          </w:rPr>
          <w:t>3.1</w:t>
        </w:r>
      </w:hyperlink>
      <w:hyperlink w:anchor="i105d86eced1c4a3794b2594af8df362d_4">
        <w:r>
          <w:rPr>
            <w:rStyle w:val="InternetLink"/>
          </w:rPr>
          <w:t>    </w:t>
        </w:r>
      </w:hyperlink>
      <w:hyperlink w:anchor="i105d86eced1c4a3794b2594af8df362d_4">
        <w:r>
          <w:rPr>
            <w:rStyle w:val="InternetLink"/>
          </w:rPr>
          <w:t>Administration by the Committee</w:t>
        </w:r>
      </w:hyperlink>
      <w:hyperlink w:anchor="i105d86eced1c4a3794b2594af8df362d_4">
        <w:r>
          <w:rPr>
            <w:rStyle w:val="InternetLink"/>
          </w:rPr>
          <w:t>    </w:t>
        </w:r>
      </w:hyperlink>
      <w:hyperlink w:anchor="i105d86eced1c4a3794b2594af8df362d_4">
        <w:r>
          <w:rPr>
            <w:rStyle w:val="InternetLink"/>
          </w:rPr>
          <w:t>8</w:t>
        </w:r>
      </w:hyperlink>
    </w:p>
    <w:p>
      <w:pPr>
        <w:pStyle w:val="TextBody"/>
        <w:bidi w:val="0"/>
        <w:spacing w:lineRule="auto" w:line="288" w:before="0" w:after="100"/>
        <w:ind w:left="0" w:right="0" w:hanging="720"/>
        <w:jc w:val="left"/>
        <w:rPr/>
      </w:pPr>
      <w:hyperlink w:anchor="i105d86eced1c4a3794b2594af8df362d_4">
        <w:r>
          <w:rPr>
            <w:rStyle w:val="InternetLink"/>
          </w:rPr>
          <w:t>3.2</w:t>
        </w:r>
      </w:hyperlink>
      <w:hyperlink w:anchor="i105d86eced1c4a3794b2594af8df362d_4">
        <w:r>
          <w:rPr>
            <w:rStyle w:val="InternetLink"/>
          </w:rPr>
          <w:t>    </w:t>
        </w:r>
      </w:hyperlink>
      <w:hyperlink w:anchor="i105d86eced1c4a3794b2594af8df362d_4">
        <w:r>
          <w:rPr>
            <w:rStyle w:val="InternetLink"/>
          </w:rPr>
          <w:t>Authority of Officers</w:t>
        </w:r>
      </w:hyperlink>
      <w:hyperlink w:anchor="i105d86eced1c4a3794b2594af8df362d_4">
        <w:r>
          <w:rPr>
            <w:rStyle w:val="InternetLink"/>
          </w:rPr>
          <w:t>    </w:t>
        </w:r>
      </w:hyperlink>
      <w:hyperlink w:anchor="i105d86eced1c4a3794b2594af8df362d_4">
        <w:r>
          <w:rPr>
            <w:rStyle w:val="InternetLink"/>
          </w:rPr>
          <w:t>8</w:t>
        </w:r>
      </w:hyperlink>
    </w:p>
    <w:p>
      <w:pPr>
        <w:pStyle w:val="TextBody"/>
        <w:bidi w:val="0"/>
        <w:spacing w:lineRule="auto" w:line="288" w:before="0" w:after="100"/>
        <w:ind w:left="0" w:right="0" w:hanging="720"/>
        <w:jc w:val="left"/>
        <w:rPr/>
      </w:pPr>
      <w:hyperlink w:anchor="i105d86eced1c4a3794b2594af8df362d_4">
        <w:r>
          <w:rPr>
            <w:rStyle w:val="InternetLink"/>
          </w:rPr>
          <w:t>3.3</w:t>
        </w:r>
      </w:hyperlink>
      <w:hyperlink w:anchor="i105d86eced1c4a3794b2594af8df362d_4">
        <w:r>
          <w:rPr>
            <w:rStyle w:val="InternetLink"/>
          </w:rPr>
          <w:t>    </w:t>
        </w:r>
      </w:hyperlink>
      <w:hyperlink w:anchor="i105d86eced1c4a3794b2594af8df362d_4">
        <w:r>
          <w:rPr>
            <w:rStyle w:val="InternetLink"/>
          </w:rPr>
          <w:t>Administration with Respect to Insiders</w:t>
        </w:r>
      </w:hyperlink>
      <w:hyperlink w:anchor="i105d86eced1c4a3794b2594af8df362d_4">
        <w:r>
          <w:rPr>
            <w:rStyle w:val="InternetLink"/>
          </w:rPr>
          <w:t>    </w:t>
        </w:r>
      </w:hyperlink>
      <w:hyperlink w:anchor="i105d86eced1c4a3794b2594af8df362d_4">
        <w:r>
          <w:rPr>
            <w:rStyle w:val="InternetLink"/>
          </w:rPr>
          <w:t>8</w:t>
        </w:r>
      </w:hyperlink>
    </w:p>
    <w:p>
      <w:pPr>
        <w:pStyle w:val="TextBody"/>
        <w:bidi w:val="0"/>
        <w:spacing w:lineRule="auto" w:line="288" w:before="0" w:after="100"/>
        <w:ind w:left="0" w:right="0" w:hanging="720"/>
        <w:jc w:val="left"/>
        <w:rPr/>
      </w:pPr>
      <w:hyperlink w:anchor="i105d86eced1c4a3794b2594af8df362d_4">
        <w:r>
          <w:rPr>
            <w:rStyle w:val="InternetLink"/>
          </w:rPr>
          <w:t>3.4</w:t>
        </w:r>
      </w:hyperlink>
      <w:hyperlink w:anchor="i105d86eced1c4a3794b2594af8df362d_4">
        <w:r>
          <w:rPr>
            <w:rStyle w:val="InternetLink"/>
          </w:rPr>
          <w:t>    </w:t>
        </w:r>
      </w:hyperlink>
      <w:hyperlink w:anchor="i105d86eced1c4a3794b2594af8df362d_4">
        <w:r>
          <w:rPr>
            <w:rStyle w:val="InternetLink"/>
          </w:rPr>
          <w:t>Powers of the Committee</w:t>
        </w:r>
      </w:hyperlink>
      <w:hyperlink w:anchor="i105d86eced1c4a3794b2594af8df362d_4">
        <w:r>
          <w:rPr>
            <w:rStyle w:val="InternetLink"/>
          </w:rPr>
          <w:t>    </w:t>
        </w:r>
      </w:hyperlink>
      <w:hyperlink w:anchor="i105d86eced1c4a3794b2594af8df362d_4">
        <w:r>
          <w:rPr>
            <w:rStyle w:val="InternetLink"/>
          </w:rPr>
          <w:t>8</w:t>
        </w:r>
      </w:hyperlink>
    </w:p>
    <w:p>
      <w:pPr>
        <w:pStyle w:val="TextBody"/>
        <w:bidi w:val="0"/>
        <w:spacing w:lineRule="auto" w:line="288" w:before="0" w:after="100"/>
        <w:ind w:left="0" w:right="0" w:hanging="720"/>
        <w:jc w:val="left"/>
        <w:rPr/>
      </w:pPr>
      <w:hyperlink w:anchor="i105d86eced1c4a3794b2594af8df362d_4">
        <w:r>
          <w:rPr>
            <w:rStyle w:val="InternetLink"/>
          </w:rPr>
          <w:t>3.5</w:t>
        </w:r>
      </w:hyperlink>
      <w:hyperlink w:anchor="i105d86eced1c4a3794b2594af8df362d_4">
        <w:r>
          <w:rPr>
            <w:rStyle w:val="InternetLink"/>
          </w:rPr>
          <w:t>    </w:t>
        </w:r>
      </w:hyperlink>
      <w:hyperlink w:anchor="i105d86eced1c4a3794b2594af8df362d_4">
        <w:r>
          <w:rPr>
            <w:rStyle w:val="InternetLink"/>
          </w:rPr>
          <w:t>Option or SAR Repricing</w:t>
        </w:r>
      </w:hyperlink>
      <w:hyperlink w:anchor="i105d86eced1c4a3794b2594af8df362d_4">
        <w:r>
          <w:rPr>
            <w:rStyle w:val="InternetLink"/>
          </w:rPr>
          <w:t>    </w:t>
        </w:r>
      </w:hyperlink>
      <w:hyperlink w:anchor="i105d86eced1c4a3794b2594af8df362d_4">
        <w:r>
          <w:rPr>
            <w:rStyle w:val="InternetLink"/>
          </w:rPr>
          <w:t>9</w:t>
        </w:r>
      </w:hyperlink>
    </w:p>
    <w:p>
      <w:pPr>
        <w:pStyle w:val="TextBody"/>
        <w:bidi w:val="0"/>
        <w:spacing w:lineRule="auto" w:line="288" w:before="0" w:after="100"/>
        <w:ind w:left="0" w:right="0" w:hanging="720"/>
        <w:jc w:val="left"/>
        <w:rPr/>
      </w:pPr>
      <w:hyperlink w:anchor="i105d86eced1c4a3794b2594af8df362d_4">
        <w:r>
          <w:rPr>
            <w:rStyle w:val="InternetLink"/>
          </w:rPr>
          <w:t>3.6</w:t>
        </w:r>
      </w:hyperlink>
      <w:hyperlink w:anchor="i105d86eced1c4a3794b2594af8df362d_4">
        <w:r>
          <w:rPr>
            <w:rStyle w:val="InternetLink"/>
          </w:rPr>
          <w:t>    </w:t>
        </w:r>
      </w:hyperlink>
      <w:hyperlink w:anchor="i105d86eced1c4a3794b2594af8df362d_4">
        <w:r>
          <w:rPr>
            <w:rStyle w:val="InternetLink"/>
          </w:rPr>
          <w:t>Indemnification</w:t>
        </w:r>
      </w:hyperlink>
      <w:hyperlink w:anchor="i105d86eced1c4a3794b2594af8df362d_4">
        <w:r>
          <w:rPr>
            <w:rStyle w:val="InternetLink"/>
          </w:rPr>
          <w:t>    </w:t>
        </w:r>
      </w:hyperlink>
      <w:hyperlink w:anchor="i105d86eced1c4a3794b2594af8df362d_4">
        <w:r>
          <w:rPr>
            <w:rStyle w:val="InternetLink"/>
          </w:rPr>
          <w:t>9</w:t>
        </w:r>
      </w:hyperlink>
    </w:p>
    <w:p>
      <w:pPr>
        <w:pStyle w:val="TextBody"/>
        <w:bidi w:val="0"/>
        <w:spacing w:lineRule="auto" w:line="288" w:before="0" w:after="100"/>
        <w:ind w:left="0" w:right="0" w:hanging="720"/>
        <w:jc w:val="left"/>
        <w:rPr/>
      </w:pPr>
      <w:hyperlink w:anchor="i105d86eced1c4a3794b2594af8df362d_4">
        <w:r>
          <w:rPr>
            <w:rStyle w:val="InternetLink"/>
          </w:rPr>
          <w:t>4.</w:t>
        </w:r>
      </w:hyperlink>
      <w:hyperlink w:anchor="i105d86eced1c4a3794b2594af8df362d_4">
        <w:r>
          <w:rPr>
            <w:rStyle w:val="InternetLink"/>
          </w:rPr>
          <w:t>    </w:t>
        </w:r>
      </w:hyperlink>
      <w:hyperlink w:anchor="i105d86eced1c4a3794b2594af8df362d_4">
        <w:r>
          <w:rPr>
            <w:rStyle w:val="InternetLink"/>
          </w:rPr>
          <w:t>SHARES SUBJECT TO PLAN.</w:t>
        </w:r>
      </w:hyperlink>
      <w:hyperlink w:anchor="i105d86eced1c4a3794b2594af8df362d_4">
        <w:r>
          <w:rPr>
            <w:rStyle w:val="InternetLink"/>
          </w:rPr>
          <w:t>    </w:t>
        </w:r>
      </w:hyperlink>
      <w:hyperlink w:anchor="i105d86eced1c4a3794b2594af8df362d_4">
        <w:r>
          <w:rPr>
            <w:rStyle w:val="InternetLink"/>
          </w:rPr>
          <w:t>10</w:t>
        </w:r>
      </w:hyperlink>
    </w:p>
    <w:p>
      <w:pPr>
        <w:pStyle w:val="TextBody"/>
        <w:bidi w:val="0"/>
        <w:spacing w:lineRule="auto" w:line="288" w:before="0" w:after="100"/>
        <w:ind w:left="0" w:right="0" w:hanging="720"/>
        <w:jc w:val="left"/>
        <w:rPr/>
      </w:pPr>
      <w:hyperlink w:anchor="i105d86eced1c4a3794b2594af8df362d_4">
        <w:r>
          <w:rPr>
            <w:rStyle w:val="InternetLink"/>
          </w:rPr>
          <w:t>4.1</w:t>
        </w:r>
      </w:hyperlink>
      <w:hyperlink w:anchor="i105d86eced1c4a3794b2594af8df362d_4">
        <w:r>
          <w:rPr>
            <w:rStyle w:val="InternetLink"/>
          </w:rPr>
          <w:t>    </w:t>
        </w:r>
      </w:hyperlink>
      <w:hyperlink w:anchor="i105d86eced1c4a3794b2594af8df362d_4">
        <w:r>
          <w:rPr>
            <w:rStyle w:val="InternetLink"/>
          </w:rPr>
          <w:t>Maximum Number of Shares Issuable</w:t>
        </w:r>
      </w:hyperlink>
      <w:hyperlink w:anchor="i105d86eced1c4a3794b2594af8df362d_4">
        <w:r>
          <w:rPr>
            <w:rStyle w:val="InternetLink"/>
          </w:rPr>
          <w:t>    </w:t>
        </w:r>
      </w:hyperlink>
      <w:hyperlink w:anchor="i105d86eced1c4a3794b2594af8df362d_4">
        <w:r>
          <w:rPr>
            <w:rStyle w:val="InternetLink"/>
          </w:rPr>
          <w:t>10</w:t>
        </w:r>
      </w:hyperlink>
    </w:p>
    <w:p>
      <w:pPr>
        <w:pStyle w:val="TextBody"/>
        <w:bidi w:val="0"/>
        <w:spacing w:lineRule="auto" w:line="288" w:before="0" w:after="100"/>
        <w:ind w:left="0" w:right="0" w:hanging="720"/>
        <w:jc w:val="left"/>
        <w:rPr/>
      </w:pPr>
      <w:hyperlink w:anchor="i105d86eced1c4a3794b2594af8df362d_4">
        <w:r>
          <w:rPr>
            <w:rStyle w:val="InternetLink"/>
          </w:rPr>
          <w:t>4.2</w:t>
        </w:r>
      </w:hyperlink>
      <w:hyperlink w:anchor="i105d86eced1c4a3794b2594af8df362d_4">
        <w:r>
          <w:rPr>
            <w:rStyle w:val="InternetLink"/>
          </w:rPr>
          <w:t>    </w:t>
        </w:r>
      </w:hyperlink>
      <w:hyperlink w:anchor="i105d86eced1c4a3794b2594af8df362d_4">
        <w:r>
          <w:rPr>
            <w:rStyle w:val="InternetLink"/>
          </w:rPr>
          <w:t>Share Counting</w:t>
        </w:r>
      </w:hyperlink>
      <w:hyperlink w:anchor="i105d86eced1c4a3794b2594af8df362d_4">
        <w:r>
          <w:rPr>
            <w:rStyle w:val="InternetLink"/>
          </w:rPr>
          <w:t>    </w:t>
        </w:r>
      </w:hyperlink>
      <w:hyperlink w:anchor="i105d86eced1c4a3794b2594af8df362d_4">
        <w:r>
          <w:rPr>
            <w:rStyle w:val="InternetLink"/>
          </w:rPr>
          <w:t>10</w:t>
        </w:r>
      </w:hyperlink>
    </w:p>
    <w:p>
      <w:pPr>
        <w:pStyle w:val="TextBody"/>
        <w:bidi w:val="0"/>
        <w:spacing w:lineRule="auto" w:line="288" w:before="0" w:after="100"/>
        <w:ind w:left="0" w:right="0" w:hanging="720"/>
        <w:jc w:val="left"/>
        <w:rPr/>
      </w:pPr>
      <w:hyperlink w:anchor="i105d86eced1c4a3794b2594af8df362d_4">
        <w:r>
          <w:rPr>
            <w:rStyle w:val="InternetLink"/>
          </w:rPr>
          <w:t>4.3</w:t>
        </w:r>
      </w:hyperlink>
      <w:hyperlink w:anchor="i105d86eced1c4a3794b2594af8df362d_4">
        <w:r>
          <w:rPr>
            <w:rStyle w:val="InternetLink"/>
          </w:rPr>
          <w:t>    </w:t>
        </w:r>
      </w:hyperlink>
      <w:hyperlink w:anchor="i105d86eced1c4a3794b2594af8df362d_4">
        <w:r>
          <w:rPr>
            <w:rStyle w:val="InternetLink"/>
          </w:rPr>
          <w:t>Adjustments for Changes in Capital Structure</w:t>
        </w:r>
      </w:hyperlink>
      <w:hyperlink w:anchor="i105d86eced1c4a3794b2594af8df362d_4">
        <w:r>
          <w:rPr>
            <w:rStyle w:val="InternetLink"/>
          </w:rPr>
          <w:t>    </w:t>
        </w:r>
      </w:hyperlink>
      <w:hyperlink w:anchor="i105d86eced1c4a3794b2594af8df362d_4">
        <w:r>
          <w:rPr>
            <w:rStyle w:val="InternetLink"/>
          </w:rPr>
          <w:t>10</w:t>
        </w:r>
      </w:hyperlink>
    </w:p>
    <w:p>
      <w:pPr>
        <w:pStyle w:val="TextBody"/>
        <w:bidi w:val="0"/>
        <w:spacing w:lineRule="auto" w:line="288" w:before="0" w:after="100"/>
        <w:ind w:left="0" w:right="0" w:hanging="720"/>
        <w:jc w:val="left"/>
        <w:rPr/>
      </w:pPr>
      <w:hyperlink w:anchor="i105d86eced1c4a3794b2594af8df362d_4">
        <w:r>
          <w:rPr>
            <w:rStyle w:val="InternetLink"/>
          </w:rPr>
          <w:t>4.4</w:t>
        </w:r>
      </w:hyperlink>
      <w:hyperlink w:anchor="i105d86eced1c4a3794b2594af8df362d_4">
        <w:r>
          <w:rPr>
            <w:rStyle w:val="InternetLink"/>
          </w:rPr>
          <w:t>    </w:t>
        </w:r>
      </w:hyperlink>
      <w:hyperlink w:anchor="i105d86eced1c4a3794b2594af8df362d_4">
        <w:r>
          <w:rPr>
            <w:rStyle w:val="InternetLink"/>
          </w:rPr>
          <w:t>Assumption or Substitution of Awards</w:t>
        </w:r>
      </w:hyperlink>
      <w:hyperlink w:anchor="i105d86eced1c4a3794b2594af8df362d_4">
        <w:r>
          <w:rPr>
            <w:rStyle w:val="InternetLink"/>
          </w:rPr>
          <w:t>    </w:t>
        </w:r>
      </w:hyperlink>
      <w:hyperlink w:anchor="i105d86eced1c4a3794b2594af8df362d_4">
        <w:r>
          <w:rPr>
            <w:rStyle w:val="InternetLink"/>
          </w:rPr>
          <w:t>11</w:t>
        </w:r>
      </w:hyperlink>
    </w:p>
    <w:p>
      <w:pPr>
        <w:pStyle w:val="TextBody"/>
        <w:bidi w:val="0"/>
        <w:spacing w:lineRule="auto" w:line="288" w:before="0" w:after="100"/>
        <w:ind w:left="0" w:right="0" w:hanging="720"/>
        <w:jc w:val="left"/>
        <w:rPr/>
      </w:pPr>
      <w:hyperlink w:anchor="i105d86eced1c4a3794b2594af8df362d_4">
        <w:r>
          <w:rPr>
            <w:rStyle w:val="InternetLink"/>
          </w:rPr>
          <w:t>5.</w:t>
        </w:r>
      </w:hyperlink>
      <w:hyperlink w:anchor="i105d86eced1c4a3794b2594af8df362d_4">
        <w:r>
          <w:rPr>
            <w:rStyle w:val="InternetLink"/>
          </w:rPr>
          <w:t>    </w:t>
        </w:r>
      </w:hyperlink>
      <w:hyperlink w:anchor="i105d86eced1c4a3794b2594af8df362d_4">
        <w:r>
          <w:rPr>
            <w:rStyle w:val="InternetLink"/>
          </w:rPr>
          <w:t>ELIGIBILITY, PARTICIPATION AND AWARD LIMITATIONS.</w:t>
        </w:r>
      </w:hyperlink>
      <w:hyperlink w:anchor="i105d86eced1c4a3794b2594af8df362d_4">
        <w:r>
          <w:rPr>
            <w:rStyle w:val="InternetLink"/>
          </w:rPr>
          <w:t>    </w:t>
        </w:r>
      </w:hyperlink>
      <w:hyperlink w:anchor="i105d86eced1c4a3794b2594af8df362d_4">
        <w:r>
          <w:rPr>
            <w:rStyle w:val="InternetLink"/>
          </w:rPr>
          <w:t>11</w:t>
        </w:r>
      </w:hyperlink>
    </w:p>
    <w:p>
      <w:pPr>
        <w:pStyle w:val="TextBody"/>
        <w:bidi w:val="0"/>
        <w:spacing w:lineRule="auto" w:line="288" w:before="0" w:after="100"/>
        <w:ind w:left="0" w:right="0" w:hanging="720"/>
        <w:jc w:val="left"/>
        <w:rPr/>
      </w:pPr>
      <w:hyperlink w:anchor="i105d86eced1c4a3794b2594af8df362d_4">
        <w:r>
          <w:rPr>
            <w:rStyle w:val="InternetLink"/>
          </w:rPr>
          <w:t>5.1</w:t>
        </w:r>
      </w:hyperlink>
      <w:hyperlink w:anchor="i105d86eced1c4a3794b2594af8df362d_4">
        <w:r>
          <w:rPr>
            <w:rStyle w:val="InternetLink"/>
          </w:rPr>
          <w:t>    </w:t>
        </w:r>
      </w:hyperlink>
      <w:hyperlink w:anchor="i105d86eced1c4a3794b2594af8df362d_4">
        <w:r>
          <w:rPr>
            <w:rStyle w:val="InternetLink"/>
          </w:rPr>
          <w:t>Persons Eligible for Awards</w:t>
        </w:r>
      </w:hyperlink>
      <w:hyperlink w:anchor="i105d86eced1c4a3794b2594af8df362d_4">
        <w:r>
          <w:rPr>
            <w:rStyle w:val="InternetLink"/>
          </w:rPr>
          <w:t>    </w:t>
        </w:r>
      </w:hyperlink>
      <w:hyperlink w:anchor="i105d86eced1c4a3794b2594af8df362d_4">
        <w:r>
          <w:rPr>
            <w:rStyle w:val="InternetLink"/>
          </w:rPr>
          <w:t>11</w:t>
        </w:r>
      </w:hyperlink>
    </w:p>
    <w:p>
      <w:pPr>
        <w:pStyle w:val="TextBody"/>
        <w:bidi w:val="0"/>
        <w:spacing w:lineRule="auto" w:line="288" w:before="0" w:after="100"/>
        <w:ind w:left="0" w:right="0" w:hanging="720"/>
        <w:jc w:val="left"/>
        <w:rPr/>
      </w:pPr>
      <w:hyperlink w:anchor="i105d86eced1c4a3794b2594af8df362d_4">
        <w:r>
          <w:rPr>
            <w:rStyle w:val="InternetLink"/>
          </w:rPr>
          <w:t>5.2</w:t>
        </w:r>
      </w:hyperlink>
      <w:hyperlink w:anchor="i105d86eced1c4a3794b2594af8df362d_4">
        <w:r>
          <w:rPr>
            <w:rStyle w:val="InternetLink"/>
          </w:rPr>
          <w:t>    </w:t>
        </w:r>
      </w:hyperlink>
      <w:hyperlink w:anchor="i105d86eced1c4a3794b2594af8df362d_4">
        <w:r>
          <w:rPr>
            <w:rStyle w:val="InternetLink"/>
          </w:rPr>
          <w:t>Participation in the Plan</w:t>
        </w:r>
      </w:hyperlink>
      <w:hyperlink w:anchor="i105d86eced1c4a3794b2594af8df362d_4">
        <w:r>
          <w:rPr>
            <w:rStyle w:val="InternetLink"/>
          </w:rPr>
          <w:t>    </w:t>
        </w:r>
      </w:hyperlink>
      <w:hyperlink w:anchor="i105d86eced1c4a3794b2594af8df362d_4">
        <w:r>
          <w:rPr>
            <w:rStyle w:val="InternetLink"/>
          </w:rPr>
          <w:t>11</w:t>
        </w:r>
      </w:hyperlink>
    </w:p>
    <w:p>
      <w:pPr>
        <w:pStyle w:val="TextBody"/>
        <w:bidi w:val="0"/>
        <w:spacing w:lineRule="auto" w:line="288" w:before="0" w:after="100"/>
        <w:ind w:left="0" w:right="0" w:hanging="720"/>
        <w:jc w:val="left"/>
        <w:rPr/>
      </w:pPr>
      <w:hyperlink w:anchor="i105d86eced1c4a3794b2594af8df362d_4">
        <w:r>
          <w:rPr>
            <w:rStyle w:val="InternetLink"/>
          </w:rPr>
          <w:t>5.3</w:t>
        </w:r>
      </w:hyperlink>
      <w:hyperlink w:anchor="i105d86eced1c4a3794b2594af8df362d_4">
        <w:r>
          <w:rPr>
            <w:rStyle w:val="InternetLink"/>
          </w:rPr>
          <w:t>    </w:t>
        </w:r>
      </w:hyperlink>
      <w:hyperlink w:anchor="i105d86eced1c4a3794b2594af8df362d_4">
        <w:r>
          <w:rPr>
            <w:rStyle w:val="InternetLink"/>
          </w:rPr>
          <w:t>Incentive Stock Option Limitations</w:t>
        </w:r>
      </w:hyperlink>
      <w:hyperlink w:anchor="i105d86eced1c4a3794b2594af8df362d_4">
        <w:r>
          <w:rPr>
            <w:rStyle w:val="InternetLink"/>
          </w:rPr>
          <w:t>    </w:t>
        </w:r>
      </w:hyperlink>
      <w:hyperlink w:anchor="i105d86eced1c4a3794b2594af8df362d_4">
        <w:r>
          <w:rPr>
            <w:rStyle w:val="InternetLink"/>
          </w:rPr>
          <w:t>11</w:t>
        </w:r>
      </w:hyperlink>
    </w:p>
    <w:p>
      <w:pPr>
        <w:pStyle w:val="TextBody"/>
        <w:bidi w:val="0"/>
        <w:spacing w:lineRule="auto" w:line="288" w:before="0" w:after="100"/>
        <w:ind w:left="0" w:right="0" w:hanging="720"/>
        <w:jc w:val="left"/>
        <w:rPr/>
      </w:pPr>
      <w:hyperlink w:anchor="i105d86eced1c4a3794b2594af8df362d_4">
        <w:r>
          <w:rPr>
            <w:rStyle w:val="InternetLink"/>
          </w:rPr>
          <w:t>5.4</w:t>
        </w:r>
      </w:hyperlink>
      <w:hyperlink w:anchor="i105d86eced1c4a3794b2594af8df362d_4">
        <w:r>
          <w:rPr>
            <w:rStyle w:val="InternetLink"/>
          </w:rPr>
          <w:t>    </w:t>
        </w:r>
      </w:hyperlink>
      <w:hyperlink w:anchor="i105d86eced1c4a3794b2594af8df362d_4">
        <w:r>
          <w:rPr>
            <w:rStyle w:val="InternetLink"/>
          </w:rPr>
          <w:t>Nonemployee Director Award Limit</w:t>
        </w:r>
      </w:hyperlink>
      <w:hyperlink w:anchor="i105d86eced1c4a3794b2594af8df362d_4">
        <w:r>
          <w:rPr>
            <w:rStyle w:val="InternetLink"/>
          </w:rPr>
          <w:t>    </w:t>
        </w:r>
      </w:hyperlink>
      <w:hyperlink w:anchor="i105d86eced1c4a3794b2594af8df362d_4">
        <w:r>
          <w:rPr>
            <w:rStyle w:val="InternetLink"/>
          </w:rPr>
          <w:t>12</w:t>
        </w:r>
      </w:hyperlink>
    </w:p>
    <w:p>
      <w:pPr>
        <w:pStyle w:val="TextBody"/>
        <w:bidi w:val="0"/>
        <w:spacing w:lineRule="auto" w:line="288" w:before="0" w:after="100"/>
        <w:ind w:left="0" w:right="0" w:hanging="720"/>
        <w:jc w:val="left"/>
        <w:rPr/>
      </w:pPr>
      <w:hyperlink w:anchor="i105d86eced1c4a3794b2594af8df362d_4">
        <w:r>
          <w:rPr>
            <w:rStyle w:val="InternetLink"/>
          </w:rPr>
          <w:t>6.</w:t>
        </w:r>
      </w:hyperlink>
      <w:hyperlink w:anchor="i105d86eced1c4a3794b2594af8df362d_4">
        <w:r>
          <w:rPr>
            <w:rStyle w:val="InternetLink"/>
          </w:rPr>
          <w:t>    </w:t>
        </w:r>
      </w:hyperlink>
      <w:hyperlink w:anchor="i105d86eced1c4a3794b2594af8df362d_4">
        <w:r>
          <w:rPr>
            <w:rStyle w:val="InternetLink"/>
          </w:rPr>
          <w:t>STOCK OPTIONS.</w:t>
        </w:r>
      </w:hyperlink>
      <w:hyperlink w:anchor="i105d86eced1c4a3794b2594af8df362d_4">
        <w:r>
          <w:rPr>
            <w:rStyle w:val="InternetLink"/>
          </w:rPr>
          <w:t>    </w:t>
        </w:r>
      </w:hyperlink>
      <w:hyperlink w:anchor="i105d86eced1c4a3794b2594af8df362d_4">
        <w:r>
          <w:rPr>
            <w:rStyle w:val="InternetLink"/>
          </w:rPr>
          <w:t>12</w:t>
        </w:r>
      </w:hyperlink>
    </w:p>
    <w:p>
      <w:pPr>
        <w:pStyle w:val="TextBody"/>
        <w:bidi w:val="0"/>
        <w:spacing w:lineRule="auto" w:line="288" w:before="0" w:after="100"/>
        <w:ind w:left="0" w:right="0" w:hanging="720"/>
        <w:jc w:val="left"/>
        <w:rPr/>
      </w:pPr>
      <w:hyperlink w:anchor="i105d86eced1c4a3794b2594af8df362d_4">
        <w:r>
          <w:rPr>
            <w:rStyle w:val="InternetLink"/>
          </w:rPr>
          <w:t>6.1</w:t>
        </w:r>
      </w:hyperlink>
      <w:hyperlink w:anchor="i105d86eced1c4a3794b2594af8df362d_4">
        <w:r>
          <w:rPr>
            <w:rStyle w:val="InternetLink"/>
          </w:rPr>
          <w:t>    </w:t>
        </w:r>
      </w:hyperlink>
      <w:hyperlink w:anchor="i105d86eced1c4a3794b2594af8df362d_4">
        <w:r>
          <w:rPr>
            <w:rStyle w:val="InternetLink"/>
          </w:rPr>
          <w:t>Exercise Price</w:t>
        </w:r>
      </w:hyperlink>
      <w:hyperlink w:anchor="i105d86eced1c4a3794b2594af8df362d_4">
        <w:r>
          <w:rPr>
            <w:rStyle w:val="InternetLink"/>
          </w:rPr>
          <w:t>    </w:t>
        </w:r>
      </w:hyperlink>
      <w:hyperlink w:anchor="i105d86eced1c4a3794b2594af8df362d_4">
        <w:r>
          <w:rPr>
            <w:rStyle w:val="InternetLink"/>
          </w:rPr>
          <w:t>12</w:t>
        </w:r>
      </w:hyperlink>
    </w:p>
    <w:p>
      <w:pPr>
        <w:pStyle w:val="TextBody"/>
        <w:bidi w:val="0"/>
        <w:spacing w:lineRule="auto" w:line="288" w:before="0" w:after="100"/>
        <w:ind w:left="0" w:right="0" w:hanging="720"/>
        <w:jc w:val="left"/>
        <w:rPr/>
      </w:pPr>
      <w:hyperlink w:anchor="i105d86eced1c4a3794b2594af8df362d_4">
        <w:r>
          <w:rPr>
            <w:rStyle w:val="InternetLink"/>
          </w:rPr>
          <w:t>6.2</w:t>
        </w:r>
      </w:hyperlink>
      <w:hyperlink w:anchor="i105d86eced1c4a3794b2594af8df362d_4">
        <w:r>
          <w:rPr>
            <w:rStyle w:val="InternetLink"/>
          </w:rPr>
          <w:t>    </w:t>
        </w:r>
      </w:hyperlink>
      <w:hyperlink w:anchor="i105d86eced1c4a3794b2594af8df362d_4">
        <w:r>
          <w:rPr>
            <w:rStyle w:val="InternetLink"/>
          </w:rPr>
          <w:t>Exercisability and Term of Options</w:t>
        </w:r>
      </w:hyperlink>
      <w:hyperlink w:anchor="i105d86eced1c4a3794b2594af8df362d_4">
        <w:r>
          <w:rPr>
            <w:rStyle w:val="InternetLink"/>
          </w:rPr>
          <w:t>    </w:t>
        </w:r>
      </w:hyperlink>
      <w:hyperlink w:anchor="i105d86eced1c4a3794b2594af8df362d_4">
        <w:r>
          <w:rPr>
            <w:rStyle w:val="InternetLink"/>
          </w:rPr>
          <w:t>12</w:t>
        </w:r>
      </w:hyperlink>
    </w:p>
    <w:p>
      <w:pPr>
        <w:pStyle w:val="TextBody"/>
        <w:bidi w:val="0"/>
        <w:spacing w:lineRule="auto" w:line="288" w:before="0" w:after="100"/>
        <w:ind w:left="0" w:right="0" w:hanging="720"/>
        <w:jc w:val="left"/>
        <w:rPr/>
      </w:pPr>
      <w:hyperlink w:anchor="i105d86eced1c4a3794b2594af8df362d_4">
        <w:r>
          <w:rPr>
            <w:rStyle w:val="InternetLink"/>
          </w:rPr>
          <w:t>6.3</w:t>
        </w:r>
      </w:hyperlink>
      <w:hyperlink w:anchor="i105d86eced1c4a3794b2594af8df362d_4">
        <w:r>
          <w:rPr>
            <w:rStyle w:val="InternetLink"/>
          </w:rPr>
          <w:t>    </w:t>
        </w:r>
      </w:hyperlink>
      <w:hyperlink w:anchor="i105d86eced1c4a3794b2594af8df362d_4">
        <w:r>
          <w:rPr>
            <w:rStyle w:val="InternetLink"/>
          </w:rPr>
          <w:t>Payment of Exercise Price</w:t>
        </w:r>
      </w:hyperlink>
      <w:hyperlink w:anchor="i105d86eced1c4a3794b2594af8df362d_4">
        <w:r>
          <w:rPr>
            <w:rStyle w:val="InternetLink"/>
          </w:rPr>
          <w:t>    </w:t>
        </w:r>
      </w:hyperlink>
      <w:hyperlink w:anchor="i105d86eced1c4a3794b2594af8df362d_4">
        <w:r>
          <w:rPr>
            <w:rStyle w:val="InternetLink"/>
          </w:rPr>
          <w:t>13</w:t>
        </w:r>
      </w:hyperlink>
    </w:p>
    <w:p>
      <w:pPr>
        <w:pStyle w:val="TextBody"/>
        <w:bidi w:val="0"/>
        <w:spacing w:lineRule="auto" w:line="288" w:before="0" w:after="100"/>
        <w:ind w:left="0" w:right="0" w:hanging="720"/>
        <w:jc w:val="left"/>
        <w:rPr/>
      </w:pPr>
      <w:hyperlink w:anchor="i105d86eced1c4a3794b2594af8df362d_4">
        <w:r>
          <w:rPr>
            <w:rStyle w:val="InternetLink"/>
          </w:rPr>
          <w:t>6.4</w:t>
        </w:r>
      </w:hyperlink>
      <w:hyperlink w:anchor="i105d86eced1c4a3794b2594af8df362d_4">
        <w:r>
          <w:rPr>
            <w:rStyle w:val="InternetLink"/>
          </w:rPr>
          <w:t>    </w:t>
        </w:r>
      </w:hyperlink>
      <w:hyperlink w:anchor="i105d86eced1c4a3794b2594af8df362d_4">
        <w:r>
          <w:rPr>
            <w:rStyle w:val="InternetLink"/>
          </w:rPr>
          <w:t>Effect of Termination of Service</w:t>
        </w:r>
      </w:hyperlink>
      <w:hyperlink w:anchor="i105d86eced1c4a3794b2594af8df362d_4">
        <w:r>
          <w:rPr>
            <w:rStyle w:val="InternetLink"/>
          </w:rPr>
          <w:t>    </w:t>
        </w:r>
      </w:hyperlink>
      <w:hyperlink w:anchor="i105d86eced1c4a3794b2594af8df362d_4">
        <w:r>
          <w:rPr>
            <w:rStyle w:val="InternetLink"/>
          </w:rPr>
          <w:t>14</w:t>
        </w:r>
      </w:hyperlink>
    </w:p>
    <w:p>
      <w:pPr>
        <w:pStyle w:val="TextBody"/>
        <w:bidi w:val="0"/>
        <w:spacing w:lineRule="auto" w:line="288" w:before="0" w:after="100"/>
        <w:ind w:left="0" w:right="0" w:hanging="720"/>
        <w:jc w:val="left"/>
        <w:rPr/>
      </w:pPr>
      <w:hyperlink w:anchor="i105d86eced1c4a3794b2594af8df362d_4">
        <w:r>
          <w:rPr>
            <w:rStyle w:val="InternetLink"/>
          </w:rPr>
          <w:t>6.5</w:t>
        </w:r>
      </w:hyperlink>
      <w:hyperlink w:anchor="i105d86eced1c4a3794b2594af8df362d_4">
        <w:r>
          <w:rPr>
            <w:rStyle w:val="InternetLink"/>
          </w:rPr>
          <w:t>    </w:t>
        </w:r>
      </w:hyperlink>
      <w:hyperlink w:anchor="i105d86eced1c4a3794b2594af8df362d_4">
        <w:r>
          <w:rPr>
            <w:rStyle w:val="InternetLink"/>
          </w:rPr>
          <w:t>Transferability of Options</w:t>
        </w:r>
      </w:hyperlink>
      <w:hyperlink w:anchor="i105d86eced1c4a3794b2594af8df362d_4">
        <w:r>
          <w:rPr>
            <w:rStyle w:val="InternetLink"/>
          </w:rPr>
          <w:t>    </w:t>
        </w:r>
      </w:hyperlink>
      <w:hyperlink w:anchor="i105d86eced1c4a3794b2594af8df362d_4">
        <w:r>
          <w:rPr>
            <w:rStyle w:val="InternetLink"/>
          </w:rPr>
          <w:t>14</w:t>
        </w:r>
      </w:hyperlink>
    </w:p>
    <w:p>
      <w:pPr>
        <w:pStyle w:val="TextBody"/>
        <w:bidi w:val="0"/>
        <w:spacing w:lineRule="auto" w:line="288" w:before="0" w:after="100"/>
        <w:ind w:left="0" w:right="0" w:hanging="720"/>
        <w:jc w:val="left"/>
        <w:rPr/>
      </w:pPr>
      <w:hyperlink w:anchor="i105d86eced1c4a3794b2594af8df362d_4">
        <w:r>
          <w:rPr>
            <w:rStyle w:val="InternetLink"/>
          </w:rPr>
          <w:t>7.</w:t>
        </w:r>
      </w:hyperlink>
      <w:hyperlink w:anchor="i105d86eced1c4a3794b2594af8df362d_4">
        <w:r>
          <w:rPr>
            <w:rStyle w:val="InternetLink"/>
          </w:rPr>
          <w:t>    </w:t>
        </w:r>
      </w:hyperlink>
      <w:hyperlink w:anchor="i105d86eced1c4a3794b2594af8df362d_4">
        <w:r>
          <w:rPr>
            <w:rStyle w:val="InternetLink"/>
          </w:rPr>
          <w:t>STOCK APPRECIATION RIGHTS.</w:t>
        </w:r>
      </w:hyperlink>
      <w:hyperlink w:anchor="i105d86eced1c4a3794b2594af8df362d_4">
        <w:r>
          <w:rPr>
            <w:rStyle w:val="InternetLink"/>
          </w:rPr>
          <w:t>    </w:t>
        </w:r>
      </w:hyperlink>
      <w:hyperlink w:anchor="i105d86eced1c4a3794b2594af8df362d_4">
        <w:r>
          <w:rPr>
            <w:rStyle w:val="InternetLink"/>
          </w:rPr>
          <w:t>15</w:t>
        </w:r>
      </w:hyperlink>
    </w:p>
    <w:p>
      <w:pPr>
        <w:pStyle w:val="TextBody"/>
        <w:bidi w:val="0"/>
        <w:spacing w:lineRule="auto" w:line="288" w:before="0" w:after="100"/>
        <w:ind w:left="0" w:right="0" w:hanging="720"/>
        <w:jc w:val="left"/>
        <w:rPr/>
      </w:pPr>
      <w:hyperlink w:anchor="i105d86eced1c4a3794b2594af8df362d_4">
        <w:r>
          <w:rPr>
            <w:rStyle w:val="InternetLink"/>
          </w:rPr>
          <w:t>7.1</w:t>
        </w:r>
      </w:hyperlink>
      <w:hyperlink w:anchor="i105d86eced1c4a3794b2594af8df362d_4">
        <w:r>
          <w:rPr>
            <w:rStyle w:val="InternetLink"/>
          </w:rPr>
          <w:t>    </w:t>
        </w:r>
      </w:hyperlink>
      <w:hyperlink w:anchor="i105d86eced1c4a3794b2594af8df362d_4">
        <w:r>
          <w:rPr>
            <w:rStyle w:val="InternetLink"/>
          </w:rPr>
          <w:t>Types of SARs Authorized</w:t>
        </w:r>
      </w:hyperlink>
      <w:hyperlink w:anchor="i105d86eced1c4a3794b2594af8df362d_4">
        <w:r>
          <w:rPr>
            <w:rStyle w:val="InternetLink"/>
          </w:rPr>
          <w:t>    </w:t>
        </w:r>
      </w:hyperlink>
      <w:hyperlink w:anchor="i105d86eced1c4a3794b2594af8df362d_4">
        <w:r>
          <w:rPr>
            <w:rStyle w:val="InternetLink"/>
          </w:rPr>
          <w:t>15</w:t>
        </w:r>
      </w:hyperlink>
    </w:p>
    <w:p>
      <w:pPr>
        <w:pStyle w:val="TextBody"/>
        <w:bidi w:val="0"/>
        <w:spacing w:lineRule="auto" w:line="288" w:before="0" w:after="100"/>
        <w:ind w:left="0" w:right="0" w:hanging="720"/>
        <w:jc w:val="left"/>
        <w:rPr/>
      </w:pPr>
      <w:hyperlink w:anchor="i105d86eced1c4a3794b2594af8df362d_4">
        <w:r>
          <w:rPr>
            <w:rStyle w:val="InternetLink"/>
          </w:rPr>
          <w:t>7.2</w:t>
        </w:r>
      </w:hyperlink>
      <w:hyperlink w:anchor="i105d86eced1c4a3794b2594af8df362d_4">
        <w:r>
          <w:rPr>
            <w:rStyle w:val="InternetLink"/>
          </w:rPr>
          <w:t>    </w:t>
        </w:r>
      </w:hyperlink>
      <w:hyperlink w:anchor="i105d86eced1c4a3794b2594af8df362d_4">
        <w:r>
          <w:rPr>
            <w:rStyle w:val="InternetLink"/>
          </w:rPr>
          <w:t>Exercise Price</w:t>
        </w:r>
      </w:hyperlink>
      <w:hyperlink w:anchor="i105d86eced1c4a3794b2594af8df362d_4">
        <w:r>
          <w:rPr>
            <w:rStyle w:val="InternetLink"/>
          </w:rPr>
          <w:t>    </w:t>
        </w:r>
      </w:hyperlink>
      <w:hyperlink w:anchor="i105d86eced1c4a3794b2594af8df362d_4">
        <w:r>
          <w:rPr>
            <w:rStyle w:val="InternetLink"/>
          </w:rPr>
          <w:t>15</w:t>
        </w:r>
      </w:hyperlink>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00"/>
        <w:ind w:left="0" w:right="0" w:hanging="720"/>
        <w:jc w:val="left"/>
        <w:rPr/>
      </w:pPr>
      <w:hyperlink w:anchor="i105d86eced1c4a3794b2594af8df362d_4">
        <w:r>
          <w:rPr>
            <w:rStyle w:val="InternetLink"/>
          </w:rPr>
          <w:t>7.3</w:t>
        </w:r>
      </w:hyperlink>
      <w:hyperlink w:anchor="i105d86eced1c4a3794b2594af8df362d_4">
        <w:r>
          <w:rPr>
            <w:rStyle w:val="InternetLink"/>
          </w:rPr>
          <w:t>    </w:t>
        </w:r>
      </w:hyperlink>
      <w:hyperlink w:anchor="i105d86eced1c4a3794b2594af8df362d_4">
        <w:r>
          <w:rPr>
            <w:rStyle w:val="InternetLink"/>
          </w:rPr>
          <w:t>Exercisability and Term of SARs</w:t>
        </w:r>
      </w:hyperlink>
      <w:hyperlink w:anchor="i105d86eced1c4a3794b2594af8df362d_4">
        <w:r>
          <w:rPr>
            <w:rStyle w:val="InternetLink"/>
          </w:rPr>
          <w:t>    </w:t>
        </w:r>
      </w:hyperlink>
      <w:hyperlink w:anchor="i105d86eced1c4a3794b2594af8df362d_4">
        <w:r>
          <w:rPr>
            <w:rStyle w:val="InternetLink"/>
          </w:rPr>
          <w:t>15</w:t>
        </w:r>
      </w:hyperlink>
    </w:p>
    <w:p>
      <w:pPr>
        <w:pStyle w:val="TextBody"/>
        <w:bidi w:val="0"/>
        <w:spacing w:lineRule="auto" w:line="288" w:before="0" w:after="100"/>
        <w:ind w:left="0" w:right="0" w:hanging="720"/>
        <w:jc w:val="left"/>
        <w:rPr/>
      </w:pPr>
      <w:hyperlink w:anchor="i105d86eced1c4a3794b2594af8df362d_4">
        <w:r>
          <w:rPr>
            <w:rStyle w:val="InternetLink"/>
          </w:rPr>
          <w:t>7.4</w:t>
        </w:r>
      </w:hyperlink>
      <w:hyperlink w:anchor="i105d86eced1c4a3794b2594af8df362d_4">
        <w:r>
          <w:rPr>
            <w:rStyle w:val="InternetLink"/>
          </w:rPr>
          <w:t>    </w:t>
        </w:r>
      </w:hyperlink>
      <w:hyperlink w:anchor="i105d86eced1c4a3794b2594af8df362d_4">
        <w:r>
          <w:rPr>
            <w:rStyle w:val="InternetLink"/>
          </w:rPr>
          <w:t>Exercise of SARs</w:t>
        </w:r>
      </w:hyperlink>
      <w:hyperlink w:anchor="i105d86eced1c4a3794b2594af8df362d_4">
        <w:r>
          <w:rPr>
            <w:rStyle w:val="InternetLink"/>
          </w:rPr>
          <w:t>    </w:t>
        </w:r>
      </w:hyperlink>
      <w:hyperlink w:anchor="i105d86eced1c4a3794b2594af8df362d_4">
        <w:r>
          <w:rPr>
            <w:rStyle w:val="InternetLink"/>
          </w:rPr>
          <w:t>16</w:t>
        </w:r>
      </w:hyperlink>
    </w:p>
    <w:p>
      <w:pPr>
        <w:pStyle w:val="TextBody"/>
        <w:bidi w:val="0"/>
        <w:spacing w:lineRule="auto" w:line="288" w:before="0" w:after="100"/>
        <w:ind w:left="0" w:right="0" w:hanging="720"/>
        <w:jc w:val="left"/>
        <w:rPr/>
      </w:pPr>
      <w:hyperlink w:anchor="i105d86eced1c4a3794b2594af8df362d_4">
        <w:r>
          <w:rPr>
            <w:rStyle w:val="InternetLink"/>
          </w:rPr>
          <w:t>7.5</w:t>
        </w:r>
      </w:hyperlink>
      <w:hyperlink w:anchor="i105d86eced1c4a3794b2594af8df362d_4">
        <w:r>
          <w:rPr>
            <w:rStyle w:val="InternetLink"/>
          </w:rPr>
          <w:t>    </w:t>
        </w:r>
      </w:hyperlink>
      <w:hyperlink w:anchor="i105d86eced1c4a3794b2594af8df362d_4">
        <w:r>
          <w:rPr>
            <w:rStyle w:val="InternetLink"/>
          </w:rPr>
          <w:t>Deemed Exercise of SARs</w:t>
        </w:r>
      </w:hyperlink>
      <w:hyperlink w:anchor="i105d86eced1c4a3794b2594af8df362d_4">
        <w:r>
          <w:rPr>
            <w:rStyle w:val="InternetLink"/>
          </w:rPr>
          <w:t>    </w:t>
        </w:r>
      </w:hyperlink>
      <w:hyperlink w:anchor="i105d86eced1c4a3794b2594af8df362d_4">
        <w:r>
          <w:rPr>
            <w:rStyle w:val="InternetLink"/>
          </w:rPr>
          <w:t>16</w:t>
        </w:r>
      </w:hyperlink>
    </w:p>
    <w:p>
      <w:pPr>
        <w:pStyle w:val="TextBody"/>
        <w:bidi w:val="0"/>
        <w:spacing w:lineRule="auto" w:line="288" w:before="0" w:after="100"/>
        <w:ind w:left="0" w:right="0" w:hanging="720"/>
        <w:jc w:val="left"/>
        <w:rPr/>
      </w:pPr>
      <w:hyperlink w:anchor="i105d86eced1c4a3794b2594af8df362d_4">
        <w:r>
          <w:rPr>
            <w:rStyle w:val="InternetLink"/>
          </w:rPr>
          <w:t>7.6</w:t>
        </w:r>
      </w:hyperlink>
      <w:hyperlink w:anchor="i105d86eced1c4a3794b2594af8df362d_4">
        <w:r>
          <w:rPr>
            <w:rStyle w:val="InternetLink"/>
          </w:rPr>
          <w:t>    </w:t>
        </w:r>
      </w:hyperlink>
      <w:hyperlink w:anchor="i105d86eced1c4a3794b2594af8df362d_4">
        <w:r>
          <w:rPr>
            <w:rStyle w:val="InternetLink"/>
          </w:rPr>
          <w:t>Effect of Termination of Service</w:t>
        </w:r>
      </w:hyperlink>
      <w:hyperlink w:anchor="i105d86eced1c4a3794b2594af8df362d_4">
        <w:r>
          <w:rPr>
            <w:rStyle w:val="InternetLink"/>
          </w:rPr>
          <w:t>    </w:t>
        </w:r>
      </w:hyperlink>
      <w:hyperlink w:anchor="i105d86eced1c4a3794b2594af8df362d_4">
        <w:r>
          <w:rPr>
            <w:rStyle w:val="InternetLink"/>
          </w:rPr>
          <w:t>16</w:t>
        </w:r>
      </w:hyperlink>
    </w:p>
    <w:p>
      <w:pPr>
        <w:pStyle w:val="TextBody"/>
        <w:bidi w:val="0"/>
        <w:spacing w:lineRule="auto" w:line="288" w:before="0" w:after="100"/>
        <w:ind w:left="0" w:right="0" w:hanging="720"/>
        <w:jc w:val="left"/>
        <w:rPr/>
      </w:pPr>
      <w:hyperlink w:anchor="i105d86eced1c4a3794b2594af8df362d_4">
        <w:r>
          <w:rPr>
            <w:rStyle w:val="InternetLink"/>
          </w:rPr>
          <w:t>7.7</w:t>
        </w:r>
      </w:hyperlink>
      <w:hyperlink w:anchor="i105d86eced1c4a3794b2594af8df362d_4">
        <w:r>
          <w:rPr>
            <w:rStyle w:val="InternetLink"/>
          </w:rPr>
          <w:t>    </w:t>
        </w:r>
      </w:hyperlink>
      <w:hyperlink w:anchor="i105d86eced1c4a3794b2594af8df362d_4">
        <w:r>
          <w:rPr>
            <w:rStyle w:val="InternetLink"/>
          </w:rPr>
          <w:t>Transferability of SARs</w:t>
        </w:r>
      </w:hyperlink>
      <w:hyperlink w:anchor="i105d86eced1c4a3794b2594af8df362d_4">
        <w:r>
          <w:rPr>
            <w:rStyle w:val="InternetLink"/>
          </w:rPr>
          <w:t>    </w:t>
        </w:r>
      </w:hyperlink>
      <w:hyperlink w:anchor="i105d86eced1c4a3794b2594af8df362d_4">
        <w:r>
          <w:rPr>
            <w:rStyle w:val="InternetLink"/>
          </w:rPr>
          <w:t>16</w:t>
        </w:r>
      </w:hyperlink>
    </w:p>
    <w:p>
      <w:pPr>
        <w:pStyle w:val="TextBody"/>
        <w:bidi w:val="0"/>
        <w:spacing w:lineRule="auto" w:line="288" w:before="0" w:after="100"/>
        <w:ind w:left="0" w:right="0" w:hanging="720"/>
        <w:jc w:val="left"/>
        <w:rPr/>
      </w:pPr>
      <w:hyperlink w:anchor="i105d86eced1c4a3794b2594af8df362d_4">
        <w:r>
          <w:rPr>
            <w:rStyle w:val="InternetLink"/>
          </w:rPr>
          <w:t>8.</w:t>
        </w:r>
      </w:hyperlink>
      <w:hyperlink w:anchor="i105d86eced1c4a3794b2594af8df362d_4">
        <w:r>
          <w:rPr>
            <w:rStyle w:val="InternetLink"/>
          </w:rPr>
          <w:t>    </w:t>
        </w:r>
      </w:hyperlink>
      <w:hyperlink w:anchor="i105d86eced1c4a3794b2594af8df362d_4">
        <w:r>
          <w:rPr>
            <w:rStyle w:val="InternetLink"/>
          </w:rPr>
          <w:t>RESTRICTED STOCK AWARDS.</w:t>
        </w:r>
      </w:hyperlink>
      <w:hyperlink w:anchor="i105d86eced1c4a3794b2594af8df362d_4">
        <w:r>
          <w:rPr>
            <w:rStyle w:val="InternetLink"/>
          </w:rPr>
          <w:t>    </w:t>
        </w:r>
      </w:hyperlink>
      <w:hyperlink w:anchor="i105d86eced1c4a3794b2594af8df362d_4">
        <w:r>
          <w:rPr>
            <w:rStyle w:val="InternetLink"/>
          </w:rPr>
          <w:t>16</w:t>
        </w:r>
      </w:hyperlink>
    </w:p>
    <w:p>
      <w:pPr>
        <w:pStyle w:val="TextBody"/>
        <w:bidi w:val="0"/>
        <w:spacing w:lineRule="auto" w:line="288" w:before="0" w:after="100"/>
        <w:ind w:left="0" w:right="0" w:hanging="720"/>
        <w:jc w:val="left"/>
        <w:rPr/>
      </w:pPr>
      <w:hyperlink w:anchor="i105d86eced1c4a3794b2594af8df362d_4">
        <w:r>
          <w:rPr>
            <w:rStyle w:val="InternetLink"/>
          </w:rPr>
          <w:t>8.1</w:t>
        </w:r>
      </w:hyperlink>
      <w:hyperlink w:anchor="i105d86eced1c4a3794b2594af8df362d_4">
        <w:r>
          <w:rPr>
            <w:rStyle w:val="InternetLink"/>
          </w:rPr>
          <w:t>    </w:t>
        </w:r>
      </w:hyperlink>
      <w:hyperlink w:anchor="i105d86eced1c4a3794b2594af8df362d_4">
        <w:r>
          <w:rPr>
            <w:rStyle w:val="InternetLink"/>
          </w:rPr>
          <w:t>Types of Restricted Stock Awards Authorized</w:t>
        </w:r>
      </w:hyperlink>
      <w:hyperlink w:anchor="i105d86eced1c4a3794b2594af8df362d_4">
        <w:r>
          <w:rPr>
            <w:rStyle w:val="InternetLink"/>
          </w:rPr>
          <w:t>    </w:t>
        </w:r>
      </w:hyperlink>
      <w:hyperlink w:anchor="i105d86eced1c4a3794b2594af8df362d_4">
        <w:r>
          <w:rPr>
            <w:rStyle w:val="InternetLink"/>
          </w:rPr>
          <w:t>17</w:t>
        </w:r>
      </w:hyperlink>
    </w:p>
    <w:p>
      <w:pPr>
        <w:pStyle w:val="TextBody"/>
        <w:bidi w:val="0"/>
        <w:spacing w:lineRule="auto" w:line="288" w:before="0" w:after="100"/>
        <w:ind w:left="0" w:right="0" w:hanging="720"/>
        <w:jc w:val="left"/>
        <w:rPr/>
      </w:pPr>
      <w:hyperlink w:anchor="i105d86eced1c4a3794b2594af8df362d_4">
        <w:r>
          <w:rPr>
            <w:rStyle w:val="InternetLink"/>
          </w:rPr>
          <w:t>8.2</w:t>
        </w:r>
      </w:hyperlink>
      <w:hyperlink w:anchor="i105d86eced1c4a3794b2594af8df362d_4">
        <w:r>
          <w:rPr>
            <w:rStyle w:val="InternetLink"/>
          </w:rPr>
          <w:t>    </w:t>
        </w:r>
      </w:hyperlink>
      <w:hyperlink w:anchor="i105d86eced1c4a3794b2594af8df362d_4">
        <w:r>
          <w:rPr>
            <w:rStyle w:val="InternetLink"/>
          </w:rPr>
          <w:t>Purchase Price</w:t>
        </w:r>
      </w:hyperlink>
      <w:hyperlink w:anchor="i105d86eced1c4a3794b2594af8df362d_4">
        <w:r>
          <w:rPr>
            <w:rStyle w:val="InternetLink"/>
          </w:rPr>
          <w:t>    </w:t>
        </w:r>
      </w:hyperlink>
      <w:hyperlink w:anchor="i105d86eced1c4a3794b2594af8df362d_4">
        <w:r>
          <w:rPr>
            <w:rStyle w:val="InternetLink"/>
          </w:rPr>
          <w:t>17</w:t>
        </w:r>
      </w:hyperlink>
    </w:p>
    <w:p>
      <w:pPr>
        <w:pStyle w:val="TextBody"/>
        <w:bidi w:val="0"/>
        <w:spacing w:lineRule="auto" w:line="288" w:before="0" w:after="100"/>
        <w:ind w:left="0" w:right="0" w:hanging="720"/>
        <w:jc w:val="left"/>
        <w:rPr/>
      </w:pPr>
      <w:hyperlink w:anchor="i105d86eced1c4a3794b2594af8df362d_4">
        <w:r>
          <w:rPr>
            <w:rStyle w:val="InternetLink"/>
          </w:rPr>
          <w:t>8.3</w:t>
        </w:r>
      </w:hyperlink>
      <w:hyperlink w:anchor="i105d86eced1c4a3794b2594af8df362d_4">
        <w:r>
          <w:rPr>
            <w:rStyle w:val="InternetLink"/>
          </w:rPr>
          <w:t>    </w:t>
        </w:r>
      </w:hyperlink>
      <w:hyperlink w:anchor="i105d86eced1c4a3794b2594af8df362d_4">
        <w:r>
          <w:rPr>
            <w:rStyle w:val="InternetLink"/>
          </w:rPr>
          <w:t>Purchase Period</w:t>
        </w:r>
      </w:hyperlink>
      <w:hyperlink w:anchor="i105d86eced1c4a3794b2594af8df362d_4">
        <w:r>
          <w:rPr>
            <w:rStyle w:val="InternetLink"/>
          </w:rPr>
          <w:t>    </w:t>
        </w:r>
      </w:hyperlink>
      <w:hyperlink w:anchor="i105d86eced1c4a3794b2594af8df362d_4">
        <w:r>
          <w:rPr>
            <w:rStyle w:val="InternetLink"/>
          </w:rPr>
          <w:t>17</w:t>
        </w:r>
      </w:hyperlink>
    </w:p>
    <w:p>
      <w:pPr>
        <w:pStyle w:val="TextBody"/>
        <w:bidi w:val="0"/>
        <w:spacing w:lineRule="auto" w:line="288" w:before="0" w:after="100"/>
        <w:ind w:left="0" w:right="0" w:hanging="720"/>
        <w:jc w:val="left"/>
        <w:rPr/>
      </w:pPr>
      <w:hyperlink w:anchor="i105d86eced1c4a3794b2594af8df362d_4">
        <w:r>
          <w:rPr>
            <w:rStyle w:val="InternetLink"/>
          </w:rPr>
          <w:t>8.4</w:t>
        </w:r>
      </w:hyperlink>
      <w:hyperlink w:anchor="i105d86eced1c4a3794b2594af8df362d_4">
        <w:r>
          <w:rPr>
            <w:rStyle w:val="InternetLink"/>
          </w:rPr>
          <w:t>    </w:t>
        </w:r>
      </w:hyperlink>
      <w:hyperlink w:anchor="i105d86eced1c4a3794b2594af8df362d_4">
        <w:r>
          <w:rPr>
            <w:rStyle w:val="InternetLink"/>
          </w:rPr>
          <w:t>Payment of Purchase Price</w:t>
        </w:r>
      </w:hyperlink>
      <w:hyperlink w:anchor="i105d86eced1c4a3794b2594af8df362d_4">
        <w:r>
          <w:rPr>
            <w:rStyle w:val="InternetLink"/>
          </w:rPr>
          <w:t>    </w:t>
        </w:r>
      </w:hyperlink>
      <w:hyperlink w:anchor="i105d86eced1c4a3794b2594af8df362d_4">
        <w:r>
          <w:rPr>
            <w:rStyle w:val="InternetLink"/>
          </w:rPr>
          <w:t>17</w:t>
        </w:r>
      </w:hyperlink>
    </w:p>
    <w:p>
      <w:pPr>
        <w:pStyle w:val="TextBody"/>
        <w:bidi w:val="0"/>
        <w:spacing w:lineRule="auto" w:line="288" w:before="0" w:after="100"/>
        <w:ind w:left="0" w:right="0" w:hanging="720"/>
        <w:jc w:val="left"/>
        <w:rPr/>
      </w:pPr>
      <w:hyperlink w:anchor="i105d86eced1c4a3794b2594af8df362d_4">
        <w:r>
          <w:rPr>
            <w:rStyle w:val="InternetLink"/>
          </w:rPr>
          <w:t>8.5</w:t>
        </w:r>
      </w:hyperlink>
      <w:hyperlink w:anchor="i105d86eced1c4a3794b2594af8df362d_4">
        <w:r>
          <w:rPr>
            <w:rStyle w:val="InternetLink"/>
          </w:rPr>
          <w:t>    </w:t>
        </w:r>
      </w:hyperlink>
      <w:hyperlink w:anchor="i105d86eced1c4a3794b2594af8df362d_4">
        <w:r>
          <w:rPr>
            <w:rStyle w:val="InternetLink"/>
          </w:rPr>
          <w:t>Vesting and Restrictions on Transfer</w:t>
        </w:r>
      </w:hyperlink>
      <w:hyperlink w:anchor="i105d86eced1c4a3794b2594af8df362d_4">
        <w:r>
          <w:rPr>
            <w:rStyle w:val="InternetLink"/>
          </w:rPr>
          <w:t>    </w:t>
        </w:r>
      </w:hyperlink>
      <w:hyperlink w:anchor="i105d86eced1c4a3794b2594af8df362d_4">
        <w:r>
          <w:rPr>
            <w:rStyle w:val="InternetLink"/>
          </w:rPr>
          <w:t>17</w:t>
        </w:r>
      </w:hyperlink>
    </w:p>
    <w:p>
      <w:pPr>
        <w:pStyle w:val="TextBody"/>
        <w:bidi w:val="0"/>
        <w:spacing w:lineRule="auto" w:line="288" w:before="0" w:after="100"/>
        <w:ind w:left="0" w:right="0" w:hanging="720"/>
        <w:jc w:val="left"/>
        <w:rPr/>
      </w:pPr>
      <w:hyperlink w:anchor="i105d86eced1c4a3794b2594af8df362d_4">
        <w:r>
          <w:rPr>
            <w:rStyle w:val="InternetLink"/>
          </w:rPr>
          <w:t>8.6</w:t>
        </w:r>
      </w:hyperlink>
      <w:hyperlink w:anchor="i105d86eced1c4a3794b2594af8df362d_4">
        <w:r>
          <w:rPr>
            <w:rStyle w:val="InternetLink"/>
          </w:rPr>
          <w:t>    </w:t>
        </w:r>
      </w:hyperlink>
      <w:hyperlink w:anchor="i105d86eced1c4a3794b2594af8df362d_4">
        <w:r>
          <w:rPr>
            <w:rStyle w:val="InternetLink"/>
          </w:rPr>
          <w:t>Voting Rights; Dividends and Distributions</w:t>
        </w:r>
      </w:hyperlink>
      <w:hyperlink w:anchor="i105d86eced1c4a3794b2594af8df362d_4">
        <w:r>
          <w:rPr>
            <w:rStyle w:val="InternetLink"/>
          </w:rPr>
          <w:t>    </w:t>
        </w:r>
      </w:hyperlink>
      <w:hyperlink w:anchor="i105d86eced1c4a3794b2594af8df362d_4">
        <w:r>
          <w:rPr>
            <w:rStyle w:val="InternetLink"/>
          </w:rPr>
          <w:t>17</w:t>
        </w:r>
      </w:hyperlink>
    </w:p>
    <w:p>
      <w:pPr>
        <w:pStyle w:val="TextBody"/>
        <w:bidi w:val="0"/>
        <w:spacing w:lineRule="auto" w:line="288" w:before="0" w:after="100"/>
        <w:ind w:left="0" w:right="0" w:hanging="720"/>
        <w:jc w:val="left"/>
        <w:rPr/>
      </w:pPr>
      <w:hyperlink w:anchor="i105d86eced1c4a3794b2594af8df362d_4">
        <w:r>
          <w:rPr>
            <w:rStyle w:val="InternetLink"/>
          </w:rPr>
          <w:t>8.7</w:t>
        </w:r>
      </w:hyperlink>
      <w:hyperlink w:anchor="i105d86eced1c4a3794b2594af8df362d_4">
        <w:r>
          <w:rPr>
            <w:rStyle w:val="InternetLink"/>
          </w:rPr>
          <w:t>    </w:t>
        </w:r>
      </w:hyperlink>
      <w:hyperlink w:anchor="i105d86eced1c4a3794b2594af8df362d_4">
        <w:r>
          <w:rPr>
            <w:rStyle w:val="InternetLink"/>
          </w:rPr>
          <w:t>Effect of Termination of Service</w:t>
        </w:r>
      </w:hyperlink>
      <w:hyperlink w:anchor="i105d86eced1c4a3794b2594af8df362d_4">
        <w:r>
          <w:rPr>
            <w:rStyle w:val="InternetLink"/>
          </w:rPr>
          <w:t>    </w:t>
        </w:r>
      </w:hyperlink>
      <w:hyperlink w:anchor="i105d86eced1c4a3794b2594af8df362d_4">
        <w:r>
          <w:rPr>
            <w:rStyle w:val="InternetLink"/>
          </w:rPr>
          <w:t>18</w:t>
        </w:r>
      </w:hyperlink>
    </w:p>
    <w:p>
      <w:pPr>
        <w:pStyle w:val="TextBody"/>
        <w:bidi w:val="0"/>
        <w:spacing w:lineRule="auto" w:line="288" w:before="0" w:after="100"/>
        <w:ind w:left="0" w:right="0" w:hanging="720"/>
        <w:jc w:val="left"/>
        <w:rPr/>
      </w:pPr>
      <w:hyperlink w:anchor="i105d86eced1c4a3794b2594af8df362d_4">
        <w:r>
          <w:rPr>
            <w:rStyle w:val="InternetLink"/>
          </w:rPr>
          <w:t>8.8</w:t>
        </w:r>
      </w:hyperlink>
      <w:hyperlink w:anchor="i105d86eced1c4a3794b2594af8df362d_4">
        <w:r>
          <w:rPr>
            <w:rStyle w:val="InternetLink"/>
          </w:rPr>
          <w:t>    </w:t>
        </w:r>
      </w:hyperlink>
      <w:hyperlink w:anchor="i105d86eced1c4a3794b2594af8df362d_4">
        <w:r>
          <w:rPr>
            <w:rStyle w:val="InternetLink"/>
          </w:rPr>
          <w:t>Nontransferability of Restricted Stock Award Rights</w:t>
        </w:r>
      </w:hyperlink>
      <w:hyperlink w:anchor="i105d86eced1c4a3794b2594af8df362d_4">
        <w:r>
          <w:rPr>
            <w:rStyle w:val="InternetLink"/>
          </w:rPr>
          <w:t>    </w:t>
        </w:r>
      </w:hyperlink>
      <w:hyperlink w:anchor="i105d86eced1c4a3794b2594af8df362d_4">
        <w:r>
          <w:rPr>
            <w:rStyle w:val="InternetLink"/>
          </w:rPr>
          <w:t>18</w:t>
        </w:r>
      </w:hyperlink>
    </w:p>
    <w:p>
      <w:pPr>
        <w:pStyle w:val="TextBody"/>
        <w:bidi w:val="0"/>
        <w:spacing w:lineRule="auto" w:line="288" w:before="0" w:after="100"/>
        <w:ind w:left="0" w:right="0" w:hanging="720"/>
        <w:jc w:val="left"/>
        <w:rPr/>
      </w:pPr>
      <w:hyperlink w:anchor="i105d86eced1c4a3794b2594af8df362d_4">
        <w:r>
          <w:rPr>
            <w:rStyle w:val="InternetLink"/>
          </w:rPr>
          <w:t>9.</w:t>
        </w:r>
      </w:hyperlink>
      <w:hyperlink w:anchor="i105d86eced1c4a3794b2594af8df362d_4">
        <w:r>
          <w:rPr>
            <w:rStyle w:val="InternetLink"/>
          </w:rPr>
          <w:t>    </w:t>
        </w:r>
      </w:hyperlink>
      <w:hyperlink w:anchor="i105d86eced1c4a3794b2594af8df362d_4">
        <w:r>
          <w:rPr>
            <w:rStyle w:val="InternetLink"/>
          </w:rPr>
          <w:t>RESTRICTED STOCK UNITS.</w:t>
        </w:r>
      </w:hyperlink>
      <w:hyperlink w:anchor="i105d86eced1c4a3794b2594af8df362d_4">
        <w:r>
          <w:rPr>
            <w:rStyle w:val="InternetLink"/>
          </w:rPr>
          <w:t>    </w:t>
        </w:r>
      </w:hyperlink>
      <w:hyperlink w:anchor="i105d86eced1c4a3794b2594af8df362d_4">
        <w:r>
          <w:rPr>
            <w:rStyle w:val="InternetLink"/>
          </w:rPr>
          <w:t>18</w:t>
        </w:r>
      </w:hyperlink>
    </w:p>
    <w:p>
      <w:pPr>
        <w:pStyle w:val="TextBody"/>
        <w:bidi w:val="0"/>
        <w:spacing w:lineRule="auto" w:line="288" w:before="0" w:after="100"/>
        <w:ind w:left="0" w:right="0" w:hanging="720"/>
        <w:jc w:val="left"/>
        <w:rPr/>
      </w:pPr>
      <w:hyperlink w:anchor="i105d86eced1c4a3794b2594af8df362d_4">
        <w:r>
          <w:rPr>
            <w:rStyle w:val="InternetLink"/>
          </w:rPr>
          <w:t>9.1</w:t>
        </w:r>
      </w:hyperlink>
      <w:hyperlink w:anchor="i105d86eced1c4a3794b2594af8df362d_4">
        <w:r>
          <w:rPr>
            <w:rStyle w:val="InternetLink"/>
          </w:rPr>
          <w:t>    </w:t>
        </w:r>
      </w:hyperlink>
      <w:hyperlink w:anchor="i105d86eced1c4a3794b2594af8df362d_4">
        <w:r>
          <w:rPr>
            <w:rStyle w:val="InternetLink"/>
          </w:rPr>
          <w:t>Grant of Restricted Stock Unit Awards</w:t>
        </w:r>
      </w:hyperlink>
      <w:hyperlink w:anchor="i105d86eced1c4a3794b2594af8df362d_4">
        <w:r>
          <w:rPr>
            <w:rStyle w:val="InternetLink"/>
          </w:rPr>
          <w:t>    </w:t>
        </w:r>
      </w:hyperlink>
      <w:hyperlink w:anchor="i105d86eced1c4a3794b2594af8df362d_4">
        <w:r>
          <w:rPr>
            <w:rStyle w:val="InternetLink"/>
          </w:rPr>
          <w:t>18</w:t>
        </w:r>
      </w:hyperlink>
    </w:p>
    <w:p>
      <w:pPr>
        <w:pStyle w:val="TextBody"/>
        <w:bidi w:val="0"/>
        <w:spacing w:lineRule="auto" w:line="288" w:before="0" w:after="100"/>
        <w:ind w:left="0" w:right="0" w:hanging="720"/>
        <w:jc w:val="left"/>
        <w:rPr/>
      </w:pPr>
      <w:hyperlink w:anchor="i105d86eced1c4a3794b2594af8df362d_4">
        <w:r>
          <w:rPr>
            <w:rStyle w:val="InternetLink"/>
          </w:rPr>
          <w:t>9.2</w:t>
        </w:r>
      </w:hyperlink>
      <w:hyperlink w:anchor="i105d86eced1c4a3794b2594af8df362d_4">
        <w:r>
          <w:rPr>
            <w:rStyle w:val="InternetLink"/>
          </w:rPr>
          <w:t>    </w:t>
        </w:r>
      </w:hyperlink>
      <w:hyperlink w:anchor="i105d86eced1c4a3794b2594af8df362d_4">
        <w:r>
          <w:rPr>
            <w:rStyle w:val="InternetLink"/>
          </w:rPr>
          <w:t>Purchase Price</w:t>
        </w:r>
      </w:hyperlink>
      <w:hyperlink w:anchor="i105d86eced1c4a3794b2594af8df362d_4">
        <w:r>
          <w:rPr>
            <w:rStyle w:val="InternetLink"/>
          </w:rPr>
          <w:t>    </w:t>
        </w:r>
      </w:hyperlink>
      <w:hyperlink w:anchor="i105d86eced1c4a3794b2594af8df362d_4">
        <w:r>
          <w:rPr>
            <w:rStyle w:val="InternetLink"/>
          </w:rPr>
          <w:t>18</w:t>
        </w:r>
      </w:hyperlink>
    </w:p>
    <w:p>
      <w:pPr>
        <w:pStyle w:val="TextBody"/>
        <w:bidi w:val="0"/>
        <w:spacing w:lineRule="auto" w:line="288" w:before="0" w:after="100"/>
        <w:ind w:left="0" w:right="0" w:hanging="720"/>
        <w:jc w:val="left"/>
        <w:rPr/>
      </w:pPr>
      <w:hyperlink w:anchor="i105d86eced1c4a3794b2594af8df362d_4">
        <w:r>
          <w:rPr>
            <w:rStyle w:val="InternetLink"/>
          </w:rPr>
          <w:t>9.3</w:t>
        </w:r>
      </w:hyperlink>
      <w:hyperlink w:anchor="i105d86eced1c4a3794b2594af8df362d_4">
        <w:r>
          <w:rPr>
            <w:rStyle w:val="InternetLink"/>
          </w:rPr>
          <w:t>    </w:t>
        </w:r>
      </w:hyperlink>
      <w:hyperlink w:anchor="i105d86eced1c4a3794b2594af8df362d_4">
        <w:r>
          <w:rPr>
            <w:rStyle w:val="InternetLink"/>
          </w:rPr>
          <w:t>Vesting</w:t>
        </w:r>
      </w:hyperlink>
      <w:hyperlink w:anchor="i105d86eced1c4a3794b2594af8df362d_4">
        <w:r>
          <w:rPr>
            <w:rStyle w:val="InternetLink"/>
          </w:rPr>
          <w:t>    </w:t>
        </w:r>
      </w:hyperlink>
      <w:hyperlink w:anchor="i105d86eced1c4a3794b2594af8df362d_4">
        <w:r>
          <w:rPr>
            <w:rStyle w:val="InternetLink"/>
          </w:rPr>
          <w:t>19</w:t>
        </w:r>
      </w:hyperlink>
    </w:p>
    <w:p>
      <w:pPr>
        <w:pStyle w:val="TextBody"/>
        <w:bidi w:val="0"/>
        <w:spacing w:lineRule="auto" w:line="288" w:before="0" w:after="100"/>
        <w:ind w:left="0" w:right="0" w:hanging="720"/>
        <w:jc w:val="left"/>
        <w:rPr/>
      </w:pPr>
      <w:hyperlink w:anchor="i105d86eced1c4a3794b2594af8df362d_4">
        <w:r>
          <w:rPr>
            <w:rStyle w:val="InternetLink"/>
          </w:rPr>
          <w:t>9.4</w:t>
        </w:r>
      </w:hyperlink>
      <w:hyperlink w:anchor="i105d86eced1c4a3794b2594af8df362d_4">
        <w:r>
          <w:rPr>
            <w:rStyle w:val="InternetLink"/>
          </w:rPr>
          <w:t>    </w:t>
        </w:r>
      </w:hyperlink>
      <w:hyperlink w:anchor="i105d86eced1c4a3794b2594af8df362d_4">
        <w:r>
          <w:rPr>
            <w:rStyle w:val="InternetLink"/>
          </w:rPr>
          <w:t>Voting Rights, Dividend Equivalent Rights and Distributions</w:t>
        </w:r>
      </w:hyperlink>
      <w:hyperlink w:anchor="i105d86eced1c4a3794b2594af8df362d_4">
        <w:r>
          <w:rPr>
            <w:rStyle w:val="InternetLink"/>
          </w:rPr>
          <w:t>    </w:t>
        </w:r>
      </w:hyperlink>
      <w:hyperlink w:anchor="i105d86eced1c4a3794b2594af8df362d_4">
        <w:r>
          <w:rPr>
            <w:rStyle w:val="InternetLink"/>
          </w:rPr>
          <w:t>19</w:t>
        </w:r>
      </w:hyperlink>
    </w:p>
    <w:p>
      <w:pPr>
        <w:pStyle w:val="TextBody"/>
        <w:bidi w:val="0"/>
        <w:spacing w:lineRule="auto" w:line="288" w:before="0" w:after="100"/>
        <w:ind w:left="0" w:right="0" w:hanging="720"/>
        <w:jc w:val="left"/>
        <w:rPr/>
      </w:pPr>
      <w:hyperlink w:anchor="i105d86eced1c4a3794b2594af8df362d_4">
        <w:r>
          <w:rPr>
            <w:rStyle w:val="InternetLink"/>
          </w:rPr>
          <w:t>9.5</w:t>
        </w:r>
      </w:hyperlink>
      <w:hyperlink w:anchor="i105d86eced1c4a3794b2594af8df362d_4">
        <w:r>
          <w:rPr>
            <w:rStyle w:val="InternetLink"/>
          </w:rPr>
          <w:t>    </w:t>
        </w:r>
      </w:hyperlink>
      <w:hyperlink w:anchor="i105d86eced1c4a3794b2594af8df362d_4">
        <w:r>
          <w:rPr>
            <w:rStyle w:val="InternetLink"/>
          </w:rPr>
          <w:t>Effect of Termination of Service</w:t>
        </w:r>
      </w:hyperlink>
      <w:hyperlink w:anchor="i105d86eced1c4a3794b2594af8df362d_4">
        <w:r>
          <w:rPr>
            <w:rStyle w:val="InternetLink"/>
          </w:rPr>
          <w:t>    </w:t>
        </w:r>
      </w:hyperlink>
      <w:hyperlink w:anchor="i105d86eced1c4a3794b2594af8df362d_4">
        <w:r>
          <w:rPr>
            <w:rStyle w:val="InternetLink"/>
          </w:rPr>
          <w:t>19</w:t>
        </w:r>
      </w:hyperlink>
    </w:p>
    <w:p>
      <w:pPr>
        <w:pStyle w:val="TextBody"/>
        <w:bidi w:val="0"/>
        <w:spacing w:lineRule="auto" w:line="288" w:before="0" w:after="100"/>
        <w:ind w:left="0" w:right="0" w:hanging="720"/>
        <w:jc w:val="left"/>
        <w:rPr/>
      </w:pPr>
      <w:hyperlink w:anchor="i105d86eced1c4a3794b2594af8df362d_4">
        <w:r>
          <w:rPr>
            <w:rStyle w:val="InternetLink"/>
          </w:rPr>
          <w:t>9.6</w:t>
        </w:r>
      </w:hyperlink>
      <w:hyperlink w:anchor="i105d86eced1c4a3794b2594af8df362d_4">
        <w:r>
          <w:rPr>
            <w:rStyle w:val="InternetLink"/>
          </w:rPr>
          <w:t>    </w:t>
        </w:r>
      </w:hyperlink>
      <w:hyperlink w:anchor="i105d86eced1c4a3794b2594af8df362d_4">
        <w:r>
          <w:rPr>
            <w:rStyle w:val="InternetLink"/>
          </w:rPr>
          <w:t>Settlement of Restricted Stock Unit Awards</w:t>
        </w:r>
      </w:hyperlink>
      <w:hyperlink w:anchor="i105d86eced1c4a3794b2594af8df362d_4">
        <w:r>
          <w:rPr>
            <w:rStyle w:val="InternetLink"/>
          </w:rPr>
          <w:t>    </w:t>
        </w:r>
      </w:hyperlink>
      <w:hyperlink w:anchor="i105d86eced1c4a3794b2594af8df362d_4">
        <w:r>
          <w:rPr>
            <w:rStyle w:val="InternetLink"/>
          </w:rPr>
          <w:t>19</w:t>
        </w:r>
      </w:hyperlink>
    </w:p>
    <w:p>
      <w:pPr>
        <w:pStyle w:val="TextBody"/>
        <w:bidi w:val="0"/>
        <w:spacing w:lineRule="auto" w:line="288" w:before="0" w:after="100"/>
        <w:ind w:left="0" w:right="0" w:hanging="720"/>
        <w:jc w:val="left"/>
        <w:rPr/>
      </w:pPr>
      <w:hyperlink w:anchor="i105d86eced1c4a3794b2594af8df362d_4">
        <w:r>
          <w:rPr>
            <w:rStyle w:val="InternetLink"/>
          </w:rPr>
          <w:t>9.7</w:t>
        </w:r>
      </w:hyperlink>
      <w:hyperlink w:anchor="i105d86eced1c4a3794b2594af8df362d_4">
        <w:r>
          <w:rPr>
            <w:rStyle w:val="InternetLink"/>
          </w:rPr>
          <w:t>    </w:t>
        </w:r>
      </w:hyperlink>
      <w:hyperlink w:anchor="i105d86eced1c4a3794b2594af8df362d_4">
        <w:r>
          <w:rPr>
            <w:rStyle w:val="InternetLink"/>
          </w:rPr>
          <w:t>Nontransferability of Restricted Stock Unit Awards</w:t>
        </w:r>
      </w:hyperlink>
      <w:hyperlink w:anchor="i105d86eced1c4a3794b2594af8df362d_4">
        <w:r>
          <w:rPr>
            <w:rStyle w:val="InternetLink"/>
          </w:rPr>
          <w:t>    </w:t>
        </w:r>
      </w:hyperlink>
      <w:hyperlink w:anchor="i105d86eced1c4a3794b2594af8df362d_4">
        <w:r>
          <w:rPr>
            <w:rStyle w:val="InternetLink"/>
          </w:rPr>
          <w:t>20</w:t>
        </w:r>
      </w:hyperlink>
    </w:p>
    <w:p>
      <w:pPr>
        <w:pStyle w:val="TextBody"/>
        <w:bidi w:val="0"/>
        <w:spacing w:lineRule="auto" w:line="288" w:before="0" w:after="100"/>
        <w:ind w:left="0" w:right="0" w:hanging="720"/>
        <w:jc w:val="left"/>
        <w:rPr/>
      </w:pPr>
      <w:hyperlink w:anchor="i105d86eced1c4a3794b2594af8df362d_4">
        <w:r>
          <w:rPr>
            <w:rStyle w:val="InternetLink"/>
          </w:rPr>
          <w:t>10.</w:t>
        </w:r>
      </w:hyperlink>
      <w:hyperlink w:anchor="i105d86eced1c4a3794b2594af8df362d_4">
        <w:r>
          <w:rPr>
            <w:rStyle w:val="InternetLink"/>
          </w:rPr>
          <w:t>    </w:t>
        </w:r>
      </w:hyperlink>
      <w:hyperlink w:anchor="i105d86eced1c4a3794b2594af8df362d_4">
        <w:r>
          <w:rPr>
            <w:rStyle w:val="InternetLink"/>
          </w:rPr>
          <w:t>PERFORMANCE AWARDS.</w:t>
        </w:r>
      </w:hyperlink>
      <w:hyperlink w:anchor="i105d86eced1c4a3794b2594af8df362d_4">
        <w:r>
          <w:rPr>
            <w:rStyle w:val="InternetLink"/>
          </w:rPr>
          <w:t>    </w:t>
        </w:r>
      </w:hyperlink>
      <w:hyperlink w:anchor="i105d86eced1c4a3794b2594af8df362d_4">
        <w:r>
          <w:rPr>
            <w:rStyle w:val="InternetLink"/>
          </w:rPr>
          <w:t>20</w:t>
        </w:r>
      </w:hyperlink>
    </w:p>
    <w:p>
      <w:pPr>
        <w:pStyle w:val="TextBody"/>
        <w:bidi w:val="0"/>
        <w:spacing w:lineRule="auto" w:line="288" w:before="0" w:after="100"/>
        <w:ind w:left="0" w:right="0" w:hanging="720"/>
        <w:jc w:val="left"/>
        <w:rPr/>
      </w:pPr>
      <w:hyperlink w:anchor="i105d86eced1c4a3794b2594af8df362d_4">
        <w:r>
          <w:rPr>
            <w:rStyle w:val="InternetLink"/>
          </w:rPr>
          <w:t>10.1</w:t>
        </w:r>
      </w:hyperlink>
      <w:hyperlink w:anchor="i105d86eced1c4a3794b2594af8df362d_4">
        <w:r>
          <w:rPr>
            <w:rStyle w:val="InternetLink"/>
          </w:rPr>
          <w:t>    </w:t>
        </w:r>
      </w:hyperlink>
      <w:hyperlink w:anchor="i105d86eced1c4a3794b2594af8df362d_4">
        <w:r>
          <w:rPr>
            <w:rStyle w:val="InternetLink"/>
          </w:rPr>
          <w:t>Types of Performance Awards Authorized</w:t>
        </w:r>
      </w:hyperlink>
      <w:hyperlink w:anchor="i105d86eced1c4a3794b2594af8df362d_4">
        <w:r>
          <w:rPr>
            <w:rStyle w:val="InternetLink"/>
          </w:rPr>
          <w:t>    </w:t>
        </w:r>
      </w:hyperlink>
      <w:hyperlink w:anchor="i105d86eced1c4a3794b2594af8df362d_4">
        <w:r>
          <w:rPr>
            <w:rStyle w:val="InternetLink"/>
          </w:rPr>
          <w:t>20</w:t>
        </w:r>
      </w:hyperlink>
    </w:p>
    <w:p>
      <w:pPr>
        <w:pStyle w:val="TextBody"/>
        <w:bidi w:val="0"/>
        <w:spacing w:lineRule="auto" w:line="288" w:before="0" w:after="100"/>
        <w:ind w:left="0" w:right="0" w:hanging="720"/>
        <w:jc w:val="left"/>
        <w:rPr/>
      </w:pPr>
      <w:hyperlink w:anchor="i105d86eced1c4a3794b2594af8df362d_4">
        <w:r>
          <w:rPr>
            <w:rStyle w:val="InternetLink"/>
          </w:rPr>
          <w:t>10.2</w:t>
        </w:r>
      </w:hyperlink>
      <w:hyperlink w:anchor="i105d86eced1c4a3794b2594af8df362d_4">
        <w:r>
          <w:rPr>
            <w:rStyle w:val="InternetLink"/>
          </w:rPr>
          <w:t>    </w:t>
        </w:r>
      </w:hyperlink>
      <w:hyperlink w:anchor="i105d86eced1c4a3794b2594af8df362d_4">
        <w:r>
          <w:rPr>
            <w:rStyle w:val="InternetLink"/>
          </w:rPr>
          <w:t>Initial Value of Performance Shares and Performance Units</w:t>
        </w:r>
      </w:hyperlink>
      <w:hyperlink w:anchor="i105d86eced1c4a3794b2594af8df362d_4">
        <w:r>
          <w:rPr>
            <w:rStyle w:val="InternetLink"/>
          </w:rPr>
          <w:t>    </w:t>
        </w:r>
      </w:hyperlink>
      <w:hyperlink w:anchor="i105d86eced1c4a3794b2594af8df362d_4">
        <w:r>
          <w:rPr>
            <w:rStyle w:val="InternetLink"/>
          </w:rPr>
          <w:t>20</w:t>
        </w:r>
      </w:hyperlink>
    </w:p>
    <w:p>
      <w:pPr>
        <w:pStyle w:val="TextBody"/>
        <w:bidi w:val="0"/>
        <w:spacing w:lineRule="auto" w:line="288" w:before="0" w:after="100"/>
        <w:ind w:left="0" w:right="0" w:hanging="720"/>
        <w:jc w:val="left"/>
        <w:rPr/>
      </w:pPr>
      <w:hyperlink w:anchor="i105d86eced1c4a3794b2594af8df362d_4">
        <w:r>
          <w:rPr>
            <w:rStyle w:val="InternetLink"/>
          </w:rPr>
          <w:t>10.3</w:t>
        </w:r>
      </w:hyperlink>
      <w:hyperlink w:anchor="i105d86eced1c4a3794b2594af8df362d_4">
        <w:r>
          <w:rPr>
            <w:rStyle w:val="InternetLink"/>
          </w:rPr>
          <w:t>    </w:t>
        </w:r>
      </w:hyperlink>
      <w:hyperlink w:anchor="i105d86eced1c4a3794b2594af8df362d_4">
        <w:r>
          <w:rPr>
            <w:rStyle w:val="InternetLink"/>
          </w:rPr>
          <w:t>Establishment of Performance Period, Performance Goals and Performance Award Formula</w:t>
        </w:r>
      </w:hyperlink>
      <w:hyperlink w:anchor="i105d86eced1c4a3794b2594af8df362d_4">
        <w:r>
          <w:rPr>
            <w:rStyle w:val="InternetLink"/>
          </w:rPr>
          <w:t>    </w:t>
        </w:r>
      </w:hyperlink>
      <w:hyperlink w:anchor="i105d86eced1c4a3794b2594af8df362d_4">
        <w:r>
          <w:rPr>
            <w:rStyle w:val="InternetLink"/>
          </w:rPr>
          <w:t>20</w:t>
        </w:r>
      </w:hyperlink>
    </w:p>
    <w:p>
      <w:pPr>
        <w:pStyle w:val="TextBody"/>
        <w:bidi w:val="0"/>
        <w:spacing w:lineRule="auto" w:line="288" w:before="0" w:after="100"/>
        <w:ind w:left="0" w:right="0" w:hanging="720"/>
        <w:jc w:val="left"/>
        <w:rPr/>
      </w:pPr>
      <w:hyperlink w:anchor="i105d86eced1c4a3794b2594af8df362d_4">
        <w:r>
          <w:rPr>
            <w:rStyle w:val="InternetLink"/>
          </w:rPr>
          <w:t>10.4</w:t>
        </w:r>
      </w:hyperlink>
      <w:hyperlink w:anchor="i105d86eced1c4a3794b2594af8df362d_4">
        <w:r>
          <w:rPr>
            <w:rStyle w:val="InternetLink"/>
          </w:rPr>
          <w:t>    </w:t>
        </w:r>
      </w:hyperlink>
      <w:hyperlink w:anchor="i105d86eced1c4a3794b2594af8df362d_4">
        <w:r>
          <w:rPr>
            <w:rStyle w:val="InternetLink"/>
          </w:rPr>
          <w:t>Measurement of Performance Goals</w:t>
        </w:r>
      </w:hyperlink>
      <w:hyperlink w:anchor="i105d86eced1c4a3794b2594af8df362d_4">
        <w:r>
          <w:rPr>
            <w:rStyle w:val="InternetLink"/>
          </w:rPr>
          <w:t>    </w:t>
        </w:r>
      </w:hyperlink>
      <w:hyperlink w:anchor="i105d86eced1c4a3794b2594af8df362d_4">
        <w:r>
          <w:rPr>
            <w:rStyle w:val="InternetLink"/>
          </w:rPr>
          <w:t>20</w:t>
        </w:r>
      </w:hyperlink>
    </w:p>
    <w:p>
      <w:pPr>
        <w:pStyle w:val="TextBody"/>
        <w:bidi w:val="0"/>
        <w:spacing w:lineRule="auto" w:line="288" w:before="0" w:after="100"/>
        <w:ind w:left="0" w:right="0" w:hanging="720"/>
        <w:jc w:val="left"/>
        <w:rPr/>
      </w:pPr>
      <w:hyperlink w:anchor="i105d86eced1c4a3794b2594af8df362d_4">
        <w:r>
          <w:rPr>
            <w:rStyle w:val="InternetLink"/>
          </w:rPr>
          <w:t>10.5</w:t>
        </w:r>
      </w:hyperlink>
      <w:hyperlink w:anchor="i105d86eced1c4a3794b2594af8df362d_4">
        <w:r>
          <w:rPr>
            <w:rStyle w:val="InternetLink"/>
          </w:rPr>
          <w:t>    </w:t>
        </w:r>
      </w:hyperlink>
      <w:hyperlink w:anchor="i105d86eced1c4a3794b2594af8df362d_4">
        <w:r>
          <w:rPr>
            <w:rStyle w:val="InternetLink"/>
          </w:rPr>
          <w:t>Settlement of Performance Awards</w:t>
        </w:r>
      </w:hyperlink>
      <w:hyperlink w:anchor="i105d86eced1c4a3794b2594af8df362d_4">
        <w:r>
          <w:rPr>
            <w:rStyle w:val="InternetLink"/>
          </w:rPr>
          <w:t>    </w:t>
        </w:r>
      </w:hyperlink>
      <w:hyperlink w:anchor="i105d86eced1c4a3794b2594af8df362d_4">
        <w:r>
          <w:rPr>
            <w:rStyle w:val="InternetLink"/>
          </w:rPr>
          <w:t>21</w:t>
        </w:r>
      </w:hyperlink>
    </w:p>
    <w:p>
      <w:pPr>
        <w:pStyle w:val="TextBody"/>
        <w:bidi w:val="0"/>
        <w:spacing w:lineRule="auto" w:line="288" w:before="0" w:after="100"/>
        <w:ind w:left="0" w:right="0" w:hanging="720"/>
        <w:jc w:val="left"/>
        <w:rPr/>
      </w:pPr>
      <w:hyperlink w:anchor="i105d86eced1c4a3794b2594af8df362d_4">
        <w:r>
          <w:rPr>
            <w:rStyle w:val="InternetLink"/>
          </w:rPr>
          <w:t>10.6</w:t>
        </w:r>
      </w:hyperlink>
      <w:hyperlink w:anchor="i105d86eced1c4a3794b2594af8df362d_4">
        <w:r>
          <w:rPr>
            <w:rStyle w:val="InternetLink"/>
          </w:rPr>
          <w:t>    </w:t>
        </w:r>
      </w:hyperlink>
      <w:hyperlink w:anchor="i105d86eced1c4a3794b2594af8df362d_4">
        <w:r>
          <w:rPr>
            <w:rStyle w:val="InternetLink"/>
          </w:rPr>
          <w:t>Voting Rights; Dividend Equivalent Rights and Distributions</w:t>
        </w:r>
      </w:hyperlink>
      <w:hyperlink w:anchor="i105d86eced1c4a3794b2594af8df362d_4">
        <w:r>
          <w:rPr>
            <w:rStyle w:val="InternetLink"/>
          </w:rPr>
          <w:t>    </w:t>
        </w:r>
      </w:hyperlink>
      <w:hyperlink w:anchor="i105d86eced1c4a3794b2594af8df362d_4">
        <w:r>
          <w:rPr>
            <w:rStyle w:val="InternetLink"/>
          </w:rPr>
          <w:t>22</w:t>
        </w:r>
      </w:hyperlink>
    </w:p>
    <w:p>
      <w:pPr>
        <w:pStyle w:val="TextBody"/>
        <w:bidi w:val="0"/>
        <w:spacing w:lineRule="auto" w:line="288" w:before="0" w:after="100"/>
        <w:ind w:left="0" w:right="0" w:hanging="720"/>
        <w:jc w:val="left"/>
        <w:rPr/>
      </w:pPr>
      <w:hyperlink w:anchor="i105d86eced1c4a3794b2594af8df362d_4">
        <w:r>
          <w:rPr>
            <w:rStyle w:val="InternetLink"/>
          </w:rPr>
          <w:t>10.7</w:t>
        </w:r>
      </w:hyperlink>
      <w:hyperlink w:anchor="i105d86eced1c4a3794b2594af8df362d_4">
        <w:r>
          <w:rPr>
            <w:rStyle w:val="InternetLink"/>
          </w:rPr>
          <w:t>    </w:t>
        </w:r>
      </w:hyperlink>
      <w:hyperlink w:anchor="i105d86eced1c4a3794b2594af8df362d_4">
        <w:r>
          <w:rPr>
            <w:rStyle w:val="InternetLink"/>
          </w:rPr>
          <w:t>Effect of Termination of Service</w:t>
        </w:r>
      </w:hyperlink>
      <w:hyperlink w:anchor="i105d86eced1c4a3794b2594af8df362d_4">
        <w:r>
          <w:rPr>
            <w:rStyle w:val="InternetLink"/>
          </w:rPr>
          <w:t>    </w:t>
        </w:r>
      </w:hyperlink>
      <w:hyperlink w:anchor="i105d86eced1c4a3794b2594af8df362d_4">
        <w:r>
          <w:rPr>
            <w:rStyle w:val="InternetLink"/>
          </w:rPr>
          <w:t>23</w:t>
        </w:r>
      </w:hyperlink>
    </w:p>
    <w:p>
      <w:pPr>
        <w:pStyle w:val="TextBody"/>
        <w:bidi w:val="0"/>
        <w:spacing w:lineRule="auto" w:line="288" w:before="0" w:after="100"/>
        <w:ind w:left="0" w:right="0" w:hanging="720"/>
        <w:jc w:val="left"/>
        <w:rPr/>
      </w:pPr>
      <w:hyperlink w:anchor="i105d86eced1c4a3794b2594af8df362d_4">
        <w:r>
          <w:rPr>
            <w:rStyle w:val="InternetLink"/>
          </w:rPr>
          <w:t>10.8</w:t>
        </w:r>
      </w:hyperlink>
      <w:hyperlink w:anchor="i105d86eced1c4a3794b2594af8df362d_4">
        <w:r>
          <w:rPr>
            <w:rStyle w:val="InternetLink"/>
          </w:rPr>
          <w:t>    </w:t>
        </w:r>
      </w:hyperlink>
      <w:hyperlink w:anchor="i105d86eced1c4a3794b2594af8df362d_4">
        <w:r>
          <w:rPr>
            <w:rStyle w:val="InternetLink"/>
          </w:rPr>
          <w:t>Nontransferability of Performance Awards</w:t>
        </w:r>
      </w:hyperlink>
      <w:hyperlink w:anchor="i105d86eced1c4a3794b2594af8df362d_4">
        <w:r>
          <w:rPr>
            <w:rStyle w:val="InternetLink"/>
          </w:rPr>
          <w:t>    </w:t>
        </w:r>
      </w:hyperlink>
      <w:hyperlink w:anchor="i105d86eced1c4a3794b2594af8df362d_4">
        <w:r>
          <w:rPr>
            <w:rStyle w:val="InternetLink"/>
          </w:rPr>
          <w:t>23</w:t>
        </w:r>
      </w:hyperlink>
    </w:p>
    <w:p>
      <w:pPr>
        <w:pStyle w:val="TextBody"/>
        <w:bidi w:val="0"/>
        <w:spacing w:lineRule="auto" w:line="288" w:before="0" w:after="100"/>
        <w:ind w:left="0" w:right="0" w:hanging="720"/>
        <w:jc w:val="left"/>
        <w:rPr/>
      </w:pPr>
      <w:hyperlink w:anchor="i105d86eced1c4a3794b2594af8df362d_4">
        <w:r>
          <w:rPr>
            <w:rStyle w:val="InternetLink"/>
          </w:rPr>
          <w:t>11.</w:t>
        </w:r>
      </w:hyperlink>
      <w:hyperlink w:anchor="i105d86eced1c4a3794b2594af8df362d_4">
        <w:r>
          <w:rPr>
            <w:rStyle w:val="InternetLink"/>
          </w:rPr>
          <w:t>    </w:t>
        </w:r>
      </w:hyperlink>
      <w:hyperlink w:anchor="i105d86eced1c4a3794b2594af8df362d_4">
        <w:r>
          <w:rPr>
            <w:rStyle w:val="InternetLink"/>
          </w:rPr>
          <w:t>CASH-BASED AWARDS AND OTHER STOCK-BASED AWARDS.</w:t>
        </w:r>
      </w:hyperlink>
      <w:hyperlink w:anchor="i105d86eced1c4a3794b2594af8df362d_4">
        <w:r>
          <w:rPr>
            <w:rStyle w:val="InternetLink"/>
          </w:rPr>
          <w:t>    </w:t>
        </w:r>
      </w:hyperlink>
      <w:hyperlink w:anchor="i105d86eced1c4a3794b2594af8df362d_4">
        <w:r>
          <w:rPr>
            <w:rStyle w:val="InternetLink"/>
          </w:rPr>
          <w:t>23</w:t>
        </w:r>
      </w:hyperlink>
    </w:p>
    <w:p>
      <w:pPr>
        <w:pStyle w:val="TextBody"/>
        <w:bidi w:val="0"/>
        <w:spacing w:lineRule="auto" w:line="288" w:before="0" w:after="100"/>
        <w:ind w:left="0" w:right="0" w:hanging="720"/>
        <w:jc w:val="left"/>
        <w:rPr/>
      </w:pPr>
      <w:hyperlink w:anchor="i105d86eced1c4a3794b2594af8df362d_4">
        <w:r>
          <w:rPr>
            <w:rStyle w:val="InternetLink"/>
          </w:rPr>
          <w:t>11.1</w:t>
        </w:r>
      </w:hyperlink>
      <w:hyperlink w:anchor="i105d86eced1c4a3794b2594af8df362d_4">
        <w:r>
          <w:rPr>
            <w:rStyle w:val="InternetLink"/>
          </w:rPr>
          <w:t>    </w:t>
        </w:r>
      </w:hyperlink>
      <w:hyperlink w:anchor="i105d86eced1c4a3794b2594af8df362d_4">
        <w:r>
          <w:rPr>
            <w:rStyle w:val="InternetLink"/>
          </w:rPr>
          <w:t>Grant of Cash-Based Awards</w:t>
        </w:r>
      </w:hyperlink>
      <w:hyperlink w:anchor="i105d86eced1c4a3794b2594af8df362d_4">
        <w:r>
          <w:rPr>
            <w:rStyle w:val="InternetLink"/>
          </w:rPr>
          <w:t>    </w:t>
        </w:r>
      </w:hyperlink>
      <w:hyperlink w:anchor="i105d86eced1c4a3794b2594af8df362d_4">
        <w:r>
          <w:rPr>
            <w:rStyle w:val="InternetLink"/>
          </w:rPr>
          <w:t>23</w:t>
        </w:r>
      </w:hyperlink>
    </w:p>
    <w:p>
      <w:pPr>
        <w:pStyle w:val="TextBody"/>
        <w:bidi w:val="0"/>
        <w:spacing w:lineRule="auto" w:line="288" w:before="0" w:after="100"/>
        <w:ind w:left="0" w:right="0" w:hanging="720"/>
        <w:jc w:val="left"/>
        <w:rPr/>
      </w:pPr>
      <w:hyperlink w:anchor="i105d86eced1c4a3794b2594af8df362d_4">
        <w:r>
          <w:rPr>
            <w:rStyle w:val="InternetLink"/>
          </w:rPr>
          <w:t>11.2</w:t>
        </w:r>
      </w:hyperlink>
      <w:hyperlink w:anchor="i105d86eced1c4a3794b2594af8df362d_4">
        <w:r>
          <w:rPr>
            <w:rStyle w:val="InternetLink"/>
          </w:rPr>
          <w:t>    </w:t>
        </w:r>
      </w:hyperlink>
      <w:hyperlink w:anchor="i105d86eced1c4a3794b2594af8df362d_4">
        <w:r>
          <w:rPr>
            <w:rStyle w:val="InternetLink"/>
          </w:rPr>
          <w:t>Grant of Other Stock-Based Awards</w:t>
        </w:r>
      </w:hyperlink>
      <w:hyperlink w:anchor="i105d86eced1c4a3794b2594af8df362d_4">
        <w:r>
          <w:rPr>
            <w:rStyle w:val="InternetLink"/>
          </w:rPr>
          <w:t>    </w:t>
        </w:r>
      </w:hyperlink>
      <w:hyperlink w:anchor="i105d86eced1c4a3794b2594af8df362d_4">
        <w:r>
          <w:rPr>
            <w:rStyle w:val="InternetLink"/>
          </w:rPr>
          <w:t>23</w:t>
        </w:r>
      </w:hyperlink>
    </w:p>
    <w:p>
      <w:pPr>
        <w:pStyle w:val="TextBody"/>
        <w:bidi w:val="0"/>
        <w:spacing w:lineRule="auto" w:line="288" w:before="0" w:after="100"/>
        <w:ind w:left="0" w:right="0" w:hanging="720"/>
        <w:jc w:val="left"/>
        <w:rPr/>
      </w:pPr>
      <w:hyperlink w:anchor="i105d86eced1c4a3794b2594af8df362d_4">
        <w:r>
          <w:rPr>
            <w:rStyle w:val="InternetLink"/>
          </w:rPr>
          <w:t>11.3</w:t>
        </w:r>
      </w:hyperlink>
      <w:hyperlink w:anchor="i105d86eced1c4a3794b2594af8df362d_4">
        <w:r>
          <w:rPr>
            <w:rStyle w:val="InternetLink"/>
          </w:rPr>
          <w:t>    </w:t>
        </w:r>
      </w:hyperlink>
      <w:hyperlink w:anchor="i105d86eced1c4a3794b2594af8df362d_4">
        <w:r>
          <w:rPr>
            <w:rStyle w:val="InternetLink"/>
          </w:rPr>
          <w:t>Value of Cash-Based and Other Stock-Based Awards</w:t>
        </w:r>
      </w:hyperlink>
      <w:hyperlink w:anchor="i105d86eced1c4a3794b2594af8df362d_4">
        <w:r>
          <w:rPr>
            <w:rStyle w:val="InternetLink"/>
          </w:rPr>
          <w:t>    </w:t>
        </w:r>
      </w:hyperlink>
      <w:hyperlink w:anchor="i105d86eced1c4a3794b2594af8df362d_4">
        <w:r>
          <w:rPr>
            <w:rStyle w:val="InternetLink"/>
          </w:rPr>
          <w:t>24</w:t>
        </w:r>
      </w:hyperlink>
    </w:p>
    <w:p>
      <w:pPr>
        <w:pStyle w:val="TextBody"/>
        <w:bidi w:val="0"/>
        <w:spacing w:lineRule="auto" w:line="288" w:before="0" w:after="100"/>
        <w:ind w:left="0" w:right="0" w:hanging="720"/>
        <w:jc w:val="left"/>
        <w:rPr/>
      </w:pPr>
      <w:hyperlink w:anchor="i105d86eced1c4a3794b2594af8df362d_4">
        <w:r>
          <w:rPr>
            <w:rStyle w:val="InternetLink"/>
          </w:rPr>
          <w:t>11.4</w:t>
        </w:r>
      </w:hyperlink>
      <w:hyperlink w:anchor="i105d86eced1c4a3794b2594af8df362d_4">
        <w:r>
          <w:rPr>
            <w:rStyle w:val="InternetLink"/>
          </w:rPr>
          <w:t>    </w:t>
        </w:r>
      </w:hyperlink>
      <w:hyperlink w:anchor="i105d86eced1c4a3794b2594af8df362d_4">
        <w:r>
          <w:rPr>
            <w:rStyle w:val="InternetLink"/>
          </w:rPr>
          <w:t>Payment or Settlement of Cash-Based Awards and Other Stock-Based Awards</w:t>
        </w:r>
      </w:hyperlink>
      <w:hyperlink w:anchor="i105d86eced1c4a3794b2594af8df362d_4">
        <w:r>
          <w:rPr>
            <w:rStyle w:val="InternetLink"/>
          </w:rPr>
          <w:t>    </w:t>
        </w:r>
      </w:hyperlink>
      <w:hyperlink w:anchor="i105d86eced1c4a3794b2594af8df362d_4">
        <w:r>
          <w:rPr>
            <w:rStyle w:val="InternetLink"/>
          </w:rPr>
          <w:t>24</w:t>
        </w:r>
      </w:hyperlink>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00"/>
        <w:ind w:left="0" w:right="0" w:hanging="720"/>
        <w:jc w:val="left"/>
        <w:rPr/>
      </w:pPr>
      <w:hyperlink w:anchor="i105d86eced1c4a3794b2594af8df362d_4">
        <w:r>
          <w:rPr>
            <w:rStyle w:val="InternetLink"/>
          </w:rPr>
          <w:t>11.5</w:t>
        </w:r>
      </w:hyperlink>
      <w:hyperlink w:anchor="i105d86eced1c4a3794b2594af8df362d_4">
        <w:r>
          <w:rPr>
            <w:rStyle w:val="InternetLink"/>
          </w:rPr>
          <w:t>    </w:t>
        </w:r>
      </w:hyperlink>
      <w:hyperlink w:anchor="i105d86eced1c4a3794b2594af8df362d_4">
        <w:r>
          <w:rPr>
            <w:rStyle w:val="InternetLink"/>
          </w:rPr>
          <w:t>Voting Rights; Dividend Equivalent Rights and Distributions</w:t>
        </w:r>
      </w:hyperlink>
      <w:hyperlink w:anchor="i105d86eced1c4a3794b2594af8df362d_4">
        <w:r>
          <w:rPr>
            <w:rStyle w:val="InternetLink"/>
          </w:rPr>
          <w:t>    </w:t>
        </w:r>
      </w:hyperlink>
      <w:hyperlink w:anchor="i105d86eced1c4a3794b2594af8df362d_4">
        <w:r>
          <w:rPr>
            <w:rStyle w:val="InternetLink"/>
          </w:rPr>
          <w:t>24</w:t>
        </w:r>
      </w:hyperlink>
    </w:p>
    <w:p>
      <w:pPr>
        <w:pStyle w:val="TextBody"/>
        <w:bidi w:val="0"/>
        <w:spacing w:lineRule="auto" w:line="288" w:before="0" w:after="100"/>
        <w:ind w:left="0" w:right="0" w:hanging="720"/>
        <w:jc w:val="left"/>
        <w:rPr/>
      </w:pPr>
      <w:hyperlink w:anchor="i105d86eced1c4a3794b2594af8df362d_4">
        <w:r>
          <w:rPr>
            <w:rStyle w:val="InternetLink"/>
          </w:rPr>
          <w:t>11.6</w:t>
        </w:r>
      </w:hyperlink>
      <w:hyperlink w:anchor="i105d86eced1c4a3794b2594af8df362d_4">
        <w:r>
          <w:rPr>
            <w:rStyle w:val="InternetLink"/>
          </w:rPr>
          <w:t>    </w:t>
        </w:r>
      </w:hyperlink>
      <w:hyperlink w:anchor="i105d86eced1c4a3794b2594af8df362d_4">
        <w:r>
          <w:rPr>
            <w:rStyle w:val="InternetLink"/>
          </w:rPr>
          <w:t>Effect of Termination of Service</w:t>
        </w:r>
      </w:hyperlink>
      <w:hyperlink w:anchor="i105d86eced1c4a3794b2594af8df362d_4">
        <w:r>
          <w:rPr>
            <w:rStyle w:val="InternetLink"/>
          </w:rPr>
          <w:t>    </w:t>
        </w:r>
      </w:hyperlink>
      <w:hyperlink w:anchor="i105d86eced1c4a3794b2594af8df362d_4">
        <w:r>
          <w:rPr>
            <w:rStyle w:val="InternetLink"/>
          </w:rPr>
          <w:t>24</w:t>
        </w:r>
      </w:hyperlink>
    </w:p>
    <w:p>
      <w:pPr>
        <w:pStyle w:val="TextBody"/>
        <w:bidi w:val="0"/>
        <w:spacing w:lineRule="auto" w:line="288" w:before="0" w:after="100"/>
        <w:ind w:left="0" w:right="0" w:hanging="720"/>
        <w:jc w:val="left"/>
        <w:rPr/>
      </w:pPr>
      <w:hyperlink w:anchor="i105d86eced1c4a3794b2594af8df362d_4">
        <w:r>
          <w:rPr>
            <w:rStyle w:val="InternetLink"/>
          </w:rPr>
          <w:t>11.7</w:t>
        </w:r>
      </w:hyperlink>
      <w:hyperlink w:anchor="i105d86eced1c4a3794b2594af8df362d_4">
        <w:r>
          <w:rPr>
            <w:rStyle w:val="InternetLink"/>
          </w:rPr>
          <w:t>    </w:t>
        </w:r>
      </w:hyperlink>
      <w:hyperlink w:anchor="i105d86eced1c4a3794b2594af8df362d_4">
        <w:r>
          <w:rPr>
            <w:rStyle w:val="InternetLink"/>
          </w:rPr>
          <w:t> Nontransferability of Cash-Based Awards and Other Stock-Based Awards</w:t>
        </w:r>
      </w:hyperlink>
      <w:hyperlink w:anchor="i105d86eced1c4a3794b2594af8df362d_4">
        <w:r>
          <w:rPr>
            <w:rStyle w:val="InternetLink"/>
          </w:rPr>
          <w:t>    </w:t>
        </w:r>
      </w:hyperlink>
      <w:hyperlink w:anchor="i105d86eced1c4a3794b2594af8df362d_4">
        <w:r>
          <w:rPr>
            <w:rStyle w:val="InternetLink"/>
          </w:rPr>
          <w:t>24</w:t>
        </w:r>
      </w:hyperlink>
    </w:p>
    <w:p>
      <w:pPr>
        <w:pStyle w:val="TextBody"/>
        <w:bidi w:val="0"/>
        <w:spacing w:lineRule="auto" w:line="288" w:before="0" w:after="100"/>
        <w:ind w:left="0" w:right="0" w:hanging="720"/>
        <w:jc w:val="left"/>
        <w:rPr/>
      </w:pPr>
      <w:hyperlink w:anchor="i105d86eced1c4a3794b2594af8df362d_4">
        <w:r>
          <w:rPr>
            <w:rStyle w:val="InternetLink"/>
          </w:rPr>
          <w:t>12.</w:t>
        </w:r>
      </w:hyperlink>
      <w:hyperlink w:anchor="i105d86eced1c4a3794b2594af8df362d_4">
        <w:r>
          <w:rPr>
            <w:rStyle w:val="InternetLink"/>
          </w:rPr>
          <w:t>    </w:t>
        </w:r>
      </w:hyperlink>
      <w:hyperlink w:anchor="i105d86eced1c4a3794b2594af8df362d_4">
        <w:r>
          <w:rPr>
            <w:rStyle w:val="InternetLink"/>
          </w:rPr>
          <w:t>STANDARD FORMS OF AWARD AGREEMENT.</w:t>
        </w:r>
      </w:hyperlink>
      <w:hyperlink w:anchor="i105d86eced1c4a3794b2594af8df362d_4">
        <w:r>
          <w:rPr>
            <w:rStyle w:val="InternetLink"/>
          </w:rPr>
          <w:t>    </w:t>
        </w:r>
      </w:hyperlink>
      <w:hyperlink w:anchor="i105d86eced1c4a3794b2594af8df362d_4">
        <w:r>
          <w:rPr>
            <w:rStyle w:val="InternetLink"/>
          </w:rPr>
          <w:t>25</w:t>
        </w:r>
      </w:hyperlink>
    </w:p>
    <w:p>
      <w:pPr>
        <w:pStyle w:val="TextBody"/>
        <w:bidi w:val="0"/>
        <w:spacing w:lineRule="auto" w:line="288" w:before="0" w:after="100"/>
        <w:ind w:left="0" w:right="0" w:hanging="720"/>
        <w:jc w:val="left"/>
        <w:rPr/>
      </w:pPr>
      <w:hyperlink w:anchor="i105d86eced1c4a3794b2594af8df362d_4">
        <w:r>
          <w:rPr>
            <w:rStyle w:val="InternetLink"/>
          </w:rPr>
          <w:t>12.1</w:t>
        </w:r>
      </w:hyperlink>
      <w:hyperlink w:anchor="i105d86eced1c4a3794b2594af8df362d_4">
        <w:r>
          <w:rPr>
            <w:rStyle w:val="InternetLink"/>
          </w:rPr>
          <w:t>    </w:t>
        </w:r>
      </w:hyperlink>
      <w:hyperlink w:anchor="i105d86eced1c4a3794b2594af8df362d_4">
        <w:r>
          <w:rPr>
            <w:rStyle w:val="InternetLink"/>
          </w:rPr>
          <w:t>Award Agreements</w:t>
        </w:r>
      </w:hyperlink>
      <w:hyperlink w:anchor="i105d86eced1c4a3794b2594af8df362d_4">
        <w:r>
          <w:rPr>
            <w:rStyle w:val="InternetLink"/>
          </w:rPr>
          <w:t>    </w:t>
        </w:r>
      </w:hyperlink>
      <w:hyperlink w:anchor="i105d86eced1c4a3794b2594af8df362d_4">
        <w:r>
          <w:rPr>
            <w:rStyle w:val="InternetLink"/>
          </w:rPr>
          <w:t>25</w:t>
        </w:r>
      </w:hyperlink>
    </w:p>
    <w:p>
      <w:pPr>
        <w:pStyle w:val="TextBody"/>
        <w:bidi w:val="0"/>
        <w:spacing w:lineRule="auto" w:line="288" w:before="0" w:after="100"/>
        <w:ind w:left="0" w:right="0" w:hanging="720"/>
        <w:jc w:val="left"/>
        <w:rPr/>
      </w:pPr>
      <w:hyperlink w:anchor="i105d86eced1c4a3794b2594af8df362d_4">
        <w:r>
          <w:rPr>
            <w:rStyle w:val="InternetLink"/>
          </w:rPr>
          <w:t>12.2</w:t>
        </w:r>
      </w:hyperlink>
      <w:hyperlink w:anchor="i105d86eced1c4a3794b2594af8df362d_4">
        <w:r>
          <w:rPr>
            <w:rStyle w:val="InternetLink"/>
          </w:rPr>
          <w:t>    </w:t>
        </w:r>
      </w:hyperlink>
      <w:hyperlink w:anchor="i105d86eced1c4a3794b2594af8df362d_4">
        <w:r>
          <w:rPr>
            <w:rStyle w:val="InternetLink"/>
          </w:rPr>
          <w:t>Authority to Vary Terms</w:t>
        </w:r>
      </w:hyperlink>
      <w:hyperlink w:anchor="i105d86eced1c4a3794b2594af8df362d_4">
        <w:r>
          <w:rPr>
            <w:rStyle w:val="InternetLink"/>
          </w:rPr>
          <w:t>    </w:t>
        </w:r>
      </w:hyperlink>
      <w:hyperlink w:anchor="i105d86eced1c4a3794b2594af8df362d_4">
        <w:r>
          <w:rPr>
            <w:rStyle w:val="InternetLink"/>
          </w:rPr>
          <w:t>25</w:t>
        </w:r>
      </w:hyperlink>
    </w:p>
    <w:p>
      <w:pPr>
        <w:pStyle w:val="TextBody"/>
        <w:bidi w:val="0"/>
        <w:spacing w:lineRule="auto" w:line="288" w:before="0" w:after="100"/>
        <w:ind w:left="0" w:right="0" w:hanging="720"/>
        <w:jc w:val="left"/>
        <w:rPr/>
      </w:pPr>
      <w:hyperlink w:anchor="i105d86eced1c4a3794b2594af8df362d_4">
        <w:r>
          <w:rPr>
            <w:rStyle w:val="InternetLink"/>
          </w:rPr>
          <w:t>13.</w:t>
        </w:r>
      </w:hyperlink>
      <w:hyperlink w:anchor="i105d86eced1c4a3794b2594af8df362d_4">
        <w:r>
          <w:rPr>
            <w:rStyle w:val="InternetLink"/>
          </w:rPr>
          <w:t>    </w:t>
        </w:r>
      </w:hyperlink>
      <w:hyperlink w:anchor="i105d86eced1c4a3794b2594af8df362d_4">
        <w:r>
          <w:rPr>
            <w:rStyle w:val="InternetLink"/>
          </w:rPr>
          <w:t>CHANGE IN CONTROL.</w:t>
        </w:r>
      </w:hyperlink>
      <w:hyperlink w:anchor="i105d86eced1c4a3794b2594af8df362d_4">
        <w:r>
          <w:rPr>
            <w:rStyle w:val="InternetLink"/>
          </w:rPr>
          <w:t>    </w:t>
        </w:r>
      </w:hyperlink>
      <w:hyperlink w:anchor="i105d86eced1c4a3794b2594af8df362d_4">
        <w:r>
          <w:rPr>
            <w:rStyle w:val="InternetLink"/>
          </w:rPr>
          <w:t>25</w:t>
        </w:r>
      </w:hyperlink>
    </w:p>
    <w:p>
      <w:pPr>
        <w:pStyle w:val="TextBody"/>
        <w:bidi w:val="0"/>
        <w:spacing w:lineRule="auto" w:line="288" w:before="0" w:after="100"/>
        <w:ind w:left="0" w:right="0" w:hanging="720"/>
        <w:jc w:val="left"/>
        <w:rPr/>
      </w:pPr>
      <w:hyperlink w:anchor="i105d86eced1c4a3794b2594af8df362d_4">
        <w:r>
          <w:rPr>
            <w:rStyle w:val="InternetLink"/>
          </w:rPr>
          <w:t>13.1</w:t>
        </w:r>
      </w:hyperlink>
      <w:hyperlink w:anchor="i105d86eced1c4a3794b2594af8df362d_4">
        <w:r>
          <w:rPr>
            <w:rStyle w:val="InternetLink"/>
          </w:rPr>
          <w:t>    </w:t>
        </w:r>
      </w:hyperlink>
      <w:hyperlink w:anchor="i105d86eced1c4a3794b2594af8df362d_4">
        <w:r>
          <w:rPr>
            <w:rStyle w:val="InternetLink"/>
          </w:rPr>
          <w:t>Effect of Change in Control on Awards</w:t>
        </w:r>
      </w:hyperlink>
      <w:hyperlink w:anchor="i105d86eced1c4a3794b2594af8df362d_4">
        <w:r>
          <w:rPr>
            <w:rStyle w:val="InternetLink"/>
          </w:rPr>
          <w:t>    </w:t>
        </w:r>
      </w:hyperlink>
      <w:hyperlink w:anchor="i105d86eced1c4a3794b2594af8df362d_4">
        <w:r>
          <w:rPr>
            <w:rStyle w:val="InternetLink"/>
          </w:rPr>
          <w:t>25</w:t>
        </w:r>
      </w:hyperlink>
    </w:p>
    <w:p>
      <w:pPr>
        <w:pStyle w:val="TextBody"/>
        <w:bidi w:val="0"/>
        <w:spacing w:lineRule="auto" w:line="288" w:before="0" w:after="100"/>
        <w:ind w:left="0" w:right="0" w:hanging="720"/>
        <w:jc w:val="left"/>
        <w:rPr/>
      </w:pPr>
      <w:hyperlink w:anchor="i105d86eced1c4a3794b2594af8df362d_4">
        <w:r>
          <w:rPr>
            <w:rStyle w:val="InternetLink"/>
          </w:rPr>
          <w:t>13.2</w:t>
        </w:r>
      </w:hyperlink>
      <w:hyperlink w:anchor="i105d86eced1c4a3794b2594af8df362d_4">
        <w:r>
          <w:rPr>
            <w:rStyle w:val="InternetLink"/>
          </w:rPr>
          <w:t>    </w:t>
        </w:r>
      </w:hyperlink>
      <w:hyperlink w:anchor="i105d86eced1c4a3794b2594af8df362d_4">
        <w:r>
          <w:rPr>
            <w:rStyle w:val="InternetLink"/>
          </w:rPr>
          <w:t>Effect of Change in Control on Nonemployee Director Awards</w:t>
        </w:r>
      </w:hyperlink>
      <w:hyperlink w:anchor="i105d86eced1c4a3794b2594af8df362d_4">
        <w:r>
          <w:rPr>
            <w:rStyle w:val="InternetLink"/>
          </w:rPr>
          <w:t>    </w:t>
        </w:r>
      </w:hyperlink>
      <w:hyperlink w:anchor="i105d86eced1c4a3794b2594af8df362d_4">
        <w:r>
          <w:rPr>
            <w:rStyle w:val="InternetLink"/>
          </w:rPr>
          <w:t>26</w:t>
        </w:r>
      </w:hyperlink>
    </w:p>
    <w:p>
      <w:pPr>
        <w:pStyle w:val="TextBody"/>
        <w:bidi w:val="0"/>
        <w:spacing w:lineRule="auto" w:line="288" w:before="0" w:after="100"/>
        <w:ind w:left="0" w:right="0" w:hanging="720"/>
        <w:jc w:val="left"/>
        <w:rPr/>
      </w:pPr>
      <w:hyperlink w:anchor="i105d86eced1c4a3794b2594af8df362d_4">
        <w:r>
          <w:rPr>
            <w:rStyle w:val="InternetLink"/>
          </w:rPr>
          <w:t>13.3</w:t>
        </w:r>
      </w:hyperlink>
      <w:hyperlink w:anchor="i105d86eced1c4a3794b2594af8df362d_4">
        <w:r>
          <w:rPr>
            <w:rStyle w:val="InternetLink"/>
          </w:rPr>
          <w:t>    </w:t>
        </w:r>
      </w:hyperlink>
      <w:hyperlink w:anchor="i105d86eced1c4a3794b2594af8df362d_4">
        <w:r>
          <w:rPr>
            <w:rStyle w:val="InternetLink"/>
          </w:rPr>
          <w:t>Federal Excise Tax Under Section 4999 of the Code</w:t>
        </w:r>
      </w:hyperlink>
      <w:hyperlink w:anchor="i105d86eced1c4a3794b2594af8df362d_4">
        <w:r>
          <w:rPr>
            <w:rStyle w:val="InternetLink"/>
          </w:rPr>
          <w:t>    </w:t>
        </w:r>
      </w:hyperlink>
      <w:hyperlink w:anchor="i105d86eced1c4a3794b2594af8df362d_4">
        <w:r>
          <w:rPr>
            <w:rStyle w:val="InternetLink"/>
          </w:rPr>
          <w:t>27</w:t>
        </w:r>
      </w:hyperlink>
    </w:p>
    <w:p>
      <w:pPr>
        <w:pStyle w:val="TextBody"/>
        <w:bidi w:val="0"/>
        <w:spacing w:lineRule="auto" w:line="288" w:before="0" w:after="100"/>
        <w:ind w:left="0" w:right="0" w:hanging="720"/>
        <w:jc w:val="left"/>
        <w:rPr/>
      </w:pPr>
      <w:hyperlink w:anchor="i105d86eced1c4a3794b2594af8df362d_4">
        <w:r>
          <w:rPr>
            <w:rStyle w:val="InternetLink"/>
          </w:rPr>
          <w:t>14.</w:t>
        </w:r>
      </w:hyperlink>
      <w:hyperlink w:anchor="i105d86eced1c4a3794b2594af8df362d_4">
        <w:r>
          <w:rPr>
            <w:rStyle w:val="InternetLink"/>
          </w:rPr>
          <w:t>    </w:t>
        </w:r>
      </w:hyperlink>
      <w:hyperlink w:anchor="i105d86eced1c4a3794b2594af8df362d_4">
        <w:r>
          <w:rPr>
            <w:rStyle w:val="InternetLink"/>
          </w:rPr>
          <w:t>COMPLIANCE WITH SECURITIES LAW.</w:t>
        </w:r>
      </w:hyperlink>
      <w:hyperlink w:anchor="i105d86eced1c4a3794b2594af8df362d_4">
        <w:r>
          <w:rPr>
            <w:rStyle w:val="InternetLink"/>
          </w:rPr>
          <w:t>    </w:t>
        </w:r>
      </w:hyperlink>
      <w:hyperlink w:anchor="i105d86eced1c4a3794b2594af8df362d_4">
        <w:r>
          <w:rPr>
            <w:rStyle w:val="InternetLink"/>
          </w:rPr>
          <w:t>27</w:t>
        </w:r>
      </w:hyperlink>
    </w:p>
    <w:p>
      <w:pPr>
        <w:pStyle w:val="TextBody"/>
        <w:bidi w:val="0"/>
        <w:spacing w:lineRule="auto" w:line="288" w:before="0" w:after="100"/>
        <w:ind w:left="0" w:right="0" w:hanging="720"/>
        <w:jc w:val="left"/>
        <w:rPr/>
      </w:pPr>
      <w:hyperlink w:anchor="i105d86eced1c4a3794b2594af8df362d_4">
        <w:r>
          <w:rPr>
            <w:rStyle w:val="InternetLink"/>
          </w:rPr>
          <w:t>15.</w:t>
        </w:r>
      </w:hyperlink>
      <w:hyperlink w:anchor="i105d86eced1c4a3794b2594af8df362d_4">
        <w:r>
          <w:rPr>
            <w:rStyle w:val="InternetLink"/>
          </w:rPr>
          <w:t>    </w:t>
        </w:r>
      </w:hyperlink>
      <w:hyperlink w:anchor="i105d86eced1c4a3794b2594af8df362d_4">
        <w:r>
          <w:rPr>
            <w:rStyle w:val="InternetLink"/>
          </w:rPr>
          <w:t>COMPLIANCE WITH SECTION 409A.</w:t>
        </w:r>
      </w:hyperlink>
      <w:hyperlink w:anchor="i105d86eced1c4a3794b2594af8df362d_4">
        <w:r>
          <w:rPr>
            <w:rStyle w:val="InternetLink"/>
          </w:rPr>
          <w:t>    </w:t>
        </w:r>
      </w:hyperlink>
      <w:hyperlink w:anchor="i105d86eced1c4a3794b2594af8df362d_4">
        <w:r>
          <w:rPr>
            <w:rStyle w:val="InternetLink"/>
          </w:rPr>
          <w:t>27</w:t>
        </w:r>
      </w:hyperlink>
    </w:p>
    <w:p>
      <w:pPr>
        <w:pStyle w:val="TextBody"/>
        <w:bidi w:val="0"/>
        <w:spacing w:lineRule="auto" w:line="288" w:before="0" w:after="100"/>
        <w:ind w:left="0" w:right="0" w:hanging="720"/>
        <w:jc w:val="left"/>
        <w:rPr/>
      </w:pPr>
      <w:hyperlink w:anchor="i105d86eced1c4a3794b2594af8df362d_4">
        <w:r>
          <w:rPr>
            <w:rStyle w:val="InternetLink"/>
          </w:rPr>
          <w:t>15.1</w:t>
        </w:r>
      </w:hyperlink>
      <w:hyperlink w:anchor="i105d86eced1c4a3794b2594af8df362d_4">
        <w:r>
          <w:rPr>
            <w:rStyle w:val="InternetLink"/>
          </w:rPr>
          <w:t>    </w:t>
        </w:r>
      </w:hyperlink>
      <w:hyperlink w:anchor="i105d86eced1c4a3794b2594af8df362d_4">
        <w:r>
          <w:rPr>
            <w:rStyle w:val="InternetLink"/>
          </w:rPr>
          <w:t>Awards Subject to Section 409A</w:t>
        </w:r>
      </w:hyperlink>
      <w:hyperlink w:anchor="i105d86eced1c4a3794b2594af8df362d_4">
        <w:r>
          <w:rPr>
            <w:rStyle w:val="InternetLink"/>
          </w:rPr>
          <w:t>    </w:t>
        </w:r>
      </w:hyperlink>
      <w:hyperlink w:anchor="i105d86eced1c4a3794b2594af8df362d_4">
        <w:r>
          <w:rPr>
            <w:rStyle w:val="InternetLink"/>
          </w:rPr>
          <w:t>27</w:t>
        </w:r>
      </w:hyperlink>
    </w:p>
    <w:p>
      <w:pPr>
        <w:pStyle w:val="TextBody"/>
        <w:bidi w:val="0"/>
        <w:spacing w:lineRule="auto" w:line="288" w:before="0" w:after="100"/>
        <w:ind w:left="0" w:right="0" w:hanging="720"/>
        <w:jc w:val="left"/>
        <w:rPr/>
      </w:pPr>
      <w:hyperlink w:anchor="i105d86eced1c4a3794b2594af8df362d_4">
        <w:r>
          <w:rPr>
            <w:rStyle w:val="InternetLink"/>
          </w:rPr>
          <w:t>15.2</w:t>
        </w:r>
      </w:hyperlink>
      <w:hyperlink w:anchor="i105d86eced1c4a3794b2594af8df362d_4">
        <w:r>
          <w:rPr>
            <w:rStyle w:val="InternetLink"/>
          </w:rPr>
          <w:t>    </w:t>
        </w:r>
      </w:hyperlink>
      <w:hyperlink w:anchor="i105d86eced1c4a3794b2594af8df362d_4">
        <w:r>
          <w:rPr>
            <w:rStyle w:val="InternetLink"/>
          </w:rPr>
          <w:t>Deferral and/or Distribution Elections</w:t>
        </w:r>
      </w:hyperlink>
      <w:hyperlink w:anchor="i105d86eced1c4a3794b2594af8df362d_4">
        <w:r>
          <w:rPr>
            <w:rStyle w:val="InternetLink"/>
          </w:rPr>
          <w:t>    </w:t>
        </w:r>
      </w:hyperlink>
      <w:hyperlink w:anchor="i105d86eced1c4a3794b2594af8df362d_4">
        <w:r>
          <w:rPr>
            <w:rStyle w:val="InternetLink"/>
          </w:rPr>
          <w:t>28</w:t>
        </w:r>
      </w:hyperlink>
    </w:p>
    <w:p>
      <w:pPr>
        <w:pStyle w:val="TextBody"/>
        <w:bidi w:val="0"/>
        <w:spacing w:lineRule="auto" w:line="288" w:before="0" w:after="100"/>
        <w:ind w:left="0" w:right="0" w:hanging="720"/>
        <w:jc w:val="left"/>
        <w:rPr/>
      </w:pPr>
      <w:hyperlink w:anchor="i105d86eced1c4a3794b2594af8df362d_4">
        <w:r>
          <w:rPr>
            <w:rStyle w:val="InternetLink"/>
          </w:rPr>
          <w:t>15.3</w:t>
        </w:r>
      </w:hyperlink>
      <w:hyperlink w:anchor="i105d86eced1c4a3794b2594af8df362d_4">
        <w:r>
          <w:rPr>
            <w:rStyle w:val="InternetLink"/>
          </w:rPr>
          <w:t>    </w:t>
        </w:r>
      </w:hyperlink>
      <w:hyperlink w:anchor="i105d86eced1c4a3794b2594af8df362d_4">
        <w:r>
          <w:rPr>
            <w:rStyle w:val="InternetLink"/>
          </w:rPr>
          <w:t>Subsequent Elections</w:t>
        </w:r>
      </w:hyperlink>
      <w:hyperlink w:anchor="i105d86eced1c4a3794b2594af8df362d_4">
        <w:r>
          <w:rPr>
            <w:rStyle w:val="InternetLink"/>
          </w:rPr>
          <w:t>    </w:t>
        </w:r>
      </w:hyperlink>
      <w:hyperlink w:anchor="i105d86eced1c4a3794b2594af8df362d_4">
        <w:r>
          <w:rPr>
            <w:rStyle w:val="InternetLink"/>
          </w:rPr>
          <w:t>28</w:t>
        </w:r>
      </w:hyperlink>
    </w:p>
    <w:p>
      <w:pPr>
        <w:pStyle w:val="TextBody"/>
        <w:bidi w:val="0"/>
        <w:spacing w:lineRule="auto" w:line="288" w:before="0" w:after="100"/>
        <w:ind w:left="0" w:right="0" w:hanging="720"/>
        <w:jc w:val="left"/>
        <w:rPr/>
      </w:pPr>
      <w:hyperlink w:anchor="i105d86eced1c4a3794b2594af8df362d_4">
        <w:r>
          <w:rPr>
            <w:rStyle w:val="InternetLink"/>
          </w:rPr>
          <w:t>15.4</w:t>
        </w:r>
      </w:hyperlink>
      <w:hyperlink w:anchor="i105d86eced1c4a3794b2594af8df362d_4">
        <w:r>
          <w:rPr>
            <w:rStyle w:val="InternetLink"/>
          </w:rPr>
          <w:t>    </w:t>
        </w:r>
      </w:hyperlink>
      <w:hyperlink w:anchor="i105d86eced1c4a3794b2594af8df362d_4">
        <w:r>
          <w:rPr>
            <w:rStyle w:val="InternetLink"/>
          </w:rPr>
          <w:t>Payment of Section 409A Deferred Compensation</w:t>
        </w:r>
      </w:hyperlink>
      <w:hyperlink w:anchor="i105d86eced1c4a3794b2594af8df362d_4">
        <w:r>
          <w:rPr>
            <w:rStyle w:val="InternetLink"/>
          </w:rPr>
          <w:t>    </w:t>
        </w:r>
      </w:hyperlink>
      <w:hyperlink w:anchor="i105d86eced1c4a3794b2594af8df362d_4">
        <w:r>
          <w:rPr>
            <w:rStyle w:val="InternetLink"/>
          </w:rPr>
          <w:t>29</w:t>
        </w:r>
      </w:hyperlink>
    </w:p>
    <w:p>
      <w:pPr>
        <w:pStyle w:val="TextBody"/>
        <w:bidi w:val="0"/>
        <w:spacing w:lineRule="auto" w:line="288" w:before="0" w:after="100"/>
        <w:ind w:left="0" w:right="0" w:hanging="720"/>
        <w:jc w:val="left"/>
        <w:rPr/>
      </w:pPr>
      <w:hyperlink w:anchor="i105d86eced1c4a3794b2594af8df362d_4">
        <w:r>
          <w:rPr>
            <w:rStyle w:val="InternetLink"/>
          </w:rPr>
          <w:t>16.</w:t>
        </w:r>
      </w:hyperlink>
      <w:hyperlink w:anchor="i105d86eced1c4a3794b2594af8df362d_4">
        <w:r>
          <w:rPr>
            <w:rStyle w:val="InternetLink"/>
          </w:rPr>
          <w:t>    </w:t>
        </w:r>
      </w:hyperlink>
      <w:hyperlink w:anchor="i105d86eced1c4a3794b2594af8df362d_4">
        <w:r>
          <w:rPr>
            <w:rStyle w:val="InternetLink"/>
          </w:rPr>
          <w:t>TAX WITHHOLDING.</w:t>
        </w:r>
      </w:hyperlink>
      <w:hyperlink w:anchor="i105d86eced1c4a3794b2594af8df362d_4">
        <w:r>
          <w:rPr>
            <w:rStyle w:val="InternetLink"/>
          </w:rPr>
          <w:t>    </w:t>
        </w:r>
      </w:hyperlink>
      <w:hyperlink w:anchor="i105d86eced1c4a3794b2594af8df362d_4">
        <w:r>
          <w:rPr>
            <w:rStyle w:val="InternetLink"/>
          </w:rPr>
          <w:t>30</w:t>
        </w:r>
      </w:hyperlink>
    </w:p>
    <w:p>
      <w:pPr>
        <w:pStyle w:val="TextBody"/>
        <w:bidi w:val="0"/>
        <w:spacing w:lineRule="auto" w:line="288" w:before="0" w:after="100"/>
        <w:ind w:left="0" w:right="0" w:hanging="720"/>
        <w:jc w:val="left"/>
        <w:rPr/>
      </w:pPr>
      <w:hyperlink w:anchor="i105d86eced1c4a3794b2594af8df362d_4">
        <w:r>
          <w:rPr>
            <w:rStyle w:val="InternetLink"/>
          </w:rPr>
          <w:t>16.1</w:t>
        </w:r>
      </w:hyperlink>
      <w:hyperlink w:anchor="i105d86eced1c4a3794b2594af8df362d_4">
        <w:r>
          <w:rPr>
            <w:rStyle w:val="InternetLink"/>
          </w:rPr>
          <w:t>    </w:t>
        </w:r>
      </w:hyperlink>
      <w:hyperlink w:anchor="i105d86eced1c4a3794b2594af8df362d_4">
        <w:r>
          <w:rPr>
            <w:rStyle w:val="InternetLink"/>
          </w:rPr>
          <w:t>Tax Withholding in General</w:t>
        </w:r>
      </w:hyperlink>
      <w:hyperlink w:anchor="i105d86eced1c4a3794b2594af8df362d_4">
        <w:r>
          <w:rPr>
            <w:rStyle w:val="InternetLink"/>
          </w:rPr>
          <w:t>    </w:t>
        </w:r>
      </w:hyperlink>
      <w:hyperlink w:anchor="i105d86eced1c4a3794b2594af8df362d_4">
        <w:r>
          <w:rPr>
            <w:rStyle w:val="InternetLink"/>
          </w:rPr>
          <w:t>31</w:t>
        </w:r>
      </w:hyperlink>
    </w:p>
    <w:p>
      <w:pPr>
        <w:pStyle w:val="TextBody"/>
        <w:bidi w:val="0"/>
        <w:spacing w:lineRule="auto" w:line="288" w:before="0" w:after="100"/>
        <w:ind w:left="0" w:right="0" w:hanging="720"/>
        <w:jc w:val="left"/>
        <w:rPr/>
      </w:pPr>
      <w:hyperlink w:anchor="i105d86eced1c4a3794b2594af8df362d_4">
        <w:r>
          <w:rPr>
            <w:rStyle w:val="InternetLink"/>
          </w:rPr>
          <w:t>16.2</w:t>
        </w:r>
      </w:hyperlink>
      <w:hyperlink w:anchor="i105d86eced1c4a3794b2594af8df362d_4">
        <w:r>
          <w:rPr>
            <w:rStyle w:val="InternetLink"/>
          </w:rPr>
          <w:t>    </w:t>
        </w:r>
      </w:hyperlink>
      <w:hyperlink w:anchor="i105d86eced1c4a3794b2594af8df362d_4">
        <w:r>
          <w:rPr>
            <w:rStyle w:val="InternetLink"/>
          </w:rPr>
          <w:t>Withholding in or Directed Sale of Shares</w:t>
        </w:r>
      </w:hyperlink>
      <w:hyperlink w:anchor="i105d86eced1c4a3794b2594af8df362d_4">
        <w:r>
          <w:rPr>
            <w:rStyle w:val="InternetLink"/>
          </w:rPr>
          <w:t>    </w:t>
        </w:r>
      </w:hyperlink>
      <w:hyperlink w:anchor="i105d86eced1c4a3794b2594af8df362d_4">
        <w:r>
          <w:rPr>
            <w:rStyle w:val="InternetLink"/>
          </w:rPr>
          <w:t>31</w:t>
        </w:r>
      </w:hyperlink>
    </w:p>
    <w:p>
      <w:pPr>
        <w:pStyle w:val="TextBody"/>
        <w:bidi w:val="0"/>
        <w:spacing w:lineRule="auto" w:line="288" w:before="0" w:after="100"/>
        <w:ind w:left="0" w:right="0" w:hanging="720"/>
        <w:jc w:val="left"/>
        <w:rPr/>
      </w:pPr>
      <w:hyperlink w:anchor="i105d86eced1c4a3794b2594af8df362d_4">
        <w:r>
          <w:rPr>
            <w:rStyle w:val="InternetLink"/>
          </w:rPr>
          <w:t>17.</w:t>
        </w:r>
      </w:hyperlink>
      <w:hyperlink w:anchor="i105d86eced1c4a3794b2594af8df362d_4">
        <w:r>
          <w:rPr>
            <w:rStyle w:val="InternetLink"/>
          </w:rPr>
          <w:t>    </w:t>
        </w:r>
      </w:hyperlink>
      <w:hyperlink w:anchor="i105d86eced1c4a3794b2594af8df362d_4">
        <w:r>
          <w:rPr>
            <w:rStyle w:val="InternetLink"/>
          </w:rPr>
          <w:t>AMENDMENT, SUSPENSION OR TERMINATION OF PLAN.</w:t>
        </w:r>
      </w:hyperlink>
      <w:hyperlink w:anchor="i105d86eced1c4a3794b2594af8df362d_4">
        <w:r>
          <w:rPr>
            <w:rStyle w:val="InternetLink"/>
          </w:rPr>
          <w:t>    </w:t>
        </w:r>
      </w:hyperlink>
      <w:hyperlink w:anchor="i105d86eced1c4a3794b2594af8df362d_4">
        <w:r>
          <w:rPr>
            <w:rStyle w:val="InternetLink"/>
          </w:rPr>
          <w:t>31</w:t>
        </w:r>
      </w:hyperlink>
    </w:p>
    <w:p>
      <w:pPr>
        <w:pStyle w:val="TextBody"/>
        <w:bidi w:val="0"/>
        <w:spacing w:lineRule="auto" w:line="288" w:before="0" w:after="100"/>
        <w:ind w:left="0" w:right="0" w:hanging="720"/>
        <w:jc w:val="left"/>
        <w:rPr/>
      </w:pPr>
      <w:hyperlink w:anchor="i105d86eced1c4a3794b2594af8df362d_4">
        <w:r>
          <w:rPr>
            <w:rStyle w:val="InternetLink"/>
          </w:rPr>
          <w:t>18.</w:t>
        </w:r>
      </w:hyperlink>
      <w:hyperlink w:anchor="i105d86eced1c4a3794b2594af8df362d_4">
        <w:r>
          <w:rPr>
            <w:rStyle w:val="InternetLink"/>
          </w:rPr>
          <w:t>    </w:t>
        </w:r>
      </w:hyperlink>
      <w:hyperlink w:anchor="i105d86eced1c4a3794b2594af8df362d_4">
        <w:r>
          <w:rPr>
            <w:rStyle w:val="InternetLink"/>
          </w:rPr>
          <w:t>MISCELLANEOUS PROVISIONS.</w:t>
        </w:r>
      </w:hyperlink>
      <w:hyperlink w:anchor="i105d86eced1c4a3794b2594af8df362d_4">
        <w:r>
          <w:rPr>
            <w:rStyle w:val="InternetLink"/>
          </w:rPr>
          <w:t>    </w:t>
        </w:r>
      </w:hyperlink>
      <w:hyperlink w:anchor="i105d86eced1c4a3794b2594af8df362d_4">
        <w:r>
          <w:rPr>
            <w:rStyle w:val="InternetLink"/>
          </w:rPr>
          <w:t>31</w:t>
        </w:r>
      </w:hyperlink>
    </w:p>
    <w:p>
      <w:pPr>
        <w:pStyle w:val="TextBody"/>
        <w:bidi w:val="0"/>
        <w:spacing w:lineRule="auto" w:line="288" w:before="0" w:after="100"/>
        <w:ind w:left="0" w:right="0" w:hanging="720"/>
        <w:jc w:val="left"/>
        <w:rPr/>
      </w:pPr>
      <w:hyperlink w:anchor="i105d86eced1c4a3794b2594af8df362d_4">
        <w:r>
          <w:rPr>
            <w:rStyle w:val="InternetLink"/>
          </w:rPr>
          <w:t>18.1</w:t>
        </w:r>
      </w:hyperlink>
      <w:hyperlink w:anchor="i105d86eced1c4a3794b2594af8df362d_4">
        <w:r>
          <w:rPr>
            <w:rStyle w:val="InternetLink"/>
          </w:rPr>
          <w:t>    </w:t>
        </w:r>
      </w:hyperlink>
      <w:hyperlink w:anchor="i105d86eced1c4a3794b2594af8df362d_4">
        <w:r>
          <w:rPr>
            <w:rStyle w:val="InternetLink"/>
          </w:rPr>
          <w:t>Repurchase Rights</w:t>
        </w:r>
      </w:hyperlink>
      <w:hyperlink w:anchor="i105d86eced1c4a3794b2594af8df362d_4">
        <w:r>
          <w:rPr>
            <w:rStyle w:val="InternetLink"/>
          </w:rPr>
          <w:t>    </w:t>
        </w:r>
      </w:hyperlink>
      <w:hyperlink w:anchor="i105d86eced1c4a3794b2594af8df362d_4">
        <w:r>
          <w:rPr>
            <w:rStyle w:val="InternetLink"/>
          </w:rPr>
          <w:t>31</w:t>
        </w:r>
      </w:hyperlink>
    </w:p>
    <w:p>
      <w:pPr>
        <w:pStyle w:val="TextBody"/>
        <w:bidi w:val="0"/>
        <w:spacing w:lineRule="auto" w:line="288" w:before="0" w:after="100"/>
        <w:ind w:left="0" w:right="0" w:hanging="720"/>
        <w:jc w:val="left"/>
        <w:rPr/>
      </w:pPr>
      <w:hyperlink w:anchor="i105d86eced1c4a3794b2594af8df362d_4">
        <w:r>
          <w:rPr>
            <w:rStyle w:val="InternetLink"/>
          </w:rPr>
          <w:t>18.2</w:t>
        </w:r>
      </w:hyperlink>
      <w:hyperlink w:anchor="i105d86eced1c4a3794b2594af8df362d_4">
        <w:r>
          <w:rPr>
            <w:rStyle w:val="InternetLink"/>
          </w:rPr>
          <w:t>    </w:t>
        </w:r>
      </w:hyperlink>
      <w:hyperlink w:anchor="i105d86eced1c4a3794b2594af8df362d_4">
        <w:r>
          <w:rPr>
            <w:rStyle w:val="InternetLink"/>
          </w:rPr>
          <w:t>Forfeiture Events</w:t>
        </w:r>
      </w:hyperlink>
      <w:hyperlink w:anchor="i105d86eced1c4a3794b2594af8df362d_4">
        <w:r>
          <w:rPr>
            <w:rStyle w:val="InternetLink"/>
          </w:rPr>
          <w:t>    </w:t>
        </w:r>
      </w:hyperlink>
      <w:hyperlink w:anchor="i105d86eced1c4a3794b2594af8df362d_4">
        <w:r>
          <w:rPr>
            <w:rStyle w:val="InternetLink"/>
          </w:rPr>
          <w:t>31</w:t>
        </w:r>
      </w:hyperlink>
    </w:p>
    <w:p>
      <w:pPr>
        <w:pStyle w:val="TextBody"/>
        <w:bidi w:val="0"/>
        <w:spacing w:lineRule="auto" w:line="288" w:before="0" w:after="100"/>
        <w:ind w:left="0" w:right="0" w:hanging="720"/>
        <w:jc w:val="left"/>
        <w:rPr/>
      </w:pPr>
      <w:hyperlink w:anchor="i105d86eced1c4a3794b2594af8df362d_4">
        <w:r>
          <w:rPr>
            <w:rStyle w:val="InternetLink"/>
          </w:rPr>
          <w:t>18.3</w:t>
        </w:r>
      </w:hyperlink>
      <w:hyperlink w:anchor="i105d86eced1c4a3794b2594af8df362d_4">
        <w:r>
          <w:rPr>
            <w:rStyle w:val="InternetLink"/>
          </w:rPr>
          <w:t>    </w:t>
        </w:r>
      </w:hyperlink>
      <w:hyperlink w:anchor="i105d86eced1c4a3794b2594af8df362d_4">
        <w:r>
          <w:rPr>
            <w:rStyle w:val="InternetLink"/>
          </w:rPr>
          <w:t>Provision of Information</w:t>
        </w:r>
      </w:hyperlink>
      <w:hyperlink w:anchor="i105d86eced1c4a3794b2594af8df362d_4">
        <w:r>
          <w:rPr>
            <w:rStyle w:val="InternetLink"/>
          </w:rPr>
          <w:t>    </w:t>
        </w:r>
      </w:hyperlink>
      <w:hyperlink w:anchor="i105d86eced1c4a3794b2594af8df362d_4">
        <w:r>
          <w:rPr>
            <w:rStyle w:val="InternetLink"/>
          </w:rPr>
          <w:t>32</w:t>
        </w:r>
      </w:hyperlink>
    </w:p>
    <w:p>
      <w:pPr>
        <w:pStyle w:val="TextBody"/>
        <w:bidi w:val="0"/>
        <w:spacing w:lineRule="auto" w:line="288" w:before="0" w:after="100"/>
        <w:ind w:left="0" w:right="0" w:hanging="720"/>
        <w:jc w:val="left"/>
        <w:rPr/>
      </w:pPr>
      <w:hyperlink w:anchor="i105d86eced1c4a3794b2594af8df362d_4">
        <w:r>
          <w:rPr>
            <w:rStyle w:val="InternetLink"/>
          </w:rPr>
          <w:t>18.4</w:t>
        </w:r>
      </w:hyperlink>
      <w:hyperlink w:anchor="i105d86eced1c4a3794b2594af8df362d_4">
        <w:r>
          <w:rPr>
            <w:rStyle w:val="InternetLink"/>
          </w:rPr>
          <w:t>    </w:t>
        </w:r>
      </w:hyperlink>
      <w:hyperlink w:anchor="i105d86eced1c4a3794b2594af8df362d_4">
        <w:r>
          <w:rPr>
            <w:rStyle w:val="InternetLink"/>
          </w:rPr>
          <w:t>Electronic Delivery and Participation</w:t>
        </w:r>
      </w:hyperlink>
      <w:hyperlink w:anchor="i105d86eced1c4a3794b2594af8df362d_4">
        <w:r>
          <w:rPr>
            <w:rStyle w:val="InternetLink"/>
          </w:rPr>
          <w:t>    </w:t>
        </w:r>
      </w:hyperlink>
      <w:hyperlink w:anchor="i105d86eced1c4a3794b2594af8df362d_4">
        <w:r>
          <w:rPr>
            <w:rStyle w:val="InternetLink"/>
          </w:rPr>
          <w:t>32</w:t>
        </w:r>
      </w:hyperlink>
    </w:p>
    <w:p>
      <w:pPr>
        <w:pStyle w:val="TextBody"/>
        <w:bidi w:val="0"/>
        <w:spacing w:lineRule="auto" w:line="288" w:before="0" w:after="100"/>
        <w:ind w:left="0" w:right="0" w:hanging="720"/>
        <w:jc w:val="left"/>
        <w:rPr/>
      </w:pPr>
      <w:hyperlink w:anchor="i105d86eced1c4a3794b2594af8df362d_4">
        <w:r>
          <w:rPr>
            <w:rStyle w:val="InternetLink"/>
          </w:rPr>
          <w:t>18.5</w:t>
        </w:r>
      </w:hyperlink>
      <w:hyperlink w:anchor="i105d86eced1c4a3794b2594af8df362d_4">
        <w:r>
          <w:rPr>
            <w:rStyle w:val="InternetLink"/>
          </w:rPr>
          <w:t>    </w:t>
        </w:r>
      </w:hyperlink>
      <w:hyperlink w:anchor="i105d86eced1c4a3794b2594af8df362d_4">
        <w:r>
          <w:rPr>
            <w:rStyle w:val="InternetLink"/>
          </w:rPr>
          <w:t>Change in Time Commitment</w:t>
        </w:r>
      </w:hyperlink>
      <w:hyperlink w:anchor="i105d86eced1c4a3794b2594af8df362d_4">
        <w:r>
          <w:rPr>
            <w:rStyle w:val="InternetLink"/>
          </w:rPr>
          <w:t>    </w:t>
        </w:r>
      </w:hyperlink>
      <w:hyperlink w:anchor="i105d86eced1c4a3794b2594af8df362d_4">
        <w:r>
          <w:rPr>
            <w:rStyle w:val="InternetLink"/>
          </w:rPr>
          <w:t>32</w:t>
        </w:r>
      </w:hyperlink>
    </w:p>
    <w:p>
      <w:pPr>
        <w:pStyle w:val="TextBody"/>
        <w:bidi w:val="0"/>
        <w:spacing w:lineRule="auto" w:line="288" w:before="0" w:after="100"/>
        <w:ind w:left="0" w:right="0" w:hanging="720"/>
        <w:jc w:val="left"/>
        <w:rPr/>
      </w:pPr>
      <w:hyperlink w:anchor="i105d86eced1c4a3794b2594af8df362d_4">
        <w:r>
          <w:rPr>
            <w:rStyle w:val="InternetLink"/>
          </w:rPr>
          <w:t>18.6</w:t>
        </w:r>
      </w:hyperlink>
      <w:hyperlink w:anchor="i105d86eced1c4a3794b2594af8df362d_4">
        <w:r>
          <w:rPr>
            <w:rStyle w:val="InternetLink"/>
          </w:rPr>
          <w:t>    </w:t>
        </w:r>
      </w:hyperlink>
      <w:hyperlink w:anchor="i105d86eced1c4a3794b2594af8df362d_4">
        <w:r>
          <w:rPr>
            <w:rStyle w:val="InternetLink"/>
          </w:rPr>
          <w:t>Rights as Employee, Consultant or Director</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18.7</w:t>
        </w:r>
      </w:hyperlink>
      <w:hyperlink w:anchor="i105d86eced1c4a3794b2594af8df362d_4">
        <w:r>
          <w:rPr>
            <w:rStyle w:val="InternetLink"/>
          </w:rPr>
          <w:t>    </w:t>
        </w:r>
      </w:hyperlink>
      <w:hyperlink w:anchor="i105d86eced1c4a3794b2594af8df362d_4">
        <w:r>
          <w:rPr>
            <w:rStyle w:val="InternetLink"/>
          </w:rPr>
          <w:t>Rights as a Stockholder</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18.8</w:t>
        </w:r>
      </w:hyperlink>
      <w:hyperlink w:anchor="i105d86eced1c4a3794b2594af8df362d_4">
        <w:r>
          <w:rPr>
            <w:rStyle w:val="InternetLink"/>
          </w:rPr>
          <w:t>    </w:t>
        </w:r>
      </w:hyperlink>
      <w:hyperlink w:anchor="i105d86eced1c4a3794b2594af8df362d_4">
        <w:r>
          <w:rPr>
            <w:rStyle w:val="InternetLink"/>
          </w:rPr>
          <w:t>Delivery of Title to Shares</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18.9</w:t>
        </w:r>
      </w:hyperlink>
      <w:hyperlink w:anchor="i105d86eced1c4a3794b2594af8df362d_4">
        <w:r>
          <w:rPr>
            <w:rStyle w:val="InternetLink"/>
          </w:rPr>
          <w:t>    </w:t>
        </w:r>
      </w:hyperlink>
      <w:hyperlink w:anchor="i105d86eced1c4a3794b2594af8df362d_4">
        <w:r>
          <w:rPr>
            <w:rStyle w:val="InternetLink"/>
          </w:rPr>
          <w:t>Fractional Shares</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18.10</w:t>
        </w:r>
      </w:hyperlink>
      <w:hyperlink w:anchor="i105d86eced1c4a3794b2594af8df362d_4">
        <w:r>
          <w:rPr>
            <w:rStyle w:val="InternetLink"/>
          </w:rPr>
          <w:t>    </w:t>
        </w:r>
      </w:hyperlink>
      <w:hyperlink w:anchor="i105d86eced1c4a3794b2594af8df362d_4">
        <w:r>
          <w:rPr>
            <w:rStyle w:val="InternetLink"/>
          </w:rPr>
          <w:t>Provisions for Non-U</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18.11</w:t>
        </w:r>
      </w:hyperlink>
      <w:hyperlink w:anchor="i105d86eced1c4a3794b2594af8df362d_4">
        <w:r>
          <w:rPr>
            <w:rStyle w:val="InternetLink"/>
          </w:rPr>
          <w:t>    </w:t>
        </w:r>
      </w:hyperlink>
      <w:hyperlink w:anchor="i105d86eced1c4a3794b2594af8df362d_4">
        <w:r>
          <w:rPr>
            <w:rStyle w:val="InternetLink"/>
          </w:rPr>
          <w:t>Lock-Up Period</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18.12</w:t>
        </w:r>
      </w:hyperlink>
      <w:hyperlink w:anchor="i105d86eced1c4a3794b2594af8df362d_4">
        <w:r>
          <w:rPr>
            <w:rStyle w:val="InternetLink"/>
          </w:rPr>
          <w:t>    </w:t>
        </w:r>
      </w:hyperlink>
      <w:hyperlink w:anchor="i105d86eced1c4a3794b2594af8df362d_4">
        <w:r>
          <w:rPr>
            <w:rStyle w:val="InternetLink"/>
          </w:rPr>
          <w:t>Data Privacy</w:t>
        </w:r>
      </w:hyperlink>
      <w:hyperlink w:anchor="i105d86eced1c4a3794b2594af8df362d_4">
        <w:r>
          <w:rPr>
            <w:rStyle w:val="InternetLink"/>
          </w:rPr>
          <w:t>    </w:t>
        </w:r>
      </w:hyperlink>
      <w:hyperlink w:anchor="i105d86eced1c4a3794b2594af8df362d_4">
        <w:r>
          <w:rPr>
            <w:rStyle w:val="InternetLink"/>
          </w:rPr>
          <w:t>33</w:t>
        </w:r>
      </w:hyperlink>
    </w:p>
    <w:p>
      <w:pPr>
        <w:pStyle w:val="TextBody"/>
        <w:bidi w:val="0"/>
        <w:spacing w:lineRule="auto" w:line="288" w:before="0" w:after="100"/>
        <w:ind w:left="0" w:right="0" w:hanging="720"/>
        <w:jc w:val="left"/>
        <w:rPr/>
      </w:pPr>
      <w:hyperlink w:anchor="i105d86eced1c4a3794b2594af8df362d_4">
        <w:r>
          <w:rPr>
            <w:rStyle w:val="InternetLink"/>
          </w:rPr>
          <w:t>18.13</w:t>
        </w:r>
      </w:hyperlink>
      <w:hyperlink w:anchor="i105d86eced1c4a3794b2594af8df362d_4">
        <w:r>
          <w:rPr>
            <w:rStyle w:val="InternetLink"/>
          </w:rPr>
          <w:t>    </w:t>
        </w:r>
      </w:hyperlink>
      <w:hyperlink w:anchor="i105d86eced1c4a3794b2594af8df362d_4">
        <w:r>
          <w:rPr>
            <w:rStyle w:val="InternetLink"/>
          </w:rPr>
          <w:t>Retirement and Welfare Plans</w:t>
        </w:r>
      </w:hyperlink>
      <w:hyperlink w:anchor="i105d86eced1c4a3794b2594af8df362d_4">
        <w:r>
          <w:rPr>
            <w:rStyle w:val="InternetLink"/>
          </w:rPr>
          <w:t>    </w:t>
        </w:r>
      </w:hyperlink>
      <w:hyperlink w:anchor="i105d86eced1c4a3794b2594af8df362d_4">
        <w:r>
          <w:rPr>
            <w:rStyle w:val="InternetLink"/>
          </w:rPr>
          <w:t>34</w:t>
        </w:r>
      </w:hyperlink>
    </w:p>
    <w:p>
      <w:pPr>
        <w:pStyle w:val="TextBody"/>
        <w:bidi w:val="0"/>
        <w:spacing w:lineRule="auto" w:line="288" w:before="0" w:after="100"/>
        <w:ind w:left="0" w:right="0" w:hanging="720"/>
        <w:jc w:val="left"/>
        <w:rPr/>
      </w:pPr>
      <w:hyperlink w:anchor="i105d86eced1c4a3794b2594af8df362d_4">
        <w:r>
          <w:rPr>
            <w:rStyle w:val="InternetLink"/>
          </w:rPr>
          <w:t>18.14</w:t>
        </w:r>
      </w:hyperlink>
      <w:hyperlink w:anchor="i105d86eced1c4a3794b2594af8df362d_4">
        <w:r>
          <w:rPr>
            <w:rStyle w:val="InternetLink"/>
          </w:rPr>
          <w:t>    </w:t>
        </w:r>
      </w:hyperlink>
      <w:hyperlink w:anchor="i105d86eced1c4a3794b2594af8df362d_4">
        <w:r>
          <w:rPr>
            <w:rStyle w:val="InternetLink"/>
          </w:rPr>
          <w:t>Beneficiary Designation</w:t>
        </w:r>
      </w:hyperlink>
      <w:hyperlink w:anchor="i105d86eced1c4a3794b2594af8df362d_4">
        <w:r>
          <w:rPr>
            <w:rStyle w:val="InternetLink"/>
          </w:rPr>
          <w:t>    </w:t>
        </w:r>
      </w:hyperlink>
      <w:hyperlink w:anchor="i105d86eced1c4a3794b2594af8df362d_4">
        <w:r>
          <w:rPr>
            <w:rStyle w:val="InternetLink"/>
          </w:rPr>
          <w:t>34</w:t>
        </w:r>
      </w:hyperlink>
    </w:p>
    <w:p>
      <w:pPr>
        <w:pStyle w:val="TextBody"/>
        <w:bidi w:val="0"/>
        <w:spacing w:lineRule="auto" w:line="288" w:before="0" w:after="100"/>
        <w:ind w:left="0" w:right="0" w:hanging="720"/>
        <w:jc w:val="left"/>
        <w:rPr/>
      </w:pPr>
      <w:hyperlink w:anchor="i105d86eced1c4a3794b2594af8df362d_4">
        <w:r>
          <w:rPr>
            <w:rStyle w:val="InternetLink"/>
          </w:rPr>
          <w:t>18.15</w:t>
        </w:r>
      </w:hyperlink>
      <w:hyperlink w:anchor="i105d86eced1c4a3794b2594af8df362d_4">
        <w:r>
          <w:rPr>
            <w:rStyle w:val="InternetLink"/>
          </w:rPr>
          <w:t>    </w:t>
        </w:r>
      </w:hyperlink>
      <w:hyperlink w:anchor="i105d86eced1c4a3794b2594af8df362d_4">
        <w:r>
          <w:rPr>
            <w:rStyle w:val="InternetLink"/>
          </w:rPr>
          <w:t>Severability</w:t>
        </w:r>
      </w:hyperlink>
      <w:hyperlink w:anchor="i105d86eced1c4a3794b2594af8df362d_4">
        <w:r>
          <w:rPr>
            <w:rStyle w:val="InternetLink"/>
          </w:rPr>
          <w:t>    </w:t>
        </w:r>
      </w:hyperlink>
      <w:hyperlink w:anchor="i105d86eced1c4a3794b2594af8df362d_4">
        <w:r>
          <w:rPr>
            <w:rStyle w:val="InternetLink"/>
          </w:rPr>
          <w:t>34</w:t>
        </w:r>
      </w:hyperlink>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1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00"/>
        <w:ind w:left="0" w:right="0" w:hanging="720"/>
        <w:jc w:val="left"/>
        <w:rPr/>
      </w:pPr>
      <w:hyperlink w:anchor="i105d86eced1c4a3794b2594af8df362d_4">
        <w:r>
          <w:rPr>
            <w:rStyle w:val="InternetLink"/>
          </w:rPr>
          <w:t>18.16</w:t>
        </w:r>
      </w:hyperlink>
      <w:hyperlink w:anchor="i105d86eced1c4a3794b2594af8df362d_4">
        <w:r>
          <w:rPr>
            <w:rStyle w:val="InternetLink"/>
          </w:rPr>
          <w:t>    </w:t>
        </w:r>
      </w:hyperlink>
      <w:hyperlink w:anchor="i105d86eced1c4a3794b2594af8df362d_4">
        <w:r>
          <w:rPr>
            <w:rStyle w:val="InternetLink"/>
          </w:rPr>
          <w:t>No Constraint on Corporate Action</w:t>
        </w:r>
      </w:hyperlink>
      <w:hyperlink w:anchor="i105d86eced1c4a3794b2594af8df362d_4">
        <w:r>
          <w:rPr>
            <w:rStyle w:val="InternetLink"/>
          </w:rPr>
          <w:t>    </w:t>
        </w:r>
      </w:hyperlink>
      <w:hyperlink w:anchor="i105d86eced1c4a3794b2594af8df362d_4">
        <w:r>
          <w:rPr>
            <w:rStyle w:val="InternetLink"/>
          </w:rPr>
          <w:t>34</w:t>
        </w:r>
      </w:hyperlink>
    </w:p>
    <w:p>
      <w:pPr>
        <w:pStyle w:val="TextBody"/>
        <w:bidi w:val="0"/>
        <w:spacing w:lineRule="auto" w:line="288" w:before="0" w:after="100"/>
        <w:ind w:left="0" w:right="0" w:hanging="720"/>
        <w:jc w:val="left"/>
        <w:rPr/>
      </w:pPr>
      <w:hyperlink w:anchor="i105d86eced1c4a3794b2594af8df362d_4">
        <w:r>
          <w:rPr>
            <w:rStyle w:val="InternetLink"/>
          </w:rPr>
          <w:t>18.17</w:t>
        </w:r>
      </w:hyperlink>
      <w:hyperlink w:anchor="i105d86eced1c4a3794b2594af8df362d_4">
        <w:r>
          <w:rPr>
            <w:rStyle w:val="InternetLink"/>
          </w:rPr>
          <w:t>    </w:t>
        </w:r>
      </w:hyperlink>
      <w:hyperlink w:anchor="i105d86eced1c4a3794b2594af8df362d_4">
        <w:r>
          <w:rPr>
            <w:rStyle w:val="InternetLink"/>
          </w:rPr>
          <w:t>Unfunded Obligation</w:t>
        </w:r>
      </w:hyperlink>
      <w:hyperlink w:anchor="i105d86eced1c4a3794b2594af8df362d_4">
        <w:r>
          <w:rPr>
            <w:rStyle w:val="InternetLink"/>
          </w:rPr>
          <w:t>    </w:t>
        </w:r>
      </w:hyperlink>
      <w:hyperlink w:anchor="i105d86eced1c4a3794b2594af8df362d_4">
        <w:r>
          <w:rPr>
            <w:rStyle w:val="InternetLink"/>
          </w:rPr>
          <w:t>34</w:t>
        </w:r>
      </w:hyperlink>
    </w:p>
    <w:p>
      <w:pPr>
        <w:pStyle w:val="TextBody"/>
        <w:bidi w:val="0"/>
        <w:spacing w:lineRule="auto" w:line="288" w:before="0" w:after="100"/>
        <w:ind w:left="0" w:right="0" w:hanging="720"/>
        <w:jc w:val="left"/>
        <w:rPr/>
      </w:pPr>
      <w:hyperlink w:anchor="i105d86eced1c4a3794b2594af8df362d_4">
        <w:r>
          <w:rPr>
            <w:rStyle w:val="InternetLink"/>
          </w:rPr>
          <w:t>18.18</w:t>
        </w:r>
      </w:hyperlink>
      <w:hyperlink w:anchor="i105d86eced1c4a3794b2594af8df362d_4">
        <w:r>
          <w:rPr>
            <w:rStyle w:val="InternetLink"/>
          </w:rPr>
          <w:t>    </w:t>
        </w:r>
      </w:hyperlink>
      <w:hyperlink w:anchor="i105d86eced1c4a3794b2594af8df362d_4">
        <w:r>
          <w:rPr>
            <w:rStyle w:val="InternetLink"/>
          </w:rPr>
          <w:t>Choice of Law</w:t>
        </w:r>
      </w:hyperlink>
      <w:hyperlink w:anchor="i105d86eced1c4a3794b2594af8df362d_4">
        <w:r>
          <w:rPr>
            <w:rStyle w:val="InternetLink"/>
          </w:rPr>
          <w:t>    </w:t>
        </w:r>
      </w:hyperlink>
      <w:hyperlink w:anchor="i105d86eced1c4a3794b2594af8df362d_4">
        <w:r>
          <w:rPr>
            <w:rStyle w:val="InternetLink"/>
          </w:rPr>
          <w:t>35</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2"/>
        </w:rPr>
        <w:t>QT Imaging Holdings, Inc</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Amended and Restated 2024 Equity Incentive Plan</w:t>
      </w:r>
    </w:p>
    <w:p>
      <w:pPr>
        <w:pStyle w:val="TextBody"/>
        <w:bidi w:val="0"/>
        <w:spacing w:lineRule="auto" w:line="240" w:before="0" w:after="240"/>
        <w:jc w:val="both"/>
        <w:rPr/>
      </w:pPr>
      <w:r>
        <w:rPr>
          <w:rFonts w:ascii="Times New Roman;serif" w:hAnsi="Times New Roman;serif"/>
          <w:b/>
          <w:color w:val="000000"/>
          <w:sz w:val="22"/>
        </w:rPr>
        <w:t>1.</w:t>
      </w:r>
      <w:r>
        <w:rPr>
          <w:rFonts w:ascii="Times New Roman;serif" w:hAnsi="Times New Roman;serif"/>
          <w:b/>
          <w:color w:val="000000"/>
          <w:sz w:val="22"/>
        </w:rPr>
        <w:t>ESTABLISHMENT, PURPOSE AND TERM OF PLAN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w:t>
      </w:r>
      <w:r>
        <w:rPr>
          <w:rFonts w:ascii="Times New Roman;serif" w:hAnsi="Times New Roman;serif"/>
          <w:b/>
          <w:color w:val="000000"/>
          <w:sz w:val="22"/>
        </w:rPr>
        <w:t>Establishment</w:t>
      </w:r>
      <w:r>
        <w:rPr>
          <w:rFonts w:ascii="Times New Roman;serif" w:hAnsi="Times New Roman;serif"/>
          <w:b w:val="false"/>
          <w:color w:val="000000"/>
          <w:sz w:val="22"/>
        </w:rPr>
        <w:t>. The QT Imaging Holdings, Inc. Amended and Restated 2024 Equity Incentive Plan (f/k/a the GigCapital5, Inc. 2024 Equity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was originally established effective as of March 4, 2024, the date of the closing of each of the transactions contemplated by that certain business combination agreement entered into by and between GigCapital5, Inc., QTI Merger Sub, Inc., and QT Imaging, Inc., following the Plan’s approval by the stockholders of the Company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The Plan is hereby amended and restated effective as of the date on which this Plan is approved by the stockholders of the Company (the “</w:t>
      </w:r>
      <w:r>
        <w:rPr>
          <w:rFonts w:ascii="Times New Roman;serif" w:hAnsi="Times New Roman;serif"/>
          <w:b/>
          <w:i/>
          <w:color w:val="000000"/>
          <w:sz w:val="22"/>
        </w:rPr>
        <w:t>Amended and Restated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1.2</w:t>
      </w:r>
      <w:r>
        <w:rPr>
          <w:rFonts w:ascii="Times New Roman;serif" w:hAnsi="Times New Roman;serif"/>
          <w:b/>
          <w:color w:val="000000"/>
          <w:sz w:val="22"/>
        </w:rPr>
        <w:t>Purpose</w:t>
      </w:r>
      <w:r>
        <w:rPr>
          <w:rFonts w:ascii="Times New Roman;serif" w:hAnsi="Times New Roman;serif"/>
          <w:b w:val="false"/>
          <w:color w:val="000000"/>
          <w:sz w:val="22"/>
        </w:rPr>
        <w:t>.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Awards, Restricted Stock Units, Performance Shares, Performance Units, Cash-Based Awards and Other Stock-Based Awards.</w:t>
      </w:r>
    </w:p>
    <w:p>
      <w:pPr>
        <w:pStyle w:val="TextBody"/>
        <w:bidi w:val="0"/>
        <w:spacing w:lineRule="auto" w:line="240" w:before="0" w:after="240"/>
        <w:ind w:left="0" w:right="0" w:firstLine="720"/>
        <w:jc w:val="both"/>
        <w:rPr/>
      </w:pPr>
      <w:r>
        <w:rPr>
          <w:rFonts w:ascii="Times New Roman;serif" w:hAnsi="Times New Roman;serif"/>
          <w:b w:val="false"/>
          <w:color w:val="000000"/>
          <w:sz w:val="22"/>
        </w:rPr>
        <w:t>1.3</w:t>
      </w:r>
      <w:r>
        <w:rPr>
          <w:rFonts w:ascii="Times New Roman;serif" w:hAnsi="Times New Roman;serif"/>
          <w:b/>
          <w:color w:val="000000"/>
          <w:sz w:val="22"/>
        </w:rPr>
        <w:t>Term of Plan</w:t>
      </w:r>
      <w:r>
        <w:rPr>
          <w:rFonts w:ascii="Times New Roman;serif" w:hAnsi="Times New Roman;serif"/>
          <w:b w:val="false"/>
          <w:color w:val="000000"/>
          <w:sz w:val="22"/>
        </w:rPr>
        <w:t>. The Plan shall continue in effect until its termination by the Committee; provided, however, that all Awards shall be granted, if at all, within ten (10) years from the earlier of the date that the Plan was approved by the Board or the stockholders of the Company.</w:t>
      </w:r>
    </w:p>
    <w:p>
      <w:pPr>
        <w:pStyle w:val="TextBody"/>
        <w:bidi w:val="0"/>
        <w:spacing w:lineRule="auto" w:line="240" w:before="0" w:after="240"/>
        <w:jc w:val="both"/>
        <w:rPr/>
      </w:pPr>
      <w:r>
        <w:rPr>
          <w:rFonts w:ascii="Times New Roman;serif" w:hAnsi="Times New Roman;serif"/>
          <w:b/>
          <w:color w:val="000000"/>
          <w:sz w:val="22"/>
        </w:rPr>
        <w:t>2.</w:t>
      </w:r>
      <w:r>
        <w:rPr>
          <w:rFonts w:ascii="Times New Roman;serif" w:hAnsi="Times New Roman;serif"/>
          <w:b/>
          <w:color w:val="000000"/>
          <w:sz w:val="22"/>
        </w:rPr>
        <w:t>DEFINITIONS AND CONSTRUCTION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2.1</w:t>
      </w:r>
      <w:r>
        <w:rPr>
          <w:rFonts w:ascii="Times New Roman;serif" w:hAnsi="Times New Roman;serif"/>
          <w:b/>
          <w:color w:val="000000"/>
          <w:sz w:val="22"/>
        </w:rPr>
        <w:t>Definitions</w:t>
      </w:r>
      <w:r>
        <w:rPr>
          <w:rFonts w:ascii="Times New Roman;serif" w:hAnsi="Times New Roman;serif"/>
          <w:b w:val="false"/>
          <w:color w:val="000000"/>
          <w:sz w:val="22"/>
        </w:rPr>
        <w:t>. Whenever used herein, the following terms shall have their respective meanings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means (i) a parent entity, other than a Parent Corporation, that directly, or indirectly through one or more 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to such terms for the purposes of registration of securities on Form S-8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Award</w:t>
      </w:r>
      <w:r>
        <w:rPr>
          <w:color w:val="000000"/>
        </w:rPr>
        <w:t xml:space="preserve">” </w:t>
      </w:r>
      <w:r>
        <w:rPr>
          <w:rFonts w:ascii="Times New Roman;serif" w:hAnsi="Times New Roman;serif"/>
          <w:b w:val="false"/>
          <w:color w:val="000000"/>
          <w:sz w:val="22"/>
        </w:rPr>
        <w:t>means any Option, Stock Appreciation Right, Restricted Stock Purchase Right, Restricted Stock Bonus, Restricted Stock Unit, Performance Share, Performance Unit, Cash-Based Award or Other Stock-Based Award granted under the Plan.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Award Agreement</w:t>
      </w:r>
      <w:r>
        <w:rPr>
          <w:color w:val="000000"/>
        </w:rPr>
        <w:t xml:space="preserve">” </w:t>
      </w:r>
      <w:r>
        <w:rPr>
          <w:rFonts w:ascii="Times New Roman;serif" w:hAnsi="Times New Roman;serif"/>
          <w:b w:val="false"/>
          <w:color w:val="000000"/>
          <w:sz w:val="22"/>
        </w:rPr>
        <w:t>means a written or electronic agreement between the Company and a Participant setting forth the terms, conditions and restrictions applicable to an Award.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Cash-Based Award</w:t>
      </w:r>
      <w:r>
        <w:rPr>
          <w:color w:val="000000"/>
        </w:rPr>
        <w:t xml:space="preserve">” </w:t>
      </w:r>
      <w:r>
        <w:rPr>
          <w:rFonts w:ascii="Times New Roman;serif" w:hAnsi="Times New Roman;serif"/>
          <w:b w:val="false"/>
          <w:color w:val="000000"/>
          <w:sz w:val="22"/>
        </w:rPr>
        <w:t>means an Award denominated in cash and granted pursuant to Section 11.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Cashless Exercise</w:t>
      </w:r>
      <w:r>
        <w:rPr>
          <w:color w:val="000000"/>
        </w:rPr>
        <w:t xml:space="preserve">” </w:t>
      </w:r>
      <w:r>
        <w:rPr>
          <w:rFonts w:ascii="Times New Roman;serif" w:hAnsi="Times New Roman;serif"/>
          <w:b w:val="false"/>
          <w:color w:val="000000"/>
          <w:sz w:val="22"/>
        </w:rPr>
        <w:t>means a Cashless Exercise as defined in Section 6.3(b)(i).</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 xml:space="preserve">means, unless such term or an equivalent term is otherwise defined by the applicable Award Agreement or other written agreement between the Participant and a Participating Company applicable to an Award and which is in effect as of the date of grant of such Award, any of the following: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(i) the Participant’s theft, dishonesty, willful misconduct, breach of fiduciary duty for personal profit, or falsification of any Participating Company documents or records; (ii) the Participant’s material failure to abide by a Participating Company’s code of conduct or other policies (including, without limitation, policies relating to confidentiality and reasonable workplace conduct); (iii) the Participant’s unauthorized use, misappropriation, destruction or diversion of any tangible or intangible asset or corporate opportunity of a Participating Company (including, without limitation, the Participant’s improper use or disclosure of a Participating Company’s confidential or proprietary information); (iv) any intentional act by the Participant which has a material detrimental effect on a Participating Company’s reputation or business; (v) the Participant’s repeated failure or inability to perform any reasonable assigned duties after written notice from a Participating Company of, and a reasonable opportunity to cure, such failure or inability; (vi) any material breach by the Participant of any employment, service, non-disclosure, non-competition, non-solicitation or other similar agreement between the Participant and a Participating Company, which breach is not cured pursuant to the terms of such agreement (except with respect to a disclosure protected by applicable law); or (vii) the Participant’s conviction (including any plea of guilty or </w:t>
      </w:r>
      <w:r>
        <w:rPr>
          <w:rFonts w:ascii="Times New Roman;serif" w:hAnsi="Times New Roman;serif"/>
          <w:b w:val="false"/>
          <w:i/>
          <w:color w:val="000000"/>
          <w:sz w:val="22"/>
        </w:rPr>
        <w:t>nolo contendere</w:t>
      </w:r>
      <w:r>
        <w:rPr>
          <w:rFonts w:ascii="Times New Roman;serif" w:hAnsi="Times New Roman;serif"/>
          <w:b w:val="false"/>
          <w:color w:val="000000"/>
          <w:sz w:val="22"/>
        </w:rPr>
        <w:t>) of any criminal act involving fraud, dishonesty, misappropriation or moral turpitude, or which impairs the Participant’s ability to perform his or her duties with a Participating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Change in Control</w:t>
      </w:r>
      <w:r>
        <w:rPr>
          <w:color w:val="000000"/>
        </w:rPr>
        <w:t xml:space="preserve">” </w:t>
      </w:r>
      <w:r>
        <w:rPr>
          <w:rFonts w:ascii="Times New Roman;serif" w:hAnsi="Times New Roman;serif"/>
          <w:b w:val="false"/>
          <w:color w:val="000000"/>
          <w:sz w:val="22"/>
        </w:rPr>
        <w:t>means the occurrence of any one or a combination of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any “person” (as such term is used in Sections 13(d) and 14(d) of the Exchange Act) becomes the “beneficial owner” (as such term is defined in Rule 13d-3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 Ownership Change Event or series of related Ownership Change Events (collectively, a “</w:t>
      </w:r>
      <w:r>
        <w:rPr>
          <w:rFonts w:ascii="Times New Roman;serif" w:hAnsi="Times New Roman;serif"/>
          <w:b/>
          <w:i/>
          <w:color w:val="000000"/>
          <w:sz w:val="22"/>
        </w:rPr>
        <w:t>Transaction</w:t>
      </w:r>
      <w:r>
        <w:rPr>
          <w:color w:val="000000"/>
        </w:rPr>
        <w:t>”</w:t>
      </w:r>
      <w:r>
        <w:rPr>
          <w:rFonts w:ascii="Times New Roman;serif" w:hAnsi="Times New Roman;serif"/>
          <w:b w:val="false"/>
          <w:color w:val="000000"/>
          <w:sz w:val="22"/>
        </w:rPr>
        <w:t>)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Times New Roman;serif" w:hAnsi="Times New Roman;serif"/>
          <w:b/>
          <w:i/>
          <w:color w:val="000000"/>
          <w:sz w:val="22"/>
        </w:rPr>
        <w:t>Transferee</w:t>
      </w:r>
      <w:r>
        <w:rPr>
          <w:color w:val="000000"/>
        </w:rPr>
        <w:t>”</w:t>
      </w:r>
      <w:r>
        <w:rPr>
          <w:rFonts w:ascii="Times New Roman;serif" w:hAnsi="Times New Roman;serif"/>
          <w:b w:val="false"/>
          <w:color w:val="000000"/>
          <w:sz w:val="22"/>
        </w:rPr>
        <w:t>), as the case may be; 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 date specified by the Committee following approval by the stockholders of a plan of complete liquidation or dissolution of the Company; 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events described in subsections (i), (ii) and (iii) of this Section 2.1(h) are related and to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 treated in the aggregate as a single Change in Control, and its determination shall be final, binding and conclusive.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subsections (i), (ii) and (iii) with respect to such Award (or portion thereof) shall only constitute a Change in Control for purposes of the payment timing of such Award if such transaction also constitutes a “change in control event,” as defined in Treasury Regulation Section 1.409A-3(i)(5). The Committee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Code</w:t>
      </w:r>
      <w:r>
        <w:rPr>
          <w:color w:val="000000"/>
        </w:rPr>
        <w:t xml:space="preserve">” </w:t>
      </w:r>
      <w:r>
        <w:rPr>
          <w:rFonts w:ascii="Times New Roman;serif" w:hAnsi="Times New Roman;serif"/>
          <w:b w:val="false"/>
          <w:color w:val="000000"/>
          <w:sz w:val="22"/>
        </w:rPr>
        <w:t>means the Internal Revenue Code of 1986, as amended, and any applicable regulations and administrative guidelines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Committee</w:t>
      </w:r>
      <w:r>
        <w:rPr>
          <w:color w:val="000000"/>
        </w:rPr>
        <w:t xml:space="preserve">” </w:t>
      </w:r>
      <w:r>
        <w:rPr>
          <w:rFonts w:ascii="Times New Roman;serif" w:hAnsi="Times New Roman;serif"/>
          <w:b w:val="false"/>
          <w:color w:val="000000"/>
          <w:sz w:val="22"/>
        </w:rPr>
        <w:t>means the Compensation Committee and such other committee or subcommittee of the Board, if any, duly 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 Unless the Board specifically determines otherwise, each member of the Committee shall, at the time it takes any action with respect to an Award under the Plan, be a “non-employee director” within the meaning of Rule 16b-3 and an “independent director” under the rules of any stock exchange on which the Stock is listed. However, the fact that a Committee member shall fail to qualify as “non-employee director” or an “independent director” shall not invalidate any Award granted by the Committee which Award is otherwise validly granted under the Plan.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Company</w:t>
      </w:r>
      <w:r>
        <w:rPr>
          <w:color w:val="000000"/>
        </w:rPr>
        <w:t xml:space="preserve">” </w:t>
      </w:r>
      <w:r>
        <w:rPr>
          <w:rFonts w:ascii="Times New Roman;serif" w:hAnsi="Times New Roman;serif"/>
          <w:b w:val="false"/>
          <w:color w:val="000000"/>
          <w:sz w:val="22"/>
        </w:rPr>
        <w:t>means QT Imaging Holdings, Inc. (f/k/a GigCapital5, Inc.), a Delaware corporation, and any successor corporation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Consultant</w:t>
      </w:r>
      <w:r>
        <w:rPr>
          <w:color w:val="000000"/>
        </w:rPr>
        <w:t xml:space="preserve">” </w:t>
      </w:r>
      <w:r>
        <w:rPr>
          <w:rFonts w:ascii="Times New Roman;serif" w:hAnsi="Times New Roman;serif"/>
          <w:b w:val="false"/>
          <w:color w:val="000000"/>
          <w:sz w:val="22"/>
        </w:rPr>
        <w:t>means a person engaged to provide consulting or advisory services (other than as an Employee or a Director)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Director</w:t>
      </w:r>
      <w:r>
        <w:rPr>
          <w:color w:val="000000"/>
        </w:rPr>
        <w:t xml:space="preserve">” </w:t>
      </w:r>
      <w:r>
        <w:rPr>
          <w:rFonts w:ascii="Times New Roman;serif" w:hAnsi="Times New Roman;serif"/>
          <w:b w:val="false"/>
          <w:color w:val="000000"/>
          <w:sz w:val="22"/>
        </w:rPr>
        <w:t>means a member of the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means, unless such term or an equivalent term is otherwise defined by the applicable Award Agreement or other written agreement between the Participant and a Participating Company applicable to an Award and which is in effect as of the date of grant of such Award, the permanent and total disability of the Participant, within the meaning of Section 22(e)(3)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Dividend Equivalent Right</w:t>
      </w:r>
      <w:r>
        <w:rPr>
          <w:color w:val="000000"/>
        </w:rPr>
        <w:t xml:space="preserve">” </w:t>
      </w:r>
      <w:r>
        <w:rPr>
          <w:rFonts w:ascii="Times New Roman;serif" w:hAnsi="Times New Roman;serif"/>
          <w:b w:val="false"/>
          <w:color w:val="000000"/>
          <w:sz w:val="22"/>
        </w:rPr>
        <w:t xml:space="preserve">means the right of a Participant, granted at the discretion of the Committee or as otherwise provided by the Plan, to receive a credit for the account of such Participant in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 amount equal to the cash dividends paid on one share of Stock for each share of Stock represented by an Award held by such Participant.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Employee</w:t>
      </w:r>
      <w:r>
        <w:rPr>
          <w:color w:val="000000"/>
        </w:rPr>
        <w:t xml:space="preserve">” </w:t>
      </w:r>
      <w:r>
        <w:rPr>
          <w:rFonts w:ascii="Times New Roman;serif" w:hAnsi="Times New Roman;serif"/>
          <w:b w:val="false"/>
          <w:color w:val="000000"/>
          <w:sz w:val="22"/>
        </w:rPr>
        <w:t>means any person treated as an employee (including an Officer or a Director who is also treated as an employee) in the records of a 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Fair Market Value</w:t>
      </w:r>
      <w:r>
        <w:rPr>
          <w:color w:val="000000"/>
        </w:rPr>
        <w:t xml:space="preserve">” </w:t>
      </w:r>
      <w:r>
        <w:rPr>
          <w:rFonts w:ascii="Times New Roman;serif" w:hAnsi="Times New Roman;serif"/>
          <w:b w:val="false"/>
          <w:color w:val="000000"/>
          <w:sz w:val="22"/>
        </w:rPr>
        <w:t>means, as of any date, the value of a share of Stock or other property as determined by the Committee, in its discretion, or by the Company, in its discretion, if such determination is expressly allocated to the Company herein, subject to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 or Section 422 of the Code to the extent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Full Value Award</w:t>
      </w:r>
      <w:r>
        <w:rPr>
          <w:color w:val="000000"/>
        </w:rPr>
        <w:t xml:space="preserve">” </w:t>
      </w:r>
      <w:r>
        <w:rPr>
          <w:rFonts w:ascii="Times New Roman;serif" w:hAnsi="Times New Roman;serif"/>
          <w:b w:val="false"/>
          <w:color w:val="000000"/>
          <w:sz w:val="22"/>
        </w:rPr>
        <w:t>means any Award settled in Stock, other than (i) an Option, (ii) a Stock Appreciation Right, or (iii) a Restricted Stock Purchase Right or an Other Stock-Based Award under which the Company will receive monetary consideration equal to the Fair Market Value (determined on the effective date of grant) of the shares subject to such Award.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Incentive Stock Option</w:t>
      </w:r>
      <w:r>
        <w:rPr>
          <w:color w:val="000000"/>
        </w:rPr>
        <w:t xml:space="preserve">” </w:t>
      </w:r>
      <w:r>
        <w:rPr>
          <w:rFonts w:ascii="Times New Roman;serif" w:hAnsi="Times New Roman;serif"/>
          <w:b w:val="false"/>
          <w:color w:val="000000"/>
          <w:sz w:val="22"/>
        </w:rPr>
        <w:t>means an Option intended to be (as set forth in the Award Agreement) and which qualifies as an incentive stock option within the meaning of Section 422(b)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Incumbent Director</w:t>
      </w:r>
      <w:r>
        <w:rPr>
          <w:color w:val="000000"/>
        </w:rPr>
        <w:t xml:space="preserve">” </w:t>
      </w:r>
      <w:r>
        <w:rPr>
          <w:rFonts w:ascii="Times New Roman;serif" w:hAnsi="Times New Roman;serif"/>
          <w:b w:val="false"/>
          <w:color w:val="000000"/>
          <w:sz w:val="22"/>
        </w:rPr>
        <w:t>means a director who either (i) is a member of the Board as of the Effective Date or (ii) is elected, or 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7665"/>
                <wp:effectExtent l="0" t="0" r="0" b="0"/>
                <wp:wrapNone/>
                <wp:docPr id="17" name="Frame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Insider</w:t>
      </w:r>
      <w:r>
        <w:rPr>
          <w:color w:val="000000"/>
        </w:rPr>
        <w:t xml:space="preserve">” </w:t>
      </w:r>
      <w:r>
        <w:rPr>
          <w:rFonts w:ascii="Times New Roman;serif" w:hAnsi="Times New Roman;serif"/>
          <w:b w:val="false"/>
          <w:color w:val="000000"/>
          <w:sz w:val="22"/>
        </w:rPr>
        <w:t>means an Officer, a Director or other person whose transactions in Stock are subject to Section 16 of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Materially Impair</w:t>
      </w:r>
      <w:r>
        <w:rPr>
          <w:color w:val="000000"/>
        </w:rPr>
        <w:t xml:space="preserve">” </w:t>
      </w:r>
      <w:r>
        <w:rPr>
          <w:rFonts w:ascii="Times New Roman;serif" w:hAnsi="Times New Roman;serif"/>
          <w:b w:val="false"/>
          <w:color w:val="000000"/>
          <w:sz w:val="22"/>
        </w:rPr>
        <w:t>means any amendment to the terms of the Award that materially adversely affects the Participant’s rights under the Award. A Participant’s rights under an Award will not be deemed to have been Materially Impaired by any such amendment if the Committee,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Net Exercise</w:t>
      </w:r>
      <w:r>
        <w:rPr>
          <w:color w:val="000000"/>
        </w:rPr>
        <w:t xml:space="preserve">” </w:t>
      </w:r>
      <w:r>
        <w:rPr>
          <w:rFonts w:ascii="Times New Roman;serif" w:hAnsi="Times New Roman;serif"/>
          <w:b w:val="false"/>
          <w:color w:val="000000"/>
          <w:sz w:val="22"/>
        </w:rPr>
        <w:t>means a Net Exercise as defined in Section 6.3(b)(iii).</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Nonemployee Director</w:t>
      </w:r>
      <w:r>
        <w:rPr>
          <w:color w:val="000000"/>
        </w:rPr>
        <w:t xml:space="preserve">” </w:t>
      </w:r>
      <w:r>
        <w:rPr>
          <w:rFonts w:ascii="Times New Roman;serif" w:hAnsi="Times New Roman;serif"/>
          <w:b w:val="false"/>
          <w:color w:val="000000"/>
          <w:sz w:val="22"/>
        </w:rPr>
        <w:t>means a Director who is not an Employee.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Nonemployee Director Award</w:t>
      </w:r>
      <w:r>
        <w:rPr>
          <w:color w:val="000000"/>
        </w:rPr>
        <w:t xml:space="preserve">” </w:t>
      </w:r>
      <w:r>
        <w:rPr>
          <w:rFonts w:ascii="Times New Roman;serif" w:hAnsi="Times New Roman;serif"/>
          <w:b w:val="false"/>
          <w:color w:val="000000"/>
          <w:sz w:val="22"/>
        </w:rPr>
        <w:t>means any Award granted to a Nonemployee Director.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Nonstatutory Stock Option</w:t>
      </w:r>
      <w:r>
        <w:rPr>
          <w:color w:val="000000"/>
        </w:rPr>
        <w:t xml:space="preserve">” </w:t>
      </w:r>
      <w:r>
        <w:rPr>
          <w:rFonts w:ascii="Times New Roman;serif" w:hAnsi="Times New Roman;serif"/>
          <w:b w:val="false"/>
          <w:color w:val="000000"/>
          <w:sz w:val="22"/>
        </w:rPr>
        <w:t>means an Option not intended to be (as set forth in the Award Agreement) or which does not qualify as an incentive stock option within the meaning of Section 422(b)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Officer</w:t>
      </w:r>
      <w:r>
        <w:rPr>
          <w:color w:val="000000"/>
        </w:rPr>
        <w:t xml:space="preserve">” </w:t>
      </w:r>
      <w:r>
        <w:rPr>
          <w:rFonts w:ascii="Times New Roman;serif" w:hAnsi="Times New Roman;serif"/>
          <w:b w:val="false"/>
          <w:color w:val="000000"/>
          <w:sz w:val="22"/>
        </w:rPr>
        <w:t>means any person designated by the Board as an officer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Option</w:t>
      </w:r>
      <w:r>
        <w:rPr>
          <w:color w:val="000000"/>
        </w:rPr>
        <w:t xml:space="preserve">” </w:t>
      </w:r>
      <w:r>
        <w:rPr>
          <w:rFonts w:ascii="Times New Roman;serif" w:hAnsi="Times New Roman;serif"/>
          <w:b w:val="false"/>
          <w:color w:val="000000"/>
          <w:sz w:val="22"/>
        </w:rPr>
        <w:t>means an Incentive Stock Option or a Nonstatutory Stock Option granted pursuant to the Plan.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Other Stock-Based Award</w:t>
      </w:r>
      <w:r>
        <w:rPr>
          <w:color w:val="000000"/>
        </w:rPr>
        <w:t xml:space="preserve">” </w:t>
      </w:r>
      <w:r>
        <w:rPr>
          <w:rFonts w:ascii="Times New Roman;serif" w:hAnsi="Times New Roman;serif"/>
          <w:b w:val="false"/>
          <w:color w:val="000000"/>
          <w:sz w:val="22"/>
        </w:rPr>
        <w:t>means an Award denominated in shares of Stock and granted pursuant to Section 11.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Ownership Change Event</w:t>
      </w:r>
      <w:r>
        <w:rPr>
          <w:color w:val="000000"/>
        </w:rPr>
        <w:t xml:space="preserve">” </w:t>
      </w:r>
      <w:r>
        <w:rPr>
          <w:rFonts w:ascii="Times New Roman;serif" w:hAnsi="Times New Roman;serif"/>
          <w:b w:val="false"/>
          <w:color w:val="000000"/>
          <w:sz w:val="22"/>
        </w:rPr>
        <w:t>means the occurrence of any of the following with respect to the Company: (i) the direct or 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Parent Corporation</w:t>
      </w:r>
      <w:r>
        <w:rPr>
          <w:color w:val="000000"/>
        </w:rPr>
        <w:t xml:space="preserve">” </w:t>
      </w:r>
      <w:r>
        <w:rPr>
          <w:rFonts w:ascii="Times New Roman;serif" w:hAnsi="Times New Roman;serif"/>
          <w:b w:val="false"/>
          <w:color w:val="000000"/>
          <w:sz w:val="22"/>
        </w:rPr>
        <w:t>means any present or future “parent corporation” of the Company, as defined in Section 424(e)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Participant</w:t>
      </w:r>
      <w:r>
        <w:rPr>
          <w:color w:val="000000"/>
        </w:rPr>
        <w:t xml:space="preserve">” </w:t>
      </w:r>
      <w:r>
        <w:rPr>
          <w:rFonts w:ascii="Times New Roman;serif" w:hAnsi="Times New Roman;serif"/>
          <w:b w:val="false"/>
          <w:color w:val="000000"/>
          <w:sz w:val="22"/>
        </w:rPr>
        <w:t>means any eligible person who has been granted one or more Awards.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Participating Company</w:t>
      </w:r>
      <w:r>
        <w:rPr>
          <w:color w:val="000000"/>
        </w:rPr>
        <w:t xml:space="preserve">” </w:t>
      </w:r>
      <w:r>
        <w:rPr>
          <w:rFonts w:ascii="Times New Roman;serif" w:hAnsi="Times New Roman;serif"/>
          <w:b w:val="false"/>
          <w:color w:val="000000"/>
          <w:sz w:val="22"/>
        </w:rPr>
        <w:t>means the Company or any Parent Corporation, Subsidiary Corporation or Affiliate.</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7665"/>
                <wp:effectExtent l="0" t="0" r="0" b="0"/>
                <wp:wrapNone/>
                <wp:docPr id="18" name="Frame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Participating Company Group</w:t>
      </w:r>
      <w:r>
        <w:rPr>
          <w:color w:val="000000"/>
        </w:rPr>
        <w:t xml:space="preserve">” </w:t>
      </w:r>
      <w:r>
        <w:rPr>
          <w:rFonts w:ascii="Times New Roman;serif" w:hAnsi="Times New Roman;serif"/>
          <w:b w:val="false"/>
          <w:color w:val="000000"/>
          <w:sz w:val="22"/>
        </w:rPr>
        <w:t>means, at any point in time, the Company and all other entities collectively which are then Participating Companies.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Performance Award</w:t>
      </w:r>
      <w:r>
        <w:rPr>
          <w:color w:val="000000"/>
        </w:rPr>
        <w:t xml:space="preserve">” </w:t>
      </w:r>
      <w:r>
        <w:rPr>
          <w:rFonts w:ascii="Times New Roman;serif" w:hAnsi="Times New Roman;serif"/>
          <w:b w:val="false"/>
          <w:color w:val="000000"/>
          <w:sz w:val="22"/>
        </w:rPr>
        <w:t>means an Award of Performance Shares or Performance Units.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Performance Award Formula</w:t>
      </w:r>
      <w:r>
        <w:rPr>
          <w:color w:val="000000"/>
        </w:rPr>
        <w:t xml:space="preserve">” </w:t>
      </w:r>
      <w:r>
        <w:rPr>
          <w:rFonts w:ascii="Times New Roman;serif" w:hAnsi="Times New Roman;serif"/>
          <w:b w:val="false"/>
          <w:color w:val="000000"/>
          <w:sz w:val="22"/>
        </w:rPr>
        <w:t>means, for any Performance Award, a formula or table established by the Committee pursuant to Section 10.3 which provides the basis for computing the value of a Performance Award at one or more levels of attainment of the applicable Performance Goal(s) measured as of the end of the applicable Performance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Performance Goal</w:t>
      </w:r>
      <w:r>
        <w:rPr>
          <w:color w:val="000000"/>
        </w:rPr>
        <w:t xml:space="preserve">” </w:t>
      </w:r>
      <w:r>
        <w:rPr>
          <w:rFonts w:ascii="Times New Roman;serif" w:hAnsi="Times New Roman;serif"/>
          <w:b w:val="false"/>
          <w:color w:val="000000"/>
          <w:sz w:val="22"/>
        </w:rPr>
        <w:t>means a performance goal established by the Committee pursuant to Section 10.3.</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Performance Period</w:t>
      </w:r>
      <w:r>
        <w:rPr>
          <w:color w:val="000000"/>
        </w:rPr>
        <w:t xml:space="preserve">” </w:t>
      </w:r>
      <w:r>
        <w:rPr>
          <w:rFonts w:ascii="Times New Roman;serif" w:hAnsi="Times New Roman;serif"/>
          <w:b w:val="false"/>
          <w:color w:val="000000"/>
          <w:sz w:val="22"/>
        </w:rPr>
        <w:t>means a period established by the Committee pursuant to Section 10.3 at the end of which one or more Performance Goals are to be measured.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Performance Share</w:t>
      </w:r>
      <w:r>
        <w:rPr>
          <w:color w:val="000000"/>
        </w:rPr>
        <w:t xml:space="preserve">” </w:t>
      </w:r>
      <w:r>
        <w:rPr>
          <w:rFonts w:ascii="Times New Roman;serif" w:hAnsi="Times New Roman;serif"/>
          <w:b w:val="false"/>
          <w:color w:val="000000"/>
          <w:sz w:val="22"/>
        </w:rPr>
        <w:t>means a right granted to a Participant pursuant to Section 10 to receive a payment equal to the value of a Performance Share, as determined by the Committee, based upon attainment of applicable Performance Goal(s).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Performance Unit</w:t>
      </w:r>
      <w:r>
        <w:rPr>
          <w:color w:val="000000"/>
        </w:rPr>
        <w:t xml:space="preserve">” </w:t>
      </w:r>
      <w:r>
        <w:rPr>
          <w:rFonts w:ascii="Times New Roman;serif" w:hAnsi="Times New Roman;serif"/>
          <w:b w:val="false"/>
          <w:color w:val="000000"/>
          <w:sz w:val="22"/>
        </w:rPr>
        <w:t>means a right granted to a Participant pursuant to Section 10 to receive a payment equal to the value of a Performance Unit, as determined by the Committee, based upon attainment of applicable Performance Goal(s).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Plan Administrator</w:t>
      </w:r>
      <w:r>
        <w:rPr>
          <w:color w:val="000000"/>
        </w:rPr>
        <w:t xml:space="preserve">” </w:t>
      </w:r>
      <w:r>
        <w:rPr>
          <w:rFonts w:ascii="Times New Roman;serif" w:hAnsi="Times New Roman;serif"/>
          <w:b w:val="false"/>
          <w:color w:val="000000"/>
          <w:sz w:val="22"/>
        </w:rPr>
        <w:t>means the person, persons, and/or third-party administrator designated by the Company to administer the day to day operations of the Plan and the Company’s other equity incentive programs.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Post-Termination Exercise Period</w:t>
      </w:r>
      <w:r>
        <w:rPr>
          <w:color w:val="000000"/>
        </w:rPr>
        <w:t xml:space="preserve">” </w:t>
      </w:r>
      <w:r>
        <w:rPr>
          <w:rFonts w:ascii="Times New Roman;serif" w:hAnsi="Times New Roman;serif"/>
          <w:b w:val="false"/>
          <w:color w:val="000000"/>
          <w:sz w:val="22"/>
        </w:rPr>
        <w:t>means the period following termination of a Participant’s Continuous Service within which an Option or SAR is exercisable, as specified in Section 6.4(a).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Restricted Stock Award</w:t>
      </w:r>
      <w:r>
        <w:rPr>
          <w:color w:val="000000"/>
        </w:rPr>
        <w:t xml:space="preserve">” </w:t>
      </w:r>
      <w:r>
        <w:rPr>
          <w:rFonts w:ascii="Times New Roman;serif" w:hAnsi="Times New Roman;serif"/>
          <w:b w:val="false"/>
          <w:color w:val="000000"/>
          <w:sz w:val="22"/>
        </w:rPr>
        <w:t>means an Award of a Restricted Stock Bonus or a Restricted Stock Purchase Right.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Restricted Stock Bonus</w:t>
      </w:r>
      <w:r>
        <w:rPr>
          <w:color w:val="000000"/>
        </w:rPr>
        <w:t xml:space="preserve">” </w:t>
      </w:r>
      <w:r>
        <w:rPr>
          <w:rFonts w:ascii="Times New Roman;serif" w:hAnsi="Times New Roman;serif"/>
          <w:b w:val="false"/>
          <w:color w:val="000000"/>
          <w:sz w:val="22"/>
        </w:rPr>
        <w:t>means Stock granted to a Participant pursuant to Section 8.</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Restricted Stock Purchase Right</w:t>
      </w:r>
      <w:r>
        <w:rPr>
          <w:color w:val="000000"/>
        </w:rPr>
        <w:t xml:space="preserve">” </w:t>
      </w:r>
      <w:r>
        <w:rPr>
          <w:rFonts w:ascii="Times New Roman;serif" w:hAnsi="Times New Roman;serif"/>
          <w:b w:val="false"/>
          <w:color w:val="000000"/>
          <w:sz w:val="22"/>
        </w:rPr>
        <w:t>means a right to purchase Stock granted to a Participant pursuant to Section 8.</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Restricted Stock Unit</w:t>
      </w:r>
      <w:r>
        <w:rPr>
          <w:color w:val="000000"/>
        </w:rPr>
        <w:t xml:space="preserve">” </w:t>
      </w:r>
      <w:r>
        <w:rPr>
          <w:rFonts w:ascii="Times New Roman;serif" w:hAnsi="Times New Roman;serif"/>
          <w:b w:val="false"/>
          <w:color w:val="000000"/>
          <w:sz w:val="22"/>
        </w:rPr>
        <w:t>means a right granted to a Participant pursuant to Section 9 to receive on a future date or occurrence of a future event a share of Stock or cash in lieu thereof, as determined by the Committee.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Rule 16b-3</w:t>
      </w:r>
      <w:r>
        <w:rPr>
          <w:color w:val="000000"/>
        </w:rPr>
        <w:t xml:space="preserve">” </w:t>
      </w:r>
      <w:r>
        <w:rPr>
          <w:rFonts w:ascii="Times New Roman;serif" w:hAnsi="Times New Roman;serif"/>
          <w:b w:val="false"/>
          <w:color w:val="000000"/>
          <w:sz w:val="22"/>
        </w:rPr>
        <w:t>means Rule 16b-3 under the Exchange Act, as amended from time to time, or any successor rule or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SAR</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Stock Appreciation Right</w:t>
      </w:r>
      <w:r>
        <w:rPr>
          <w:color w:val="000000"/>
        </w:rPr>
        <w:t xml:space="preserve">” </w:t>
      </w:r>
      <w:r>
        <w:rPr>
          <w:rFonts w:ascii="Times New Roman;serif" w:hAnsi="Times New Roman;serif"/>
          <w:b w:val="false"/>
          <w:color w:val="000000"/>
          <w:sz w:val="22"/>
        </w:rPr>
        <w:t>means a right granted to a Participant pursuant to Section 7 to receive payment, for each share of Stock subject to such Award, of an amount equal to the excess, if any, of the Fair Market Value of a share of Stock on the date of exercise of the Award over the exercise price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7665"/>
                <wp:effectExtent l="0" t="0" r="0" b="0"/>
                <wp:wrapNone/>
                <wp:docPr id="19" name="Frame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Section 409A</w:t>
      </w:r>
      <w:r>
        <w:rPr>
          <w:color w:val="000000"/>
        </w:rPr>
        <w:t xml:space="preserve">” </w:t>
      </w:r>
      <w:r>
        <w:rPr>
          <w:rFonts w:ascii="Times New Roman;serif" w:hAnsi="Times New Roman;serif"/>
          <w:b w:val="false"/>
          <w:color w:val="000000"/>
          <w:sz w:val="22"/>
        </w:rPr>
        <w:t>means Section 409A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Section 409A Deferred Compensation</w:t>
      </w:r>
      <w:r>
        <w:rPr>
          <w:color w:val="000000"/>
        </w:rPr>
        <w:t xml:space="preserve">” </w:t>
      </w:r>
      <w:r>
        <w:rPr>
          <w:rFonts w:ascii="Times New Roman;serif" w:hAnsi="Times New Roman;serif"/>
          <w:b w:val="false"/>
          <w:color w:val="000000"/>
          <w:sz w:val="22"/>
        </w:rPr>
        <w:t>means compensation provided pursuant to an Award that constitutes nonqualified deferred compensation within the meaning of Section 409A.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Service</w:t>
      </w:r>
      <w:r>
        <w:rPr>
          <w:color w:val="000000"/>
        </w:rPr>
        <w:t xml:space="preserve">” </w:t>
      </w:r>
      <w:r>
        <w:rPr>
          <w:rFonts w:ascii="Times New Roman;serif" w:hAnsi="Times New Roman;serif"/>
          <w:b w:val="false"/>
          <w:color w:val="000000"/>
          <w:sz w:val="22"/>
        </w:rPr>
        <w:t>means a Participant’s employment or service with the Participating Company Group, whether as an Employee, a Director or a Consultant. Unless otherwise provided by the Committee, a Participant’s Service shall not be deemed to have terminated merely because of a change in the capacity in which the Participant renders Service or a change in the Participating Company for which the Participant renders Service, provided that there is no interruption or termination of the Participant’s Service. Furthermore, a 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and reason for such 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Stock</w:t>
      </w:r>
      <w:r>
        <w:rPr>
          <w:color w:val="000000"/>
        </w:rPr>
        <w:t xml:space="preserve">” </w:t>
      </w:r>
      <w:r>
        <w:rPr>
          <w:rFonts w:ascii="Times New Roman;serif" w:hAnsi="Times New Roman;serif"/>
          <w:b w:val="false"/>
          <w:color w:val="000000"/>
          <w:sz w:val="22"/>
        </w:rPr>
        <w:t>means the common stock of the Company, as adjusted from time to time in accordance with Section 4.</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Stock Tender Exercise</w:t>
      </w:r>
      <w:r>
        <w:rPr>
          <w:color w:val="000000"/>
        </w:rPr>
        <w:t xml:space="preserve">” </w:t>
      </w:r>
      <w:r>
        <w:rPr>
          <w:rFonts w:ascii="Times New Roman;serif" w:hAnsi="Times New Roman;serif"/>
          <w:b w:val="false"/>
          <w:color w:val="000000"/>
          <w:sz w:val="22"/>
        </w:rPr>
        <w:t>means a Stock Tender Exercise as defined in Section 6.3(b)(ii).</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Subsidiary Corporation</w:t>
      </w:r>
      <w:r>
        <w:rPr>
          <w:color w:val="000000"/>
        </w:rPr>
        <w:t xml:space="preserve">” </w:t>
      </w:r>
      <w:r>
        <w:rPr>
          <w:rFonts w:ascii="Times New Roman;serif" w:hAnsi="Times New Roman;serif"/>
          <w:b w:val="false"/>
          <w:color w:val="000000"/>
          <w:sz w:val="22"/>
        </w:rPr>
        <w:t>means any present or future “subsidiary corporation” of the Company, as defined in Section 424(f)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Ten Percent Owner</w:t>
      </w:r>
      <w:r>
        <w:rPr>
          <w:color w:val="000000"/>
        </w:rPr>
        <w:t xml:space="preserve">” </w:t>
      </w:r>
      <w:r>
        <w:rPr>
          <w:rFonts w:ascii="Times New Roman;serif" w:hAnsi="Times New Roman;serif"/>
          <w:b w:val="false"/>
          <w:color w:val="000000"/>
          <w:sz w:val="22"/>
        </w:rPr>
        <w:t>means a Participant who, at the time an Option is granted to the Participant, owns stock possessing more than ten percent (10%) of the total combined voting power of all classes of stock of a Participating Company (other than an Affiliate) within the meaning of Section 422(b)(6)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Trading Compliance Policy</w:t>
      </w:r>
      <w:r>
        <w:rPr>
          <w:color w:val="000000"/>
        </w:rPr>
        <w:t xml:space="preserve">” </w:t>
      </w:r>
      <w:r>
        <w:rPr>
          <w:rFonts w:ascii="Times New Roman;serif" w:hAnsi="Times New Roman;serif"/>
          <w:b w:val="false"/>
          <w:color w:val="000000"/>
          <w:sz w:val="22"/>
        </w:rPr>
        <w:t>means the written policy of the Company pertaining to the purchase, sale, transfer or other disposition of the Company’s equity securities by Directors, Officers, Employees or other service providers who may possess material, nonpublic information regarding the Company or its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Vesting Conditions</w:t>
      </w:r>
      <w:r>
        <w:rPr>
          <w:color w:val="000000"/>
        </w:rPr>
        <w:t xml:space="preserve">” </w:t>
      </w:r>
      <w:r>
        <w:rPr>
          <w:rFonts w:ascii="Times New Roman;serif" w:hAnsi="Times New Roman;serif"/>
          <w:b w:val="false"/>
          <w:color w:val="000000"/>
          <w:sz w:val="22"/>
        </w:rPr>
        <w:t>mean those conditions established in accordance with the Plan prior to the satisfaction of which an Award or shares subject to an Award remain subject to forfeiture or a repurchase option in favor of the Company exercisable for the Participant’s monetary purchase price, if any, for such shares upon the Participant’s termination of Service or failure of a performance condition to be satisfied.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2.2</w:t>
      </w:r>
      <w:r>
        <w:rPr>
          <w:rFonts w:ascii="Times New Roman;serif" w:hAnsi="Times New Roman;serif"/>
          <w:b/>
          <w:color w:val="000000"/>
          <w:sz w:val="22"/>
        </w:rPr>
        <w:t>Construction</w:t>
      </w:r>
      <w:r>
        <w:rPr>
          <w:rFonts w:ascii="Times New Roman;serif" w:hAnsi="Times New Roman;serif"/>
          <w:b w:val="false"/>
          <w:color w:val="000000"/>
          <w:sz w:val="22"/>
        </w:rPr>
        <w:t xml:space="preserve">. Captions and titles contained herein are for convenience only and shall not affect the meaning or interpretation of any provision of the Plan. Except when otherwise indicated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67665"/>
                <wp:effectExtent l="0" t="0" r="0" b="0"/>
                <wp:wrapNone/>
                <wp:docPr id="20" name="Frame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context, the singular shall include the plural and the plural shall include the singular. Use of the term “or” is not intended to be exclusive, unless the context clearly requires otherwise.</w:t>
      </w:r>
    </w:p>
    <w:p>
      <w:pPr>
        <w:pStyle w:val="TextBody"/>
        <w:bidi w:val="0"/>
        <w:spacing w:lineRule="auto" w:line="240" w:before="0" w:after="240"/>
        <w:jc w:val="both"/>
        <w:rPr/>
      </w:pPr>
      <w:r>
        <w:rPr>
          <w:rFonts w:ascii="Times New Roman;serif" w:hAnsi="Times New Roman;serif"/>
          <w:b/>
          <w:color w:val="000000"/>
          <w:sz w:val="22"/>
        </w:rPr>
        <w:t>3.</w:t>
      </w:r>
      <w:r>
        <w:rPr>
          <w:rFonts w:ascii="Times New Roman;serif" w:hAnsi="Times New Roman;serif"/>
          <w:b/>
          <w:color w:val="000000"/>
          <w:sz w:val="22"/>
        </w:rPr>
        <w:t>ADMINISTRATION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3.1</w:t>
      </w:r>
      <w:r>
        <w:rPr>
          <w:rFonts w:ascii="Times New Roman;serif" w:hAnsi="Times New Roman;serif"/>
          <w:b/>
          <w:color w:val="000000"/>
          <w:sz w:val="22"/>
        </w:rPr>
        <w:t>Administration by the Committee</w:t>
      </w:r>
      <w:r>
        <w:rPr>
          <w:rFonts w:ascii="Times New Roman;serif" w:hAnsi="Times New Roman;serif"/>
          <w:b w:val="false"/>
          <w:color w:val="000000"/>
          <w:sz w:val="22"/>
        </w:rPr>
        <w:t>.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incurred in connection with the administration of the Plan shall be paid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3.2</w:t>
      </w:r>
      <w:r>
        <w:rPr>
          <w:rFonts w:ascii="Times New Roman;serif" w:hAnsi="Times New Roman;serif"/>
          <w:b/>
          <w:color w:val="000000"/>
          <w:sz w:val="22"/>
        </w:rPr>
        <w:t>Authority of Officers</w:t>
      </w:r>
      <w:r>
        <w:rPr>
          <w:rFonts w:ascii="Times New Roman;serif" w:hAnsi="Times New Roman;serif"/>
          <w:b w:val="false"/>
          <w:color w:val="000000"/>
          <w:sz w:val="22"/>
        </w:rPr>
        <w:t>. Any Officer shall have the authority to act on behalf of the Company with respect to any matter, right, obligation, determination or election that is the responsibility of or that is allocated to the Company herein, provided that the Officer has apparent authority with respect to such matter, right, obligation, determination or election. To the extent permitted by applicable law, the Committee may, in its discretion, delegate to a committee comprised of one or more Officers the authority to grant one or more Awards, without further approval of the Committee, to any Employee, other than a person who, at the time of such grant, is an Insider, and to exercise such other powers under the Plan as the Committee may determine; provided, however, that (a) the Committee shall fix the maximum number of shares subject to Awards that may be granted by such Officers, (b) each such Award shall be subject to the terms and conditions of the appropriate standard form of Award Agreement approved by the Board or the Committee and shall conform to the provisions of the Plan, and (c) each such Award shall conform to such other limits and guidelines as may be established from time to time by the Committee.</w:t>
      </w:r>
    </w:p>
    <w:p>
      <w:pPr>
        <w:pStyle w:val="TextBody"/>
        <w:bidi w:val="0"/>
        <w:spacing w:lineRule="auto" w:line="240" w:before="0" w:after="240"/>
        <w:ind w:left="0" w:right="0" w:firstLine="720"/>
        <w:jc w:val="both"/>
        <w:rPr/>
      </w:pPr>
      <w:r>
        <w:rPr>
          <w:rFonts w:ascii="Times New Roman;serif" w:hAnsi="Times New Roman;serif"/>
          <w:b w:val="false"/>
          <w:color w:val="000000"/>
          <w:sz w:val="22"/>
        </w:rPr>
        <w:t>3.3</w:t>
      </w:r>
      <w:r>
        <w:rPr>
          <w:rFonts w:ascii="Times New Roman;serif" w:hAnsi="Times New Roman;serif"/>
          <w:b/>
          <w:color w:val="000000"/>
          <w:sz w:val="22"/>
        </w:rPr>
        <w:t>Administration with Respect to Insiders</w:t>
      </w:r>
      <w:r>
        <w:rPr>
          <w:rFonts w:ascii="Times New Roman;serif" w:hAnsi="Times New Roman;serif"/>
          <w:b w:val="false"/>
          <w:color w:val="000000"/>
          <w:sz w:val="22"/>
        </w:rPr>
        <w:t>. With respect to participation by Insiders in the Plan, at any time that any class of equity security of the Company is registered pursuant to Section 12 of the Exchange Act, the Plan shall be administered in compliance with the requirements, if any, of Rule 16b-3.</w:t>
      </w:r>
    </w:p>
    <w:p>
      <w:pPr>
        <w:pStyle w:val="TextBody"/>
        <w:bidi w:val="0"/>
        <w:spacing w:lineRule="auto" w:line="240" w:before="0" w:after="240"/>
        <w:ind w:left="0" w:right="0" w:firstLine="720"/>
        <w:jc w:val="both"/>
        <w:rPr/>
      </w:pPr>
      <w:r>
        <w:rPr>
          <w:rFonts w:ascii="Times New Roman;serif" w:hAnsi="Times New Roman;serif"/>
          <w:b w:val="false"/>
          <w:color w:val="000000"/>
          <w:sz w:val="22"/>
        </w:rPr>
        <w:t>3.4</w:t>
      </w:r>
      <w:r>
        <w:rPr>
          <w:rFonts w:ascii="Times New Roman;serif" w:hAnsi="Times New Roman;serif"/>
          <w:b/>
          <w:color w:val="000000"/>
          <w:sz w:val="22"/>
        </w:rPr>
        <w:t>Powers of the Committee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In addition to any other powers set forth in the Plan and subject to the provisions of the Plan, the Committee shall have the full and final power and authority, in its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to determine the persons to whom, and the time or times at which, Awards shall be granted and the number of shares of Stock, units or monetary value to be subject to each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to determine the type of Award granted;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to determine the Fair Market Value of shares of Stock or other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of Stock,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expiration of any Award, (vii) the effect of any Participant’s termination of Service on any of the foregoing, and (viii) all other terms, conditions and restrictions applicable to any Award or shares acquired pursuant thereto not inconsistent with the terms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7665"/>
                <wp:effectExtent l="0" t="0" r="0" b="0"/>
                <wp:wrapNone/>
                <wp:docPr id="21" name="Frame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to determine whether an Award will be settled in shares of Stock, cash, other property or in any combination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to approve one or more forms of Award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 xml:space="preserve">to amend, modify, extend, cancel or renew any Award or to waive any restrictions or conditions applicable to any Award or any shares acquired pursuant thereto; </w:t>
      </w:r>
      <w:r>
        <w:rPr>
          <w:rFonts w:ascii="Times New Roman;serif" w:hAnsi="Times New Roman;serif"/>
          <w:b w:val="false"/>
          <w:i/>
          <w:color w:val="000000"/>
          <w:sz w:val="22"/>
        </w:rPr>
        <w:t>provided however</w:t>
      </w:r>
      <w:r>
        <w:rPr>
          <w:rFonts w:ascii="Times New Roman;serif" w:hAnsi="Times New Roman;serif"/>
          <w:b w:val="false"/>
          <w:color w:val="000000"/>
          <w:sz w:val="22"/>
        </w:rPr>
        <w:t>, that, a Participant’s rights under any Award will not be Materially Impaired by any such amendment unless (i) the Company requests the consent of the affected Participant, and (ii) such Participant consents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 xml:space="preserve">to accelerate, continue, extend or defer the exercisability or vesting of any Award or any shares acquired pursuant thereto, including with respect to the period following a Participant’s termination of Service; </w:t>
      </w:r>
      <w:r>
        <w:rPr>
          <w:rFonts w:ascii="Times New Roman;serif" w:hAnsi="Times New Roman;serif"/>
          <w:b w:val="false"/>
          <w:i/>
          <w:color w:val="000000"/>
          <w:sz w:val="22"/>
        </w:rPr>
        <w:t>provided however</w:t>
      </w:r>
      <w:r>
        <w:rPr>
          <w:rFonts w:ascii="Times New Roman;serif" w:hAnsi="Times New Roman;serif"/>
          <w:b w:val="false"/>
          <w:color w:val="000000"/>
          <w:sz w:val="22"/>
        </w:rPr>
        <w:t>, that, a Participant’s rights under any Award will not be Materially Impaired by any such action unless (i) the Company requests the consent of the affected Participant, and (ii) such Participant consents in writing;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to prescribe, amend or rescind rules, guidelines and policies relating to the Plan, or to adopt sub-plans or supplements to, or alternative versions of, the Plan, including, without limitation, as the Committee deems necessary or desirable to comply with the laws of, or to accommodate the tax policy, accounting principles or custom of, foreign jurisdictions whose residents may be granted Awards;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Change in Control, for reasons of administrative convenience;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to effect, at any time and from time to time, subject to the consent of any Participant whose Award is Materially Impaired by such action, (i) the reduction of the exercise price (or strike price) of any outstanding Option or SAR; (i) the cancellation of any outstanding Option or SAR and the grant in substitution therefor of (A) a new Option, SAR, Restricted Stock Award, RSU Award or Other Award, under the Plan or another equity plan of the Company, covering the same or a different number of shares of Stock, (B) cash and/or (C) other valuable consideration (as determined by the Board); or (iii) any other action that is treated as a repricing under generally accepted accounting principles;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2"/>
        </w:rPr>
        <w:t>3.5</w:t>
      </w:r>
      <w:r>
        <w:rPr>
          <w:rFonts w:ascii="Times New Roman;serif" w:hAnsi="Times New Roman;serif"/>
          <w:b/>
          <w:color w:val="000000"/>
          <w:sz w:val="22"/>
        </w:rPr>
        <w:t>Option or SAR Repricing</w:t>
      </w:r>
      <w:r>
        <w:rPr>
          <w:rFonts w:ascii="Times New Roman;serif" w:hAnsi="Times New Roman;serif"/>
          <w:b w:val="false"/>
          <w:color w:val="000000"/>
          <w:sz w:val="22"/>
        </w:rPr>
        <w:t>. The Committee shall have the authority, without additional approval by the stockholders of the Company, to approve a program providing for either (a) the cancellation of outstanding Options or SARs having exercise prices per share greater than the then Fair Market Value of a share of Stock (</w:t>
      </w:r>
      <w:r>
        <w:rPr>
          <w:color w:val="000000"/>
        </w:rPr>
        <w:t>“</w:t>
      </w:r>
      <w:r>
        <w:rPr>
          <w:rFonts w:ascii="Times New Roman;serif" w:hAnsi="Times New Roman;serif"/>
          <w:b/>
          <w:i/>
          <w:color w:val="000000"/>
          <w:sz w:val="22"/>
        </w:rPr>
        <w:t>Underwater Awards</w:t>
      </w:r>
      <w:r>
        <w:rPr>
          <w:color w:val="000000"/>
        </w:rPr>
        <w:t>”</w:t>
      </w:r>
      <w:r>
        <w:rPr>
          <w:rFonts w:ascii="Times New Roman;serif" w:hAnsi="Times New Roman;serif"/>
          <w:b w:val="false"/>
          <w:color w:val="000000"/>
          <w:sz w:val="22"/>
        </w:rPr>
        <w:t>) and the grant in substitution therefor of new Options or SARs covering the same or a different number of shares but with an exercise price per share equal to the Fair Market Value per share on the new grant date, Full Value Awards, or payments in cash, or (b) the amendment of outstanding Underwater Awards to reduce the exercise price thereof to the Fair Market Value per share on the date of amendment.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3.6</w:t>
      </w:r>
      <w:r>
        <w:rPr>
          <w:rFonts w:ascii="Times New Roman;serif" w:hAnsi="Times New Roman;serif"/>
          <w:b/>
          <w:color w:val="000000"/>
          <w:sz w:val="22"/>
        </w:rPr>
        <w:t>Indemnification</w:t>
      </w:r>
      <w:r>
        <w:rPr>
          <w:rFonts w:ascii="Times New Roman;serif" w:hAnsi="Times New Roman;serif"/>
          <w:b w:val="false"/>
          <w:color w:val="000000"/>
          <w:sz w:val="22"/>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67665"/>
                <wp:effectExtent l="0" t="0" r="0" b="0"/>
                <wp:wrapNone/>
                <wp:docPr id="22" name="Frame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pStyle w:val="TextBody"/>
        <w:bidi w:val="0"/>
        <w:spacing w:lineRule="auto" w:line="240" w:before="0" w:after="240"/>
        <w:jc w:val="both"/>
        <w:rPr/>
      </w:pPr>
      <w:r>
        <w:rPr>
          <w:rFonts w:ascii="Times New Roman;serif" w:hAnsi="Times New Roman;serif"/>
          <w:b/>
          <w:color w:val="000000"/>
          <w:sz w:val="22"/>
        </w:rPr>
        <w:t>4.</w:t>
      </w:r>
      <w:r>
        <w:rPr>
          <w:rFonts w:ascii="Times New Roman;serif" w:hAnsi="Times New Roman;serif"/>
          <w:b/>
          <w:color w:val="000000"/>
          <w:sz w:val="22"/>
        </w:rPr>
        <w:t>SHARES SUBJECT TO PLAN</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4.1</w:t>
      </w:r>
      <w:r>
        <w:rPr>
          <w:rFonts w:ascii="Times New Roman;serif" w:hAnsi="Times New Roman;serif"/>
          <w:b/>
          <w:color w:val="000000"/>
          <w:sz w:val="22"/>
        </w:rPr>
        <w:t>Maximum Number of Shares Issuable</w:t>
      </w:r>
      <w:r>
        <w:rPr>
          <w:rFonts w:ascii="Times New Roman;serif" w:hAnsi="Times New Roman;serif"/>
          <w:b w:val="false"/>
          <w:color w:val="000000"/>
          <w:sz w:val="22"/>
        </w:rPr>
        <w:t>. Subject to adjustment as provided in Sections 4.2 and 4.3, the maximum aggregate number of shares of Stock that may be issued under the Plan as of July 28, 2026 shall be equal to (a) 2,378,178 shares, which includes an increase under clause (B) below made on the first day of the Company’s 2025 and 2026 fiscal years, plus (B) an annual increase, effective as of the first day of the Company’s fiscal year beginning in 2027 and the first day of each subsequent fiscal year through and including the first day of the Company’s fiscal year beginning on the ninth (9th) anniversary of the commencement on the first day of the Company’s 2025 fiscal year of such annual increase, equal to the lesser of (i) 5% of the number of shares of Stock outstanding as of the conclusion of the Company’s immediately preceding fiscal year, or (ii) such amount, if any, as the Board may determine, and such shares shall consist of authorized but unissued or reacquired shares of Stock or any combination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4.2</w:t>
      </w:r>
      <w:r>
        <w:rPr>
          <w:rFonts w:ascii="Times New Roman;serif" w:hAnsi="Times New Roman;serif"/>
          <w:b/>
          <w:color w:val="000000"/>
          <w:sz w:val="22"/>
        </w:rPr>
        <w:t>Share Counting</w:t>
      </w:r>
      <w:r>
        <w:rPr>
          <w:rFonts w:ascii="Times New Roman;serif" w:hAnsi="Times New Roman;serif"/>
          <w:b w:val="false"/>
          <w:color w:val="000000"/>
          <w:sz w:val="22"/>
        </w:rPr>
        <w:t>.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Upon payment in shares of Stock pursuant to the exercise of an SAR, the number of shares available for issuance under the Plan shall be reduced by the gross number of shares for which the SAR is exercised. If the exercise price of an Option is paid by tender to the Company, or attestation to the ownership, of shares of Stock owned by the Participant, or by means of a Net Exercise, the number of shares available for issuance under the Plan shall be reduced only by the net number of shares for which the Option is exercised. Shares purchased in the open market with proceeds from the exercise of Options shall not be added to the limit set forth in Section 4.1. Shares withheld or reacquired by the Company in satisfaction of tax withholding obligations pursuant to the exercise or settlement of Options or SARs pursuant to Section 16.2 and Shares withheld or reacquired by the Company in satisfaction of tax withholding obligations pursuant to the vesting or settlement of Full Value Awards pursuant to Section 16.2 shall again become available for issuance under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4.3</w:t>
      </w:r>
      <w:r>
        <w:rPr>
          <w:rFonts w:ascii="Times New Roman;serif" w:hAnsi="Times New Roman;serif"/>
          <w:b/>
          <w:color w:val="000000"/>
          <w:sz w:val="22"/>
        </w:rPr>
        <w:t>Adjustments for Changes in Capital Structure</w:t>
      </w:r>
      <w:r>
        <w:rPr>
          <w:rFonts w:ascii="Times New Roman;serif" w:hAnsi="Times New Roman;serif"/>
          <w:b w:val="false"/>
          <w:color w:val="000000"/>
          <w:sz w:val="22"/>
        </w:rPr>
        <w:t>. Subject to any required action by the stockholders of the Company and the requirements of Section 409A and Section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annual increase set forth in Section 4.1,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Times New Roman;serif" w:hAnsi="Times New Roman;serif"/>
          <w:b/>
          <w:i/>
          <w:color w:val="000000"/>
          <w:sz w:val="22"/>
        </w:rPr>
        <w:t>New Shares</w:t>
      </w:r>
      <w:r>
        <w:rPr>
          <w:color w:val="000000"/>
        </w:rPr>
        <w:t>”</w:t>
      </w:r>
      <w:r>
        <w:rPr>
          <w:rFonts w:ascii="Times New Roman;serif" w:hAnsi="Times New Roman;serif"/>
          <w:b w:val="false"/>
          <w:color w:val="000000"/>
          <w:sz w:val="22"/>
        </w:rPr>
        <w:t xml:space="preserve">), the Committee may unilaterally amend the outstanding Awards to provide that such Awards are for New Shares. In the event of any such amendment, the number of shares subject to,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7665"/>
                <wp:effectExtent l="0" t="0" r="0" b="0"/>
                <wp:wrapNone/>
                <wp:docPr id="23" name="Frame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exercise or purchase price per share of, the outstanding Awards shall be adjusted in a fair and equitable manner as determined by the Committee, in its discretion and in accordance with Section 409A and Section 424 of the Code to the extent applicable. Any fractional share resulting from an adjustment pursuant to this Section shall be rounded down to the nearest whole number and the exercise or purchase price per share shall be rounded up to the nearest whole cent. In no event may the exercise or purchase price, if any,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pStyle w:val="TextBody"/>
        <w:bidi w:val="0"/>
        <w:spacing w:lineRule="auto" w:line="240" w:before="0" w:after="240"/>
        <w:ind w:left="0" w:right="0" w:firstLine="720"/>
        <w:jc w:val="both"/>
        <w:rPr/>
      </w:pPr>
      <w:r>
        <w:rPr>
          <w:rFonts w:ascii="Times New Roman;serif" w:hAnsi="Times New Roman;serif"/>
          <w:b w:val="false"/>
          <w:color w:val="000000"/>
          <w:sz w:val="22"/>
        </w:rPr>
        <w:t>4.4</w:t>
      </w:r>
      <w:r>
        <w:rPr>
          <w:rFonts w:ascii="Times New Roman;serif" w:hAnsi="Times New Roman;serif"/>
          <w:b/>
          <w:color w:val="000000"/>
          <w:sz w:val="22"/>
        </w:rPr>
        <w:t>Assumption or Substitution of Awards</w:t>
      </w:r>
      <w:r>
        <w:rPr>
          <w:rFonts w:ascii="Times New Roman;serif" w:hAnsi="Times New Roman;serif"/>
          <w:b w:val="false"/>
          <w:color w:val="000000"/>
          <w:sz w:val="22"/>
        </w:rPr>
        <w:t>. The Committee may, without reducing or otherwise affecting the number of shares of Stock reserved or available hereunder, authorize the issuance or assumption of equity awards under this Plan in connection with any merger, consolidation, acquisition of property or stock, or reorganization upon such terms and conditions as it may deem appropriate, subject to compliance with Section 409A and any other applicable provisions of the Code. In addition, subject to compliance with applicable laws, and listing requirements, shares available for grant under a stockholder approved plan of an acquired company (as appropriately adjusted to reflect the transaction) may be used for awards under the Plan to individuals who were not Employees or Directors of the Participating Company Group prior to the transaction and shall not reduce the number of shares otherwise available for issuance under the Plan.</w:t>
      </w:r>
    </w:p>
    <w:p>
      <w:pPr>
        <w:pStyle w:val="TextBody"/>
        <w:bidi w:val="0"/>
        <w:spacing w:lineRule="auto" w:line="240" w:before="0" w:after="240"/>
        <w:jc w:val="both"/>
        <w:rPr/>
      </w:pPr>
      <w:r>
        <w:rPr>
          <w:rFonts w:ascii="Times New Roman;serif" w:hAnsi="Times New Roman;serif"/>
          <w:b/>
          <w:color w:val="000000"/>
          <w:sz w:val="22"/>
        </w:rPr>
        <w:t>5.</w:t>
      </w:r>
      <w:r>
        <w:rPr>
          <w:rFonts w:ascii="Times New Roman;serif" w:hAnsi="Times New Roman;serif"/>
          <w:b/>
          <w:color w:val="000000"/>
          <w:sz w:val="22"/>
        </w:rPr>
        <w:t>ELIGIBILITY, PARTICIPATION AND AWARD LIMITATIONS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5.1</w:t>
      </w:r>
      <w:r>
        <w:rPr>
          <w:rFonts w:ascii="Times New Roman;serif" w:hAnsi="Times New Roman;serif"/>
          <w:b/>
          <w:color w:val="000000"/>
          <w:sz w:val="22"/>
        </w:rPr>
        <w:t>Persons Eligible for Awards</w:t>
      </w:r>
      <w:r>
        <w:rPr>
          <w:rFonts w:ascii="Times New Roman;serif" w:hAnsi="Times New Roman;serif"/>
          <w:b w:val="false"/>
          <w:color w:val="000000"/>
          <w:sz w:val="22"/>
        </w:rPr>
        <w:t>. Awards may be granted only to Employees, Consultants and Directors.</w:t>
      </w:r>
    </w:p>
    <w:p>
      <w:pPr>
        <w:pStyle w:val="TextBody"/>
        <w:bidi w:val="0"/>
        <w:spacing w:lineRule="auto" w:line="240" w:before="0" w:after="240"/>
        <w:ind w:left="0" w:right="0" w:firstLine="720"/>
        <w:jc w:val="both"/>
        <w:rPr/>
      </w:pPr>
      <w:r>
        <w:rPr>
          <w:rFonts w:ascii="Times New Roman;serif" w:hAnsi="Times New Roman;serif"/>
          <w:b w:val="false"/>
          <w:color w:val="000000"/>
          <w:sz w:val="22"/>
        </w:rPr>
        <w:t>5.2</w:t>
      </w:r>
      <w:r>
        <w:rPr>
          <w:rFonts w:ascii="Times New Roman;serif" w:hAnsi="Times New Roman;serif"/>
          <w:b/>
          <w:color w:val="000000"/>
          <w:sz w:val="22"/>
        </w:rPr>
        <w:t>Participation in the Plan</w:t>
      </w:r>
      <w:r>
        <w:rPr>
          <w:rFonts w:ascii="Times New Roman;serif" w:hAnsi="Times New Roman;serif"/>
          <w:b w:val="false"/>
          <w:color w:val="000000"/>
          <w:sz w:val="22"/>
        </w:rPr>
        <w:t>.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5.3</w:t>
      </w:r>
      <w:r>
        <w:rPr>
          <w:rFonts w:ascii="Times New Roman;serif" w:hAnsi="Times New Roman;serif"/>
          <w:b/>
          <w:color w:val="000000"/>
          <w:sz w:val="22"/>
        </w:rPr>
        <w:t>Incentive Stock Option Limitations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Maximum Number of Shares Issuable Pursuant to Incentive Stock Options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Subject to adjustment as provided in Section 4.3, the maximum aggregate number of shares of Stock that may be issued under the Plan pursuant to the exercise of Incentive Stock Options shall not exceed 2,378,178 shares. The maximum aggregate number of shares of Stock that may be issued under the Plan pursuant to all Awards other than Incentive Stock Options shall be the number of shares determined in accordance with Section 4.1, subject to adjustment as provided in Sections 4.2 and 4.3.</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Persons Eligible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An Incentive Stock Option may be granted only to a person who, on the effective date of grant, is an Employee of the Company, a Parent Corporation or a Subsidiary Corporation (each being an “</w:t>
      </w:r>
      <w:r>
        <w:rPr>
          <w:rFonts w:ascii="Times New Roman;serif" w:hAnsi="Times New Roman;serif"/>
          <w:b/>
          <w:i/>
          <w:color w:val="000000"/>
          <w:sz w:val="22"/>
        </w:rPr>
        <w:t>ISO-Qualifying Corporation</w:t>
      </w:r>
      <w:r>
        <w:rPr>
          <w:color w:val="000000"/>
        </w:rPr>
        <w:t>”</w:t>
      </w:r>
      <w:r>
        <w:rPr>
          <w:rFonts w:ascii="Times New Roman;serif" w:hAnsi="Times New Roman;serif"/>
          <w:b w:val="false"/>
          <w:color w:val="000000"/>
          <w:sz w:val="22"/>
        </w:rPr>
        <w:t>). Any person who is not an Employee of an ISO-Qualifying Corporation on the effective date of the grant of an Option to such person may be granted only a Nonstatutory Stock Option.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i/>
          <w:color w:val="000000"/>
          <w:sz w:val="22"/>
        </w:rPr>
        <w:t>Fair Market Value Limitation</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To the extent that options designated as Incentive Stock Options (granted under all stock 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67665"/>
                <wp:effectExtent l="0" t="0" r="0" b="0"/>
                <wp:wrapNone/>
                <wp:docPr id="24" name="Frame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of the Option, shares issued pursuant to each such portion shall be separately identified.</w:t>
      </w:r>
    </w:p>
    <w:p>
      <w:pPr>
        <w:pStyle w:val="TextBody"/>
        <w:bidi w:val="0"/>
        <w:spacing w:lineRule="auto" w:line="240" w:before="0" w:after="240"/>
        <w:ind w:left="0" w:right="0" w:firstLine="720"/>
        <w:jc w:val="both"/>
        <w:rPr/>
      </w:pPr>
      <w:r>
        <w:rPr>
          <w:rFonts w:ascii="Times New Roman;serif" w:hAnsi="Times New Roman;serif"/>
          <w:b w:val="false"/>
          <w:color w:val="000000"/>
          <w:sz w:val="22"/>
        </w:rPr>
        <w:t>5.4</w:t>
      </w:r>
      <w:r>
        <w:rPr>
          <w:rFonts w:ascii="Times New Roman;serif" w:hAnsi="Times New Roman;serif"/>
          <w:b/>
          <w:color w:val="000000"/>
          <w:sz w:val="22"/>
        </w:rPr>
        <w:t>Nonemployee Director Award Limit</w:t>
      </w:r>
      <w:r>
        <w:rPr>
          <w:rFonts w:ascii="Times New Roman;serif" w:hAnsi="Times New Roman;serif"/>
          <w:b w:val="false"/>
          <w:color w:val="000000"/>
          <w:sz w:val="22"/>
        </w:rPr>
        <w:t>. Annual compensation awarded to any Nonemployee Director during each calendar year, including both shares of Stock subject to Awards and any cash fees paid to such Nonemployee Director may not exceed $1,500,000 in total value, or $2,000,000 in the calendar year in which any Nonemployee Director is initially elected to the Board (calculating the value of any such Awards based on the grant date fair value of such Awards for financial reporting purposes).</w:t>
      </w:r>
    </w:p>
    <w:p>
      <w:pPr>
        <w:pStyle w:val="TextBody"/>
        <w:bidi w:val="0"/>
        <w:spacing w:lineRule="auto" w:line="240" w:before="0" w:after="240"/>
        <w:jc w:val="both"/>
        <w:rPr/>
      </w:pPr>
      <w:r>
        <w:rPr>
          <w:rFonts w:ascii="Times New Roman;serif" w:hAnsi="Times New Roman;serif"/>
          <w:b/>
          <w:color w:val="000000"/>
          <w:sz w:val="22"/>
        </w:rPr>
        <w:t>6.</w:t>
      </w:r>
      <w:r>
        <w:rPr>
          <w:rFonts w:ascii="Times New Roman;serif" w:hAnsi="Times New Roman;serif"/>
          <w:b/>
          <w:color w:val="000000"/>
          <w:sz w:val="22"/>
        </w:rPr>
        <w:t>STOCK OPTIONS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Options shall be evidenced by Award Agreements specifying the number of shares of Stock covered thereby,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6.1</w:t>
      </w:r>
      <w:r>
        <w:rPr>
          <w:rFonts w:ascii="Times New Roman;serif" w:hAnsi="Times New Roman;serif"/>
          <w:b/>
          <w:color w:val="000000"/>
          <w:sz w:val="22"/>
        </w:rPr>
        <w:t>Exercise Price</w:t>
      </w:r>
      <w:r>
        <w:rPr>
          <w:rFonts w:ascii="Times New Roman;serif" w:hAnsi="Times New Roman;serif"/>
          <w:b w:val="false"/>
          <w:color w:val="000000"/>
          <w:sz w:val="22"/>
        </w:rPr>
        <w:t>. The exercise price for each Option shall be established in the discretion of the Committee; provided, however, that (a) 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less than the minimum exercise price set forth above if such Option is granted pursuant to an assumption or substitution for another option in a manner that would qualify under the provisions of Section 409A or Section 424(a)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2"/>
        </w:rPr>
        <w:t>6.2</w:t>
      </w:r>
      <w:r>
        <w:rPr>
          <w:rFonts w:ascii="Times New Roman;serif" w:hAnsi="Times New Roman;serif"/>
          <w:b/>
          <w:color w:val="000000"/>
          <w:sz w:val="22"/>
        </w:rPr>
        <w:t>Exercisability and Term of Options</w:t>
      </w:r>
      <w:r>
        <w:rPr>
          <w:rFonts w:ascii="Times New Roman;serif" w:hAnsi="Times New Roman;serif"/>
          <w:b w:val="false"/>
          <w:color w:val="000000"/>
          <w:sz w:val="22"/>
        </w:rPr>
        <w:t>.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6.3</w:t>
      </w:r>
      <w:r>
        <w:rPr>
          <w:rFonts w:ascii="Times New Roman;serif" w:hAnsi="Times New Roman;serif"/>
          <w:b/>
          <w:color w:val="000000"/>
          <w:sz w:val="22"/>
        </w:rPr>
        <w:t>Payment of Exercise Price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Forms of Consideration Authorized</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Except as otherwise provided below, payment of the exercise price for the number of 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if permitted by the Committee,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color w:val="000000"/>
          <w:sz w:val="22"/>
        </w:rPr>
        <w:t>Limitations on Forms of Consideration</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7665"/>
                <wp:effectExtent l="0" t="0" r="0" b="0"/>
                <wp:wrapNone/>
                <wp:docPr id="25" name="Frame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color w:val="000000"/>
          <w:sz w:val="22"/>
        </w:rPr>
        <w:t>Cashless Exercise</w:t>
      </w:r>
      <w:r>
        <w:rPr>
          <w:rFonts w:ascii="Times New Roman;serif" w:hAnsi="Times New Roman;serif"/>
          <w:b w:val="false"/>
          <w:color w:val="000000"/>
          <w:sz w:val="22"/>
        </w:rPr>
        <w:t>. A “</w:t>
      </w:r>
      <w:r>
        <w:rPr>
          <w:rFonts w:ascii="Times New Roman;serif" w:hAnsi="Times New Roman;serif"/>
          <w:b/>
          <w:i/>
          <w:color w:val="000000"/>
          <w:sz w:val="22"/>
        </w:rPr>
        <w:t>Cashless Exercise</w:t>
      </w:r>
      <w:r>
        <w:rPr>
          <w:color w:val="000000"/>
        </w:rPr>
        <w:t xml:space="preserve">” </w:t>
      </w:r>
      <w:r>
        <w:rPr>
          <w:rFonts w:ascii="Times New Roman;serif" w:hAnsi="Times New Roman;serif"/>
          <w:b w:val="false"/>
          <w:color w:val="000000"/>
          <w:sz w:val="22"/>
        </w:rPr>
        <w:t>means the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color w:val="000000"/>
          <w:sz w:val="22"/>
        </w:rPr>
        <w:t>Stock Tender Exercise</w:t>
      </w:r>
      <w:r>
        <w:rPr>
          <w:rFonts w:ascii="Times New Roman;serif" w:hAnsi="Times New Roman;serif"/>
          <w:b w:val="false"/>
          <w:color w:val="000000"/>
          <w:sz w:val="22"/>
        </w:rPr>
        <w:t>. A “</w:t>
      </w:r>
      <w:r>
        <w:rPr>
          <w:rFonts w:ascii="Times New Roman;serif" w:hAnsi="Times New Roman;serif"/>
          <w:b/>
          <w:i/>
          <w:color w:val="000000"/>
          <w:sz w:val="22"/>
        </w:rPr>
        <w:t>Stock Tender Exercise</w:t>
      </w:r>
      <w:r>
        <w:rPr>
          <w:color w:val="000000"/>
        </w:rPr>
        <w:t xml:space="preserve">” </w:t>
      </w:r>
      <w:r>
        <w:rPr>
          <w:rFonts w:ascii="Times New Roman;serif" w:hAnsi="Times New Roman;serif"/>
          <w:b w:val="false"/>
          <w:color w:val="000000"/>
          <w:sz w:val="22"/>
        </w:rPr>
        <w:t>means the delivery of a properly executed exercise notice 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color w:val="000000"/>
          <w:sz w:val="22"/>
        </w:rPr>
        <w:t>Net Exercise</w:t>
      </w:r>
      <w:r>
        <w:rPr>
          <w:rFonts w:ascii="Times New Roman;serif" w:hAnsi="Times New Roman;serif"/>
          <w:b w:val="false"/>
          <w:color w:val="000000"/>
          <w:sz w:val="22"/>
        </w:rPr>
        <w:t>. A “</w:t>
      </w:r>
      <w:r>
        <w:rPr>
          <w:rFonts w:ascii="Times New Roman;serif" w:hAnsi="Times New Roman;serif"/>
          <w:b/>
          <w:i/>
          <w:color w:val="000000"/>
          <w:sz w:val="22"/>
        </w:rPr>
        <w:t>Net Exercise</w:t>
      </w:r>
      <w:r>
        <w:rPr>
          <w:color w:val="000000"/>
        </w:rPr>
        <w:t xml:space="preserve">” </w:t>
      </w:r>
      <w:r>
        <w:rPr>
          <w:rFonts w:ascii="Times New Roman;serif" w:hAnsi="Times New Roman;serif"/>
          <w:b w:val="false"/>
          <w:color w:val="000000"/>
          <w:sz w:val="22"/>
        </w:rPr>
        <w:t>means the delivery of a properly executed exercise notice followed by a procedure 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pStyle w:val="TextBody"/>
        <w:bidi w:val="0"/>
        <w:spacing w:lineRule="auto" w:line="240" w:before="0" w:after="240"/>
        <w:ind w:left="0" w:right="0" w:firstLine="720"/>
        <w:jc w:val="both"/>
        <w:rPr/>
      </w:pPr>
      <w:r>
        <w:rPr>
          <w:rFonts w:ascii="Times New Roman;serif" w:hAnsi="Times New Roman;serif"/>
          <w:b w:val="false"/>
          <w:color w:val="000000"/>
          <w:sz w:val="22"/>
        </w:rPr>
        <w:t>6.4</w:t>
      </w:r>
      <w:r>
        <w:rPr>
          <w:rFonts w:ascii="Times New Roman;serif" w:hAnsi="Times New Roman;serif"/>
          <w:b/>
          <w:color w:val="000000"/>
          <w:sz w:val="22"/>
        </w:rPr>
        <w:t>Effect of Termination of Service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Option Exercisability</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Subject to earlier termination of the Option as otherwise provided by this Plan and unless otherwise provided by the Committee or in an Award Agreement, an Option shall be exercisable after the Participant’s termination of Service to the extent it is then vested only during the applicable time period. specified below, or if applicable, such other period provided in the applicable Award Agreement or other written agreement between the Participant and the Company; provided however, in no event may such Option be exercised after expiration of its maximum permitted term as set forth in the Award Agreement evidencing such Option or any earlier date the Option is terminated in connection with a Change in Control (the “</w:t>
      </w:r>
      <w:r>
        <w:rPr>
          <w:rFonts w:ascii="Times New Roman;serif" w:hAnsi="Times New Roman;serif"/>
          <w:b/>
          <w:i/>
          <w:color w:val="000000"/>
          <w:sz w:val="22"/>
        </w:rPr>
        <w:t>Option Expiration Date</w:t>
      </w:r>
      <w:r>
        <w:rPr>
          <w:color w:val="000000"/>
        </w:rPr>
        <w:t>”</w:t>
      </w:r>
      <w:r>
        <w:rPr>
          <w:rFonts w:ascii="Times New Roman;serif" w:hAnsi="Times New Roman;serif"/>
          <w:b w:val="false"/>
          <w:color w:val="000000"/>
          <w:sz w:val="22"/>
        </w:rPr>
        <w:t>), and thereafter shall terminate if not exercised during such period.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color w:val="000000"/>
          <w:sz w:val="22"/>
        </w:rPr>
        <w:t>Disability</w:t>
      </w:r>
      <w:r>
        <w:rPr>
          <w:rFonts w:ascii="Times New Roman;serif" w:hAnsi="Times New Roman;serif"/>
          <w:b w:val="false"/>
          <w:color w:val="000000"/>
          <w:sz w:val="22"/>
        </w:rPr>
        <w:t>. If the Participant’s Service terminates because of the Disability of the Participant, the Option, to the extent 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color w:val="000000"/>
          <w:sz w:val="22"/>
        </w:rPr>
        <w:t>Death</w:t>
      </w:r>
      <w:r>
        <w:rPr>
          <w:rFonts w:ascii="Times New Roman;serif" w:hAnsi="Times New Roman;serif"/>
          <w:b w:val="false"/>
          <w:color w:val="000000"/>
          <w:sz w:val="22"/>
        </w:rPr>
        <w:t>. If the Participant’s Service terminates because of the death of the Participant, the Option, to the extent unexercised 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The Participant’s Service shall be deemed to have terminated on account of death if the Participant dies within three (3) months after the Participant’s termination of Service for any reason other than Cause.</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color w:val="000000"/>
          <w:sz w:val="22"/>
        </w:rPr>
        <w:t>Termination for Cause</w:t>
      </w:r>
      <w:r>
        <w:rPr>
          <w:rFonts w:ascii="Times New Roman;serif" w:hAnsi="Times New Roman;serif"/>
          <w:b w:val="false"/>
          <w:color w:val="000000"/>
          <w:sz w:val="22"/>
        </w:rPr>
        <w:t xml:space="preserve">. Notwithstanding any other provision of the Plan to the contrary, if the Participant’s Service is terminated for Cause or if, following the Participant’s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67665"/>
                <wp:effectExtent l="0" t="0" r="0" b="0"/>
                <wp:wrapNone/>
                <wp:docPr id="26" name="Frame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color w:val="000000"/>
          <w:sz w:val="22"/>
        </w:rPr>
        <w:t>Other Termination of Service</w:t>
      </w:r>
      <w:r>
        <w:rPr>
          <w:rFonts w:ascii="Times New Roman;serif" w:hAnsi="Times New Roman;serif"/>
          <w:b w:val="false"/>
          <w:color w:val="000000"/>
          <w:sz w:val="22"/>
        </w:rPr>
        <w:t>. If the Participant’s Service terminates for any reason, except Disability, death or Cause, the Option, to the extent unexercised and exercisable for vested shares on the date on which the Participant’s Service terminated, may be exercised by the Participant at any time prior to the expiration of three (3) months after the date on which the Participant’s Service terminated.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Extension if Exercise Prevented by Law</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Notwithstanding the foregoing, other than termination of Service for Cause, if the exercise of an Option within the Post-Termination Exercise Period is prevented by the provisions of Section 14 below or applicable law, the Option shall remain exercisable until the later of (i) thirty (30) days after the date such exercise first would no longer be prevented by such provisions or (ii) the end of the Post-Termination Exercise Period, but in any event no later than the Option Expiration Date.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6.5</w:t>
      </w:r>
      <w:r>
        <w:rPr>
          <w:rFonts w:ascii="Times New Roman;serif" w:hAnsi="Times New Roman;serif"/>
          <w:b/>
          <w:color w:val="000000"/>
          <w:sz w:val="22"/>
        </w:rPr>
        <w:t>Transferability of Options</w:t>
      </w:r>
      <w:r>
        <w:rPr>
          <w:rFonts w:ascii="Times New Roman;serif" w:hAnsi="Times New Roman;serif"/>
          <w:b w:val="false"/>
          <w:color w:val="000000"/>
          <w:sz w:val="22"/>
        </w:rPr>
        <w:t>.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pStyle w:val="TextBody"/>
        <w:bidi w:val="0"/>
        <w:spacing w:lineRule="auto" w:line="240" w:before="0" w:after="240"/>
        <w:jc w:val="both"/>
        <w:rPr/>
      </w:pPr>
      <w:r>
        <w:rPr>
          <w:rFonts w:ascii="Times New Roman;serif" w:hAnsi="Times New Roman;serif"/>
          <w:b/>
          <w:color w:val="000000"/>
          <w:sz w:val="22"/>
        </w:rPr>
        <w:t>7.</w:t>
      </w:r>
      <w:r>
        <w:rPr>
          <w:rFonts w:ascii="Times New Roman;serif" w:hAnsi="Times New Roman;serif"/>
          <w:b/>
          <w:color w:val="000000"/>
          <w:sz w:val="22"/>
        </w:rPr>
        <w:t>STOCK APPRECIATION RIGHTS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 Appreciation Rights shall be evidenced by Award Agreements specifying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7.1</w:t>
      </w:r>
      <w:r>
        <w:rPr>
          <w:rFonts w:ascii="Times New Roman;serif" w:hAnsi="Times New Roman;serif"/>
          <w:b/>
          <w:color w:val="000000"/>
          <w:sz w:val="22"/>
        </w:rPr>
        <w:t>Types of SARs Authorized</w:t>
      </w:r>
      <w:r>
        <w:rPr>
          <w:rFonts w:ascii="Times New Roman;serif" w:hAnsi="Times New Roman;serif"/>
          <w:b w:val="false"/>
          <w:color w:val="000000"/>
          <w:sz w:val="22"/>
        </w:rPr>
        <w:t>. SARs may be granted in tandem with all or any portion of a related Option (a “</w:t>
      </w:r>
      <w:r>
        <w:rPr>
          <w:rFonts w:ascii="Times New Roman;serif" w:hAnsi="Times New Roman;serif"/>
          <w:b/>
          <w:i/>
          <w:color w:val="000000"/>
          <w:sz w:val="22"/>
        </w:rPr>
        <w:t>Tandem SAR</w:t>
      </w:r>
      <w:r>
        <w:rPr>
          <w:color w:val="000000"/>
        </w:rPr>
        <w:t>”</w:t>
      </w:r>
      <w:r>
        <w:rPr>
          <w:rFonts w:ascii="Times New Roman;serif" w:hAnsi="Times New Roman;serif"/>
          <w:b w:val="false"/>
          <w:color w:val="000000"/>
          <w:sz w:val="22"/>
        </w:rPr>
        <w:t>) or may be granted independently of any Option (a “</w:t>
      </w:r>
      <w:r>
        <w:rPr>
          <w:rFonts w:ascii="Times New Roman;serif" w:hAnsi="Times New Roman;serif"/>
          <w:b/>
          <w:i/>
          <w:color w:val="000000"/>
          <w:sz w:val="22"/>
        </w:rPr>
        <w:t>Freestanding SAR</w:t>
      </w:r>
      <w:r>
        <w:rPr>
          <w:color w:val="000000"/>
        </w:rPr>
        <w:t>”</w:t>
      </w:r>
      <w:r>
        <w:rPr>
          <w:rFonts w:ascii="Times New Roman;serif" w:hAnsi="Times New Roman;serif"/>
          <w:b w:val="false"/>
          <w:color w:val="000000"/>
          <w:sz w:val="22"/>
        </w:rPr>
        <w:t>). A Tandem SAR may only be granted concurrently with the grant of the related Option.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7.2</w:t>
      </w:r>
      <w:r>
        <w:rPr>
          <w:rFonts w:ascii="Times New Roman;serif" w:hAnsi="Times New Roman;serif"/>
          <w:b/>
          <w:color w:val="000000"/>
          <w:sz w:val="22"/>
        </w:rPr>
        <w:t>Exercise Price</w:t>
      </w:r>
      <w:r>
        <w:rPr>
          <w:rFonts w:ascii="Times New Roman;serif" w:hAnsi="Times New Roman;serif"/>
          <w:b w:val="false"/>
          <w:color w:val="000000"/>
          <w:sz w:val="22"/>
        </w:rPr>
        <w:t>.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2"/>
        </w:rPr>
        <w:t>7.3</w:t>
      </w:r>
      <w:r>
        <w:rPr>
          <w:rFonts w:ascii="Times New Roman;serif" w:hAnsi="Times New Roman;serif"/>
          <w:b/>
          <w:color w:val="000000"/>
          <w:sz w:val="22"/>
        </w:rPr>
        <w:t>Exercisability and Term of SARs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Tandem SARs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Tandem SARs shall be exercisable only at the time and to the extent, and only to the extent, that the related 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7665"/>
                <wp:effectExtent l="0" t="0" r="0" b="0"/>
                <wp:wrapNone/>
                <wp:docPr id="27" name="Frame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date on which the related Option expires or is terminated or canceled. Upon the exercise of a Tandem SAR with respect to some or all of the shares subject to such SAR, the related Option shall be canceled 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Freestanding SARs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Freestanding SARs shall be exercisable at such time or times, or upon such event or events, and subject to 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Subject to the foregoing, unless otherwise specified by the Committee in the grant of a Freestanding SAR, each Freestanding SAR shall terminate ten (10) years after the effective date of grant of the SAR, unless earlier terminated in accordance with its provisions.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7.4</w:t>
      </w:r>
      <w:r>
        <w:rPr>
          <w:rFonts w:ascii="Times New Roman;serif" w:hAnsi="Times New Roman;serif"/>
          <w:b/>
          <w:color w:val="000000"/>
          <w:sz w:val="22"/>
        </w:rPr>
        <w:t>Exercise of SARs</w:t>
      </w:r>
      <w:r>
        <w:rPr>
          <w:rFonts w:ascii="Times New Roman;serif" w:hAnsi="Times New Roman;serif"/>
          <w:b w:val="false"/>
          <w:color w:val="000000"/>
          <w:sz w:val="22"/>
        </w:rPr>
        <w:t>.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and set forth in the Award Agreement,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pStyle w:val="TextBody"/>
        <w:bidi w:val="0"/>
        <w:spacing w:lineRule="auto" w:line="240" w:before="0" w:after="240"/>
        <w:ind w:left="0" w:right="0" w:firstLine="720"/>
        <w:jc w:val="both"/>
        <w:rPr/>
      </w:pPr>
      <w:r>
        <w:rPr>
          <w:rFonts w:ascii="Times New Roman;serif" w:hAnsi="Times New Roman;serif"/>
          <w:b w:val="false"/>
          <w:color w:val="000000"/>
          <w:sz w:val="22"/>
        </w:rPr>
        <w:t>7.5</w:t>
      </w:r>
      <w:r>
        <w:rPr>
          <w:rFonts w:ascii="Times New Roman;serif" w:hAnsi="Times New Roman;serif"/>
          <w:b/>
          <w:color w:val="000000"/>
          <w:sz w:val="22"/>
        </w:rPr>
        <w:t>Deemed Exercise of SARs</w:t>
      </w:r>
      <w:r>
        <w:rPr>
          <w:rFonts w:ascii="Times New Roman;serif" w:hAnsi="Times New Roman;serif"/>
          <w:b w:val="false"/>
          <w:color w:val="000000"/>
          <w:sz w:val="22"/>
        </w:rPr>
        <w:t>.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 The Company may elect to discontinue the deemed exercise of SARs pursuant to this Section 7.5 at any time upon notice to a Participant or to apply the deemed exercise feature only to certain groups of Participants. The deemed exercise of a SAR pursuant to this Section 7.5 shall apply only to a SAR that has been timely accepted by a Participant under procedures specified by the Company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2"/>
        </w:rPr>
        <w:t>7.6</w:t>
      </w:r>
      <w:r>
        <w:rPr>
          <w:rFonts w:ascii="Times New Roman;serif" w:hAnsi="Times New Roman;serif"/>
          <w:b/>
          <w:color w:val="000000"/>
          <w:sz w:val="22"/>
        </w:rPr>
        <w:t>Effect of Termination of Service</w:t>
      </w:r>
      <w:r>
        <w:rPr>
          <w:rFonts w:ascii="Times New Roman;serif" w:hAnsi="Times New Roman;serif"/>
          <w:b w:val="false"/>
          <w:color w:val="000000"/>
          <w:sz w:val="22"/>
        </w:rPr>
        <w:t>. Subject to earlier termination of the SAR as otherwise provided herein and unless otherwise provided by the Committee or in an Award Agreement, an SAR shall be exercisable after a Participant’s termination of Service only to the extent and during the applicable time period determined in accordance with Section 6.4 (treating the SAR as if it were an Option) and thereafter shall terminate.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7.7</w:t>
      </w:r>
      <w:r>
        <w:rPr>
          <w:rFonts w:ascii="Times New Roman;serif" w:hAnsi="Times New Roman;serif"/>
          <w:b/>
          <w:color w:val="000000"/>
          <w:sz w:val="22"/>
        </w:rPr>
        <w:t>Transferability of SARs</w:t>
      </w:r>
      <w:r>
        <w:rPr>
          <w:rFonts w:ascii="Times New Roman;serif" w:hAnsi="Times New Roman;serif"/>
          <w:b w:val="false"/>
          <w:color w:val="000000"/>
          <w:sz w:val="22"/>
        </w:rPr>
        <w:t xml:space="preserve">. During the lifetime of the Participant, an SAR shall be exercisable only by the Participant or the Participant’s guardian or legal representative. 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67665"/>
                <wp:effectExtent l="0" t="0" r="0" b="0"/>
                <wp:wrapNone/>
                <wp:docPr id="28" name="Frame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Award, a Tandem SAR related to a Nonstatutory Stock Option or a Freestanding SAR shall be assignable or transferable subject to the applicable limitations, if any, described in the General Instructions to Form S-8 under the Securities Act.</w:t>
      </w:r>
    </w:p>
    <w:p>
      <w:pPr>
        <w:pStyle w:val="TextBody"/>
        <w:bidi w:val="0"/>
        <w:spacing w:lineRule="auto" w:line="240" w:before="0" w:after="240"/>
        <w:jc w:val="both"/>
        <w:rPr/>
      </w:pPr>
      <w:r>
        <w:rPr>
          <w:rFonts w:ascii="Times New Roman;serif" w:hAnsi="Times New Roman;serif"/>
          <w:b/>
          <w:color w:val="000000"/>
          <w:sz w:val="22"/>
        </w:rPr>
        <w:t>8.</w:t>
      </w:r>
      <w:r>
        <w:rPr>
          <w:rFonts w:ascii="Times New Roman;serif" w:hAnsi="Times New Roman;serif"/>
          <w:b/>
          <w:color w:val="000000"/>
          <w:sz w:val="22"/>
        </w:rPr>
        <w:t>RESTRICTED STOCK AWARDS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Restricted Stock Awards shall be evidenced by Award Agreements specifying whether the Award is a Restricted Stock Bonus or a Restricted Stock Purchase Right and the number of shares of Stock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8.1</w:t>
      </w:r>
      <w:r>
        <w:rPr>
          <w:rFonts w:ascii="Times New Roman;serif" w:hAnsi="Times New Roman;serif"/>
          <w:b/>
          <w:color w:val="000000"/>
          <w:sz w:val="22"/>
        </w:rPr>
        <w:t>Types of Restricted Stock Awards Authorized</w:t>
      </w:r>
      <w:r>
        <w:rPr>
          <w:rFonts w:ascii="Times New Roman;serif" w:hAnsi="Times New Roman;serif"/>
          <w:b w:val="false"/>
          <w:color w:val="000000"/>
          <w:sz w:val="22"/>
        </w:rPr>
        <w:t>.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pStyle w:val="TextBody"/>
        <w:bidi w:val="0"/>
        <w:spacing w:lineRule="auto" w:line="240" w:before="0" w:after="240"/>
        <w:ind w:left="0" w:right="0" w:firstLine="720"/>
        <w:jc w:val="both"/>
        <w:rPr/>
      </w:pPr>
      <w:r>
        <w:rPr>
          <w:rFonts w:ascii="Times New Roman;serif" w:hAnsi="Times New Roman;serif"/>
          <w:b w:val="false"/>
          <w:color w:val="000000"/>
          <w:sz w:val="22"/>
        </w:rPr>
        <w:t>8.2</w:t>
      </w:r>
      <w:r>
        <w:rPr>
          <w:rFonts w:ascii="Times New Roman;serif" w:hAnsi="Times New Roman;serif"/>
          <w:b/>
          <w:color w:val="000000"/>
          <w:sz w:val="22"/>
        </w:rPr>
        <w:t>Purchase Price</w:t>
      </w:r>
      <w:r>
        <w:rPr>
          <w:rFonts w:ascii="Times New Roman;serif" w:hAnsi="Times New Roman;serif"/>
          <w:b w:val="false"/>
          <w:color w:val="000000"/>
          <w:sz w:val="22"/>
        </w:rPr>
        <w:t>.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8.3</w:t>
      </w:r>
      <w:r>
        <w:rPr>
          <w:rFonts w:ascii="Times New Roman;serif" w:hAnsi="Times New Roman;serif"/>
          <w:b/>
          <w:color w:val="000000"/>
          <w:sz w:val="22"/>
        </w:rPr>
        <w:t>Purchase Period</w:t>
      </w:r>
      <w:r>
        <w:rPr>
          <w:rFonts w:ascii="Times New Roman;serif" w:hAnsi="Times New Roman;serif"/>
          <w:b w:val="false"/>
          <w:color w:val="000000"/>
          <w:sz w:val="22"/>
        </w:rPr>
        <w:t>. A Restricted Stock Purchase Right shall be exercisable within a period established by the Committee, which shall in no event exceed thirty (30) days from the effective date of the grant of the Restricted Stock Purchase Right.</w:t>
      </w:r>
    </w:p>
    <w:p>
      <w:pPr>
        <w:pStyle w:val="TextBody"/>
        <w:bidi w:val="0"/>
        <w:spacing w:lineRule="auto" w:line="240" w:before="0" w:after="240"/>
        <w:ind w:left="0" w:right="0" w:firstLine="720"/>
        <w:jc w:val="both"/>
        <w:rPr/>
      </w:pPr>
      <w:r>
        <w:rPr>
          <w:rFonts w:ascii="Times New Roman;serif" w:hAnsi="Times New Roman;serif"/>
          <w:b w:val="false"/>
          <w:color w:val="000000"/>
          <w:sz w:val="22"/>
        </w:rPr>
        <w:t>8.4</w:t>
      </w:r>
      <w:r>
        <w:rPr>
          <w:rFonts w:ascii="Times New Roman;serif" w:hAnsi="Times New Roman;serif"/>
          <w:b/>
          <w:color w:val="000000"/>
          <w:sz w:val="22"/>
        </w:rPr>
        <w:t>Payment of Purchase Price</w:t>
      </w:r>
      <w:r>
        <w:rPr>
          <w:rFonts w:ascii="Times New Roman;serif" w:hAnsi="Times New Roman;serif"/>
          <w:b w:val="false"/>
          <w:color w:val="000000"/>
          <w:sz w:val="22"/>
        </w:rPr>
        <w:t>.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2"/>
        </w:rPr>
        <w:t>8.5</w:t>
      </w:r>
      <w:r>
        <w:rPr>
          <w:rFonts w:ascii="Times New Roman;serif" w:hAnsi="Times New Roman;serif"/>
          <w:b/>
          <w:color w:val="000000"/>
          <w:sz w:val="22"/>
        </w:rPr>
        <w:t>Vesting and Restrictions on Transfer</w:t>
      </w:r>
      <w:r>
        <w:rPr>
          <w:rFonts w:ascii="Times New Roman;serif" w:hAnsi="Times New Roman;serif"/>
          <w:b w:val="false"/>
          <w:color w:val="000000"/>
          <w:sz w:val="22"/>
        </w:rPr>
        <w:t>.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7665"/>
                <wp:effectExtent l="0" t="0" r="0" b="0"/>
                <wp:wrapNone/>
                <wp:docPr id="29" name="Frame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8.6</w:t>
      </w:r>
      <w:r>
        <w:rPr>
          <w:rFonts w:ascii="Times New Roman;serif" w:hAnsi="Times New Roman;serif"/>
          <w:b/>
          <w:color w:val="000000"/>
          <w:sz w:val="22"/>
        </w:rPr>
        <w:t>Voting Rights; Dividends and Distributions</w:t>
      </w:r>
      <w:r>
        <w:rPr>
          <w:rFonts w:ascii="Times New Roman;serif" w:hAnsi="Times New Roman;serif"/>
          <w:b w:val="false"/>
          <w:color w:val="000000"/>
          <w:sz w:val="22"/>
        </w:rPr>
        <w:t>.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if so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4.3,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pStyle w:val="TextBody"/>
        <w:bidi w:val="0"/>
        <w:spacing w:lineRule="auto" w:line="240" w:before="0" w:after="240"/>
        <w:ind w:left="0" w:right="0" w:firstLine="720"/>
        <w:jc w:val="both"/>
        <w:rPr/>
      </w:pPr>
      <w:r>
        <w:rPr>
          <w:rFonts w:ascii="Times New Roman;serif" w:hAnsi="Times New Roman;serif"/>
          <w:b w:val="false"/>
          <w:color w:val="000000"/>
          <w:sz w:val="22"/>
        </w:rPr>
        <w:t>8.7</w:t>
      </w:r>
      <w:r>
        <w:rPr>
          <w:rFonts w:ascii="Times New Roman;serif" w:hAnsi="Times New Roman;serif"/>
          <w:b/>
          <w:color w:val="000000"/>
          <w:sz w:val="22"/>
        </w:rPr>
        <w:t>Effect of Termination of Service</w:t>
      </w:r>
      <w:r>
        <w:rPr>
          <w:rFonts w:ascii="Times New Roman;serif" w:hAnsi="Times New Roman;serif"/>
          <w:b w:val="false"/>
          <w:color w:val="000000"/>
          <w:sz w:val="22"/>
        </w:rPr>
        <w:t>.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8.8</w:t>
      </w:r>
      <w:r>
        <w:rPr>
          <w:rFonts w:ascii="Times New Roman;serif" w:hAnsi="Times New Roman;serif"/>
          <w:b/>
          <w:color w:val="000000"/>
          <w:sz w:val="22"/>
        </w:rPr>
        <w:t>Nontransferability of Restricted Stock Award Rights</w:t>
      </w:r>
      <w:r>
        <w:rPr>
          <w:rFonts w:ascii="Times New Roman;serif" w:hAnsi="Times New Roman;serif"/>
          <w:b w:val="false"/>
          <w:color w:val="000000"/>
          <w:sz w:val="22"/>
        </w:rPr>
        <w:t>.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pStyle w:val="TextBody"/>
        <w:bidi w:val="0"/>
        <w:spacing w:lineRule="auto" w:line="240" w:before="0" w:after="240"/>
        <w:jc w:val="both"/>
        <w:rPr/>
      </w:pPr>
      <w:r>
        <w:rPr>
          <w:rFonts w:ascii="Times New Roman;serif" w:hAnsi="Times New Roman;serif"/>
          <w:b/>
          <w:color w:val="000000"/>
          <w:sz w:val="22"/>
        </w:rPr>
        <w:t>9.</w:t>
      </w:r>
      <w:r>
        <w:rPr>
          <w:rFonts w:ascii="Times New Roman;serif" w:hAnsi="Times New Roman;serif"/>
          <w:b/>
          <w:color w:val="000000"/>
          <w:sz w:val="22"/>
        </w:rPr>
        <w:t>RESTRICTED STOCK UNITS.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Restricted Stock Unit Awards shall be evidenced by Award Agreements specifying the number of Restricted Stock Units subject to the Award,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9.1</w:t>
      </w:r>
      <w:r>
        <w:rPr>
          <w:rFonts w:ascii="Times New Roman;serif" w:hAnsi="Times New Roman;serif"/>
          <w:b/>
          <w:color w:val="000000"/>
          <w:sz w:val="22"/>
        </w:rPr>
        <w:t>Grant of Restricted Stock Unit Awards</w:t>
      </w:r>
      <w:r>
        <w:rPr>
          <w:rFonts w:ascii="Times New Roman;serif" w:hAnsi="Times New Roman;serif"/>
          <w:b w:val="false"/>
          <w:color w:val="000000"/>
          <w:sz w:val="22"/>
        </w:rPr>
        <w:t>.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pStyle w:val="TextBody"/>
        <w:bidi w:val="0"/>
        <w:spacing w:lineRule="auto" w:line="240" w:before="0" w:after="240"/>
        <w:ind w:left="0" w:right="0" w:firstLine="720"/>
        <w:jc w:val="both"/>
        <w:rPr/>
      </w:pPr>
      <w:r>
        <w:rPr>
          <w:rFonts w:ascii="Times New Roman;serif" w:hAnsi="Times New Roman;serif"/>
          <w:b w:val="false"/>
          <w:color w:val="000000"/>
          <w:sz w:val="22"/>
        </w:rPr>
        <w:t>9.2</w:t>
      </w:r>
      <w:r>
        <w:rPr>
          <w:rFonts w:ascii="Times New Roman;serif" w:hAnsi="Times New Roman;serif"/>
          <w:b/>
          <w:color w:val="000000"/>
          <w:sz w:val="22"/>
        </w:rPr>
        <w:t>Purchase Price</w:t>
      </w:r>
      <w:r>
        <w:rPr>
          <w:rFonts w:ascii="Times New Roman;serif" w:hAnsi="Times New Roman;serif"/>
          <w:b w:val="false"/>
          <w:color w:val="000000"/>
          <w:sz w:val="22"/>
        </w:rPr>
        <w:t>.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67665"/>
                <wp:effectExtent l="0" t="0" r="0" b="0"/>
                <wp:wrapNone/>
                <wp:docPr id="30" name="Frame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9.3</w:t>
      </w:r>
      <w:r>
        <w:rPr>
          <w:rFonts w:ascii="Times New Roman;serif" w:hAnsi="Times New Roman;serif"/>
          <w:b/>
          <w:color w:val="000000"/>
          <w:sz w:val="22"/>
        </w:rPr>
        <w:t>Vesting</w:t>
      </w:r>
      <w:r>
        <w:rPr>
          <w:rFonts w:ascii="Times New Roman;serif" w:hAnsi="Times New Roman;serif"/>
          <w:b w:val="false"/>
          <w:color w:val="000000"/>
          <w:sz w:val="22"/>
        </w:rPr>
        <w:t>.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9.4</w:t>
      </w:r>
      <w:r>
        <w:rPr>
          <w:rFonts w:ascii="Times New Roman;serif" w:hAnsi="Times New Roman;serif"/>
          <w:b/>
          <w:color w:val="000000"/>
          <w:sz w:val="22"/>
        </w:rPr>
        <w:t>Voting Rights, Dividend Equivalent Rights and Distributions</w:t>
      </w:r>
      <w:r>
        <w:rPr>
          <w:rFonts w:ascii="Times New Roman;serif" w:hAnsi="Times New Roman;serif"/>
          <w:b w:val="false"/>
          <w:color w:val="000000"/>
          <w:sz w:val="22"/>
        </w:rPr>
        <w:t>.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credited shall be determined by dividing (a) the amount of cash dividends paid on the dividend payment date with respect to the number of shares of Stock represented by the Restricted Stock Units previously credited to the Participant by (b) the Fair Market Value per share of Stock on such date. If so determined by the Committee and provided by the Award Agreement, such cash amount or additional Restricted Stock Units shall be subject to the same terms and conditions (including vesting terms)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4.3,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9.5</w:t>
      </w:r>
      <w:r>
        <w:rPr>
          <w:rFonts w:ascii="Times New Roman;serif" w:hAnsi="Times New Roman;serif"/>
          <w:b/>
          <w:color w:val="000000"/>
          <w:sz w:val="22"/>
        </w:rPr>
        <w:t>Effect of Termination of Service</w:t>
      </w:r>
      <w:r>
        <w:rPr>
          <w:rFonts w:ascii="Times New Roman;serif" w:hAnsi="Times New Roman;serif"/>
          <w:b w:val="false"/>
          <w:color w:val="000000"/>
          <w:sz w:val="22"/>
        </w:rPr>
        <w:t>.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9.6</w:t>
      </w:r>
      <w:r>
        <w:rPr>
          <w:rFonts w:ascii="Times New Roman;serif" w:hAnsi="Times New Roman;serif"/>
          <w:b/>
          <w:color w:val="000000"/>
          <w:sz w:val="22"/>
        </w:rPr>
        <w:t>Settlement of Restricted Stock Unit Awards</w:t>
      </w:r>
      <w:r>
        <w:rPr>
          <w:rFonts w:ascii="Times New Roman;serif" w:hAnsi="Times New Roman;serif"/>
          <w:b w:val="false"/>
          <w:color w:val="000000"/>
          <w:sz w:val="22"/>
        </w:rPr>
        <w:t>. The Company shall issue to a Participant on the date on which Restricted Stock Units subject to the Participant’s Restricted Stock Unit Award vest or on such other date determined by the Committee in compliance with Section 409A, if applicable,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The Committee, in its discretion, may provide in any Award Agreement evidencing a Restricted Stock Unit Award that if the settlement date with respect to any shares issuable upon vesting of Restricted Stock Units would otherwise occur on a day on which the sale of such shares would violate the provisions of the Trading Compliance Policy, then the settlement date shall be deferred until the next trading day on which the sale of such shares would not violate the Trading Compliance Policy but in any event no later than the 15th day of the third calendar month following the year in which such Restricted Stock Units vest.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 Participant shall be set forth in the Award Agreement or an Election (as defined in Section 15.2). Notwithstanding the foregoing, the Committee, in its discretion, may provide in an Award Agreement for settlement of any Restricted Stock Unit Award by payment to the Participant in cash of an amount equal to the Fair Market Value on the payment date of the shares of Stock or other property otherwise issuable to the Participant pursuant to this Section.</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7665"/>
                <wp:effectExtent l="0" t="0" r="0" b="0"/>
                <wp:wrapNone/>
                <wp:docPr id="31" name="Frame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9.7</w:t>
      </w:r>
      <w:r>
        <w:rPr>
          <w:rFonts w:ascii="Times New Roman;serif" w:hAnsi="Times New Roman;serif"/>
          <w:b/>
          <w:color w:val="000000"/>
          <w:sz w:val="22"/>
        </w:rPr>
        <w:t>Nontransferability of Restricted Stock Unit Awards</w:t>
      </w:r>
      <w:r>
        <w:rPr>
          <w:rFonts w:ascii="Times New Roman;serif" w:hAnsi="Times New Roman;serif"/>
          <w:b w:val="false"/>
          <w:color w:val="000000"/>
          <w:sz w:val="22"/>
        </w:rPr>
        <w:t>.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pStyle w:val="TextBody"/>
        <w:bidi w:val="0"/>
        <w:spacing w:lineRule="auto" w:line="240" w:before="0" w:after="240"/>
        <w:jc w:val="both"/>
        <w:rPr/>
      </w:pPr>
      <w:r>
        <w:rPr>
          <w:rFonts w:ascii="Times New Roman;serif" w:hAnsi="Times New Roman;serif"/>
          <w:b/>
          <w:color w:val="000000"/>
          <w:sz w:val="22"/>
        </w:rPr>
        <w:t>10.</w:t>
      </w:r>
      <w:r>
        <w:rPr>
          <w:rFonts w:ascii="Times New Roman;serif" w:hAnsi="Times New Roman;serif"/>
          <w:b/>
          <w:color w:val="000000"/>
          <w:sz w:val="22"/>
        </w:rPr>
        <w:t>PERFORMANCE AWARDS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Performance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10.1</w:t>
      </w:r>
      <w:r>
        <w:rPr>
          <w:rFonts w:ascii="Times New Roman;serif" w:hAnsi="Times New Roman;serif"/>
          <w:b/>
          <w:color w:val="000000"/>
          <w:sz w:val="22"/>
        </w:rPr>
        <w:t>Types of Performance Awards Authorized</w:t>
      </w:r>
      <w:r>
        <w:rPr>
          <w:rFonts w:ascii="Times New Roman;serif" w:hAnsi="Times New Roman;serif"/>
          <w:b w:val="false"/>
          <w:color w:val="000000"/>
          <w:sz w:val="22"/>
        </w:rPr>
        <w:t>.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10.2</w:t>
      </w:r>
      <w:r>
        <w:rPr>
          <w:rFonts w:ascii="Times New Roman;serif" w:hAnsi="Times New Roman;serif"/>
          <w:b/>
          <w:color w:val="000000"/>
          <w:sz w:val="22"/>
        </w:rPr>
        <w:t>Initial Value of Performance Shares and Performance Units</w:t>
      </w:r>
      <w:r>
        <w:rPr>
          <w:rFonts w:ascii="Times New Roman;serif" w:hAnsi="Times New Roman;serif"/>
          <w:b w:val="false"/>
          <w:color w:val="000000"/>
          <w:sz w:val="22"/>
        </w:rPr>
        <w:t>. Unless otherwise provided by the Committee in granting a Performance Award, each Performance Share shall have an initial monetary value equal to the Fair Market Value of one (1) share of Stock, subject to adjustment as provided in Section 4.3,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10.3</w:t>
      </w:r>
      <w:r>
        <w:rPr>
          <w:rFonts w:ascii="Times New Roman;serif" w:hAnsi="Times New Roman;serif"/>
          <w:b/>
          <w:color w:val="000000"/>
          <w:sz w:val="22"/>
        </w:rPr>
        <w:t>Establishment of Performance Period, Performance Goals and Performance Award Formula</w:t>
      </w:r>
      <w:r>
        <w:rPr>
          <w:rFonts w:ascii="Times New Roman;serif" w:hAnsi="Times New Roman;serif"/>
          <w:b w:val="false"/>
          <w:color w:val="000000"/>
          <w:sz w:val="22"/>
        </w:rPr>
        <w:t>.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The Company shall notify each Participant granted a Performance Award of the terms of such Award, including the Performance Period, Performance Goal(s) and Performance Award Formula.</w:t>
      </w:r>
    </w:p>
    <w:p>
      <w:pPr>
        <w:pStyle w:val="TextBody"/>
        <w:bidi w:val="0"/>
        <w:spacing w:lineRule="auto" w:line="240" w:before="0" w:after="240"/>
        <w:ind w:left="0" w:right="0" w:firstLine="720"/>
        <w:jc w:val="both"/>
        <w:rPr/>
      </w:pPr>
      <w:r>
        <w:rPr>
          <w:rFonts w:ascii="Times New Roman;serif" w:hAnsi="Times New Roman;serif"/>
          <w:b w:val="false"/>
          <w:color w:val="000000"/>
          <w:sz w:val="22"/>
        </w:rPr>
        <w:t>10.4</w:t>
      </w:r>
      <w:r>
        <w:rPr>
          <w:rFonts w:ascii="Times New Roman;serif" w:hAnsi="Times New Roman;serif"/>
          <w:b/>
          <w:color w:val="000000"/>
          <w:sz w:val="22"/>
        </w:rPr>
        <w:t>Measurement of Performance Goals</w:t>
      </w:r>
      <w:r>
        <w:rPr>
          <w:rFonts w:ascii="Times New Roman;serif" w:hAnsi="Times New Roman;serif"/>
          <w:b w:val="false"/>
          <w:color w:val="000000"/>
          <w:sz w:val="22"/>
        </w:rPr>
        <w:t>. Performance Goals shall be established by the Committee on the basis of targets to be attained (“</w:t>
      </w:r>
      <w:r>
        <w:rPr>
          <w:rFonts w:ascii="Times New Roman;serif" w:hAnsi="Times New Roman;serif"/>
          <w:b/>
          <w:i/>
          <w:color w:val="000000"/>
          <w:sz w:val="22"/>
        </w:rPr>
        <w:t>Performance Targets</w:t>
      </w:r>
      <w:r>
        <w:rPr>
          <w:color w:val="000000"/>
        </w:rPr>
        <w:t>”</w:t>
      </w:r>
      <w:r>
        <w:rPr>
          <w:rFonts w:ascii="Times New Roman;serif" w:hAnsi="Times New Roman;serif"/>
          <w:b w:val="false"/>
          <w:color w:val="000000"/>
          <w:sz w:val="22"/>
        </w:rPr>
        <w:t>) with respect to one or more measures of objective or subjective business, financial or individual performance or other performance criteria established by the Committee in its discretion (each, a “</w:t>
      </w:r>
      <w:r>
        <w:rPr>
          <w:rFonts w:ascii="Times New Roman;serif" w:hAnsi="Times New Roman;serif"/>
          <w:b/>
          <w:i/>
          <w:color w:val="000000"/>
          <w:sz w:val="22"/>
        </w:rPr>
        <w:t>Performance Measure</w:t>
      </w:r>
      <w:r>
        <w:rPr>
          <w:color w:val="000000"/>
        </w:rPr>
        <w:t>”</w:t>
      </w:r>
      <w:r>
        <w:rPr>
          <w:rFonts w:ascii="Times New Roman;serif" w:hAnsi="Times New Roman;serif"/>
          <w:b w:val="false"/>
          <w:color w:val="000000"/>
          <w:sz w:val="22"/>
        </w:rPr>
        <w:t>), subject to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Performance Measures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Unless otherwise determined by the Committee no later than the grant of the Performance Award, Performance Measures based on objective criteria shall be calculated in accordance with the Company’s financial statements, or, if such measures are not reported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based on subjective criteria shall be determined on the basis established by the Committee in granting the Award. As specified by the Committee, Performance Measures may be calculated with respect to the Company and each Subsidiary Corporation consolidated therewith for financial reporting purposes, one or more Subsidiary Corporations or such division or other business unit of any of them selected by the Committee. Unless otherwise determined by the Committee no later than the grant of the Performance Award, the Performance Measures applicable to the Performance Award shall be calculated prior to the accrual of expense for any Performance Award for the same Performance Period and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7665"/>
                <wp:effectExtent l="0" t="0" r="0" b="0"/>
                <wp:wrapNone/>
                <wp:docPr id="32" name="Frame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excluding the effect (whether positive or negative) on the Performance Measures of any change in accounting standards or any unusual or infrequently occurring event or transaction,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Performance Targets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Performance Targets may include a minimum, maximum, target level and intermediate levels of performance, with the final value of a Performance Award determined under the applicable Performance Award Formula by the Performance Target level attained during the applicable Performance Period. A Performance Target may be stated as an absolute value, an increase or decrease in a value, or as a value determined relative to an index, budget or other standard selected by the Committee.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10.5</w:t>
      </w:r>
      <w:r>
        <w:rPr>
          <w:rFonts w:ascii="Times New Roman;serif" w:hAnsi="Times New Roman;serif"/>
          <w:b/>
          <w:color w:val="000000"/>
          <w:sz w:val="22"/>
        </w:rPr>
        <w:t>Settlement of Performance Awards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Determination of Final Value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As soon as practicable following the completion of the Performance Period applicable to a Performance Award, the Committee shall determine the extent to which the applicable Performance Goals have been attained and the resulting final value of the Award earned by the Participant and to be paid upon its settlement in accordance with the applicable Performance Award Formula.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Discretionary Adjustment of Award Formula</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In its discretion, the Committee may, either at the time it grants a Performance Award or at any time thereafter, provide for the positive or negative adjustment of the Performance Award Formula applicable to a Performance Award to reflect such Participant’s individual performance in his or her position with the Company or such other factors as the Committee may determine.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i/>
          <w:color w:val="000000"/>
          <w:sz w:val="22"/>
        </w:rPr>
        <w:t>Effect of Leaves of Absence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Unless otherwise required by law or a Participant’s Award Agreement, payment of the final value, 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i/>
          <w:color w:val="000000"/>
          <w:sz w:val="22"/>
        </w:rPr>
        <w:t>Notice to Participants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As soon as practicable following the Committee’s determination in accordance with Sections 10.5(a) and (b), the Company shall notify each Participant of the determination of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i/>
          <w:color w:val="000000"/>
          <w:sz w:val="22"/>
        </w:rPr>
        <w:t>Payment in Settlement of Performance Awards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As soon as practicable following the Committee’s determination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and set forth in the Award Agreement. Unless otherwise provided in the Award Agreement evidencing a Performance Award, payment shall be made in a lump sum. If permitted by the Committee, the Participant may elect, consistent with the requirements of Section 409A, to defer receipt of all or any portion of the payment to be made to the Participant pursuant to this Section, and such deferred payment date(s) elected by the Participant shall be set forth in the Award Agreement or an Election. If any payment is to be made on a deferred basis, the Committee may, but shall not be obligated to, provide for the payment during the deferral period of Dividend Equivalent Rights or interest.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i/>
          <w:color w:val="000000"/>
          <w:sz w:val="22"/>
        </w:rPr>
        <w:t>Provisions Applicable to Payment in Shares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 xml:space="preserve">If payment is to be made in shares of Stock, the number of such shares shall be 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7665"/>
                <wp:effectExtent l="0" t="0" r="0" b="0"/>
                <wp:wrapNone/>
                <wp:docPr id="33" name="Frame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Any shares subject to Vesting Conditions shall be evidenced by an appropriate Award Agreement and shall be subject to the provisions of Sections 8.5 through 8.8 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10.6</w:t>
      </w:r>
      <w:r>
        <w:rPr>
          <w:rFonts w:ascii="Times New Roman;serif" w:hAnsi="Times New Roman;serif"/>
          <w:b/>
          <w:color w:val="000000"/>
          <w:sz w:val="22"/>
        </w:rPr>
        <w:t>Voting Rights; Dividend Equivalent Rights and Distributions</w:t>
      </w:r>
      <w:r>
        <w:rPr>
          <w:rFonts w:ascii="Times New Roman;serif" w:hAnsi="Times New Roman;serif"/>
          <w:b w:val="false"/>
          <w:color w:val="000000"/>
          <w:sz w:val="22"/>
        </w:rPr>
        <w:t>.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if any, shall be accumulated and paid to the extent that the related Performance Shares become nonforfeitable.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4.3,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10.7</w:t>
      </w:r>
      <w:r>
        <w:rPr>
          <w:rFonts w:ascii="Times New Roman;serif" w:hAnsi="Times New Roman;serif"/>
          <w:b/>
          <w:color w:val="000000"/>
          <w:sz w:val="22"/>
        </w:rPr>
        <w:t>Effect of Termination of Service</w:t>
      </w:r>
      <w:r>
        <w:rPr>
          <w:rFonts w:ascii="Times New Roman;serif" w:hAnsi="Times New Roman;serif"/>
          <w:b w:val="false"/>
          <w:color w:val="000000"/>
          <w:sz w:val="22"/>
        </w:rPr>
        <w:t>. Unless otherwise provided by the Committee and set forth in the Award Agreement evidencing a Performance Award, the effect of a Participant’s termination of Service on the Performance Award shall be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Death or Disability</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If the Participant’s Service terminates because of the death or Disability of the Participant before the 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Other Termination of Service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If the Participant’s Service terminates for any reason except death or Disability before the 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pStyle w:val="TextBody"/>
        <w:bidi w:val="0"/>
        <w:spacing w:lineRule="auto" w:line="240" w:before="0" w:after="240"/>
        <w:ind w:left="0" w:right="0" w:firstLine="720"/>
        <w:jc w:val="both"/>
        <w:rPr/>
      </w:pPr>
      <w:r>
        <w:rPr>
          <w:rFonts w:ascii="Times New Roman;serif" w:hAnsi="Times New Roman;serif"/>
          <w:b w:val="false"/>
          <w:color w:val="000000"/>
          <w:sz w:val="22"/>
        </w:rPr>
        <w:t>10.8</w:t>
      </w:r>
      <w:r>
        <w:rPr>
          <w:rFonts w:ascii="Times New Roman;serif" w:hAnsi="Times New Roman;serif"/>
          <w:b/>
          <w:color w:val="000000"/>
          <w:sz w:val="22"/>
        </w:rPr>
        <w:t>Nontransferability of Performance Awards</w:t>
      </w:r>
      <w:r>
        <w:rPr>
          <w:rFonts w:ascii="Times New Roman;serif" w:hAnsi="Times New Roman;serif"/>
          <w:b w:val="false"/>
          <w:color w:val="000000"/>
          <w:sz w:val="22"/>
        </w:rPr>
        <w:t>.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7665"/>
                <wp:effectExtent l="0" t="0" r="0" b="0"/>
                <wp:wrapNone/>
                <wp:docPr id="34" name="Frame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2"/>
        </w:rPr>
        <w:t>11.</w:t>
      </w:r>
      <w:r>
        <w:rPr>
          <w:rFonts w:ascii="Times New Roman;serif" w:hAnsi="Times New Roman;serif"/>
          <w:b/>
          <w:color w:val="000000"/>
          <w:sz w:val="22"/>
        </w:rPr>
        <w:t>CASH-BASED AWARDS AND OTHER STOCK-BASED AWARDS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Cash-Based Awards and Other Stock-Based Awards shall be evidenced by Award Agreements in such form as the Committee shall establish. Such Award Agreements may incorporate all or any of the terms of the Plan by reference and shall comply with and be subject to the following terms and conditions: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11.1</w:t>
      </w:r>
      <w:r>
        <w:rPr>
          <w:rFonts w:ascii="Times New Roman;serif" w:hAnsi="Times New Roman;serif"/>
          <w:b/>
          <w:color w:val="000000"/>
          <w:sz w:val="22"/>
        </w:rPr>
        <w:t>Grant of Cash-Based Awards</w:t>
      </w:r>
      <w:r>
        <w:rPr>
          <w:rFonts w:ascii="Times New Roman;serif" w:hAnsi="Times New Roman;serif"/>
          <w:b w:val="false"/>
          <w:color w:val="000000"/>
          <w:sz w:val="22"/>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11.2</w:t>
      </w:r>
      <w:r>
        <w:rPr>
          <w:rFonts w:ascii="Times New Roman;serif" w:hAnsi="Times New Roman;serif"/>
          <w:b/>
          <w:color w:val="000000"/>
          <w:sz w:val="22"/>
        </w:rPr>
        <w:t>Grant of Other Stock-Based Awards</w:t>
      </w:r>
      <w:r>
        <w:rPr>
          <w:rFonts w:ascii="Times New Roman;serif" w:hAnsi="Times New Roman;serif"/>
          <w:b w:val="false"/>
          <w:color w:val="000000"/>
          <w:sz w:val="22"/>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 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2"/>
        </w:rPr>
        <w:t>11.3</w:t>
      </w:r>
      <w:r>
        <w:rPr>
          <w:rFonts w:ascii="Times New Roman;serif" w:hAnsi="Times New Roman;serif"/>
          <w:b/>
          <w:color w:val="000000"/>
          <w:sz w:val="22"/>
        </w:rPr>
        <w:t>Value of Cash-Based and Other Stock-Based Awards</w:t>
      </w:r>
      <w:r>
        <w:rPr>
          <w:rFonts w:ascii="Times New Roman;serif" w:hAnsi="Times New Roman;serif"/>
          <w:b w:val="false"/>
          <w:color w:val="000000"/>
          <w:sz w:val="22"/>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w:t>
      </w:r>
    </w:p>
    <w:p>
      <w:pPr>
        <w:pStyle w:val="TextBody"/>
        <w:bidi w:val="0"/>
        <w:spacing w:lineRule="auto" w:line="240" w:before="0" w:after="240"/>
        <w:ind w:left="0" w:right="0" w:firstLine="720"/>
        <w:jc w:val="both"/>
        <w:rPr/>
      </w:pPr>
      <w:r>
        <w:rPr>
          <w:rFonts w:ascii="Times New Roman;serif" w:hAnsi="Times New Roman;serif"/>
          <w:b w:val="false"/>
          <w:color w:val="000000"/>
          <w:sz w:val="22"/>
        </w:rPr>
        <w:t>11.4</w:t>
      </w:r>
      <w:r>
        <w:rPr>
          <w:rFonts w:ascii="Times New Roman;serif" w:hAnsi="Times New Roman;serif"/>
          <w:b/>
          <w:color w:val="000000"/>
          <w:sz w:val="22"/>
        </w:rPr>
        <w:t>Payment or Settlement of Cash-Based Awards and Other Stock-Based Awards</w:t>
      </w:r>
      <w:r>
        <w:rPr>
          <w:rFonts w:ascii="Times New Roman;serif" w:hAnsi="Times New Roman;serif"/>
          <w:b w:val="false"/>
          <w:color w:val="000000"/>
          <w:sz w:val="22"/>
        </w:rPr>
        <w:t>. Payment or settlement, if any, with respect to a Cash-Based Award or an Other Stock-Based Award shall be made in accordance with the terms of the Award, in cash, shares of Stock or other securities or any combination thereof as the Committee determines and set forth in the Award Agreement. To the extent applicable, payment or settlement with respect to each Cash-Based Award and Other Stock-Based Award shall be made in compliance with the requirements of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2"/>
        </w:rPr>
        <w:t>11.5</w:t>
      </w:r>
      <w:r>
        <w:rPr>
          <w:rFonts w:ascii="Times New Roman;serif" w:hAnsi="Times New Roman;serif"/>
          <w:b/>
          <w:color w:val="000000"/>
          <w:sz w:val="22"/>
        </w:rPr>
        <w:t>Voting Rights; Dividend Equivalent Rights and Distributions</w:t>
      </w:r>
      <w:r>
        <w:rPr>
          <w:rFonts w:ascii="Times New Roman;serif" w:hAnsi="Times New Roman;serif"/>
          <w:b w:val="false"/>
          <w:color w:val="000000"/>
          <w:sz w:val="22"/>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4.3, appropriate adjustments shall be made in the Participant’s Other Stock-Based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such Award, and all such new, substituted or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7665"/>
                <wp:effectExtent l="0" t="0" r="0" b="0"/>
                <wp:wrapNone/>
                <wp:docPr id="35" name="Frame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additional securities or other property shall be immediately subject to the same Vesting Conditions and performance criteria, if any, as are applicable to the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11.6</w:t>
      </w:r>
      <w:r>
        <w:rPr>
          <w:rFonts w:ascii="Times New Roman;serif" w:hAnsi="Times New Roman;serif"/>
          <w:b/>
          <w:color w:val="000000"/>
          <w:sz w:val="22"/>
        </w:rPr>
        <w:t>Effect of Termination of Service</w:t>
      </w:r>
      <w:r>
        <w:rPr>
          <w:rFonts w:ascii="Times New Roman;serif" w:hAnsi="Times New Roman;serif"/>
          <w:b w:val="false"/>
          <w:color w:val="000000"/>
          <w:sz w:val="22"/>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11.7</w:t>
      </w:r>
      <w:r>
        <w:rPr>
          <w:color w:val="000000"/>
        </w:rPr>
        <w:t> </w:t>
      </w:r>
      <w:r>
        <w:rPr>
          <w:rFonts w:ascii="Times New Roman;serif" w:hAnsi="Times New Roman;serif"/>
          <w:b/>
          <w:color w:val="000000"/>
          <w:sz w:val="22"/>
        </w:rPr>
        <w:t>Nontransferability of Cash-Based Awards and Other Stock-Based Awards</w:t>
      </w:r>
      <w:r>
        <w:rPr>
          <w:rFonts w:ascii="Times New Roman;serif" w:hAnsi="Times New Roman;serif"/>
          <w:b w:val="false"/>
          <w:color w:val="000000"/>
          <w:sz w:val="22"/>
        </w:rPr>
        <w:t>.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pStyle w:val="TextBody"/>
        <w:bidi w:val="0"/>
        <w:spacing w:lineRule="auto" w:line="240" w:before="0" w:after="240"/>
        <w:jc w:val="both"/>
        <w:rPr/>
      </w:pPr>
      <w:r>
        <w:rPr>
          <w:rFonts w:ascii="Times New Roman;serif" w:hAnsi="Times New Roman;serif"/>
          <w:b/>
          <w:color w:val="000000"/>
          <w:sz w:val="22"/>
        </w:rPr>
        <w:t>12.</w:t>
      </w:r>
      <w:r>
        <w:rPr>
          <w:rFonts w:ascii="Times New Roman;serif" w:hAnsi="Times New Roman;serif"/>
          <w:b/>
          <w:color w:val="000000"/>
          <w:sz w:val="22"/>
        </w:rPr>
        <w:t>STANDARD FORMS OF AWARD AGREEMENT.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12.1</w:t>
      </w:r>
      <w:r>
        <w:rPr>
          <w:rFonts w:ascii="Times New Roman;serif" w:hAnsi="Times New Roman;serif"/>
          <w:b/>
          <w:color w:val="000000"/>
          <w:sz w:val="22"/>
        </w:rPr>
        <w:t>Award Agreements</w:t>
      </w:r>
      <w:r>
        <w:rPr>
          <w:rFonts w:ascii="Times New Roman;serif" w:hAnsi="Times New Roman;serif"/>
          <w:b w:val="false"/>
          <w:color w:val="000000"/>
          <w:sz w:val="22"/>
        </w:rPr>
        <w:t>.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Company-executed Award Agreement, which execution may be evidenced by electronic 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12.2</w:t>
      </w:r>
      <w:r>
        <w:rPr>
          <w:rFonts w:ascii="Times New Roman;serif" w:hAnsi="Times New Roman;serif"/>
          <w:b/>
          <w:color w:val="000000"/>
          <w:sz w:val="22"/>
        </w:rPr>
        <w:t>Authority to Vary Terms</w:t>
      </w:r>
      <w:r>
        <w:rPr>
          <w:rFonts w:ascii="Times New Roman;serif" w:hAnsi="Times New Roman;serif"/>
          <w:b w:val="false"/>
          <w:color w:val="000000"/>
          <w:sz w:val="22"/>
        </w:rPr>
        <w:t>.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pStyle w:val="TextBody"/>
        <w:bidi w:val="0"/>
        <w:spacing w:lineRule="auto" w:line="240" w:before="0" w:after="240"/>
        <w:jc w:val="both"/>
        <w:rPr/>
      </w:pPr>
      <w:r>
        <w:rPr>
          <w:rFonts w:ascii="Times New Roman;serif" w:hAnsi="Times New Roman;serif"/>
          <w:b/>
          <w:color w:val="000000"/>
          <w:sz w:val="22"/>
        </w:rPr>
        <w:t>13.</w:t>
      </w:r>
      <w:r>
        <w:rPr>
          <w:rFonts w:ascii="Times New Roman;serif" w:hAnsi="Times New Roman;serif"/>
          <w:b/>
          <w:color w:val="000000"/>
          <w:sz w:val="22"/>
        </w:rPr>
        <w:t>CHANGE IN CONTROL</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13.1</w:t>
      </w:r>
      <w:r>
        <w:rPr>
          <w:rFonts w:ascii="Times New Roman;serif" w:hAnsi="Times New Roman;serif"/>
          <w:b/>
          <w:color w:val="000000"/>
          <w:sz w:val="22"/>
        </w:rPr>
        <w:t>Effect of Change in Control on Awards</w:t>
      </w:r>
      <w:r>
        <w:rPr>
          <w:rFonts w:ascii="Times New Roman;serif" w:hAnsi="Times New Roman;serif"/>
          <w:b w:val="false"/>
          <w:color w:val="000000"/>
          <w:sz w:val="22"/>
        </w:rPr>
        <w:t>. In the event of a Change in Control, outstanding Awards shall be subject to the definitive agreement entered into by the Company in connection with the Change in Control. Subject to the requirements and limitations of Section 409A, if applicable, the following provisions will apply to Awards in the event of a Change in Control unless otherwise provided in the Award Agreement or any other written agreement between the Company or any Affiliate and the Participant or unless otherwise expressly provided by the Committee at the time of grant of an Award. In the event of a Change in Control, then, notwithstanding any other provision of the Plan, the Committee may take one or more of the following actions with respect to Awards, contingent upon the closing or completion of the Change in Control. The Committee need not take the same action or actions with respect to all Awards or portions thereof or with respect to all Participants and in each case may make such determination in its discretion and without the consent of any Participant (unless otherwise provided in the Award Agreement or any other written agreement between the Company or any Affiliate and the Participant or unless otherwise expressly provided by the Committee at the time of grant of an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Accelerated Vesting</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Committee may take such 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the Change in Control, and to such extent as the Committee determines.</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7665"/>
                <wp:effectExtent l="0" t="0" r="0" b="0"/>
                <wp:wrapNone/>
                <wp:docPr id="36" name="Frame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Assumption, Continuation or Substitution</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Committee may arrange for the surviving, continuing, successor, or purchasing corporation or other business entity or parent thereof, as the case may be (the “</w:t>
      </w:r>
      <w:r>
        <w:rPr>
          <w:rFonts w:ascii="Times New Roman;serif" w:hAnsi="Times New Roman;serif"/>
          <w:b/>
          <w:i/>
          <w:color w:val="000000"/>
          <w:sz w:val="22"/>
        </w:rPr>
        <w:t>Acquiror</w:t>
      </w:r>
      <w:r>
        <w:rPr>
          <w:color w:val="000000"/>
        </w:rPr>
        <w:t>”</w:t>
      </w:r>
      <w:r>
        <w:rPr>
          <w:rFonts w:ascii="Times New Roman;serif" w:hAnsi="Times New Roman;serif"/>
          <w:b w:val="false"/>
          <w:color w:val="000000"/>
          <w:sz w:val="22"/>
        </w:rPr>
        <w:t>) to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with appropriate adjustments in accordance with Section 4.3.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not assumed, continued or substituted by the Acquiror in connection with the Change in Control nor exercised or settled prior to the time of consummation of the Change in Control shall terminate and cease to be outstanding effective as of the time of consummation of the Change in Control.</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i/>
          <w:color w:val="000000"/>
          <w:sz w:val="22"/>
        </w:rPr>
        <w:t>Assignment or Lapse of Reacquisition or Repurchase Rights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Committee may arrange for the assignment of any reacquisition or repurchase rights held by the Company in respect of Stock issued pursuant to the Award to the Acquiror or arrange for the lapse, in whole or in part, of any reacquisition or repurchase rights held by the Company with respect to the Award.</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i/>
          <w:color w:val="000000"/>
          <w:sz w:val="22"/>
        </w:rPr>
        <w:t>Cancellation</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In its discretion, the Committee may cancel or arrange for the cancellation of the Award, to the extent not vested or not exercised prior to the effective time of the Change in Control, in exchange for no consideration ($0) or such consideration, if any, as determined by the Committee.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i/>
          <w:color w:val="000000"/>
          <w:sz w:val="22"/>
        </w:rPr>
        <w:t>Cash-Out of Outstanding Stock-Based Awards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Committee may 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notice or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 or, if determined by the Committee and in compliance with Section 409A, as soon as practicable following the date of the Change in Control.</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i/>
          <w:color w:val="000000"/>
          <w:sz w:val="22"/>
        </w:rPr>
        <w:t>Adjustments and Earnouts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In making any determination pursuant to this Section 13.1 in the event of a Change in Control, the Committee may, in its discretion, determine that an Award shall or shall not be subject to the same post-closing purchase price adjustments, escrow terms, offset rights, holdback terms, earnouts and similar conditions as the other holders of the Company’s Stock, subject to any limitations or reductions as may be necessary to comply with Section 409A or Section 424 of the Code.</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7665"/>
                <wp:effectExtent l="0" t="0" r="0" b="0"/>
                <wp:wrapNone/>
                <wp:docPr id="37" name="Frame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2"/>
        </w:rPr>
        <w:t>13.2</w:t>
      </w:r>
      <w:r>
        <w:rPr>
          <w:rFonts w:ascii="Times New Roman;serif" w:hAnsi="Times New Roman;serif"/>
          <w:b/>
          <w:color w:val="000000"/>
          <w:sz w:val="22"/>
        </w:rPr>
        <w:t>Effect of Change in Control on Nonemployee Director Awards</w:t>
      </w:r>
      <w:r>
        <w:rPr>
          <w:rFonts w:ascii="Times New Roman;serif" w:hAnsi="Times New Roman;serif"/>
          <w:b w:val="false"/>
          <w:color w:val="000000"/>
          <w:sz w:val="22"/>
        </w:rPr>
        <w:t>. Subject to the requirements and limitations of Section 409A, if applicable, including as provided by Section 15.4(f), in the event of a Change in Control, each outstanding Nonemployee Director Award shall become immediately exercisable and vested in full effective immediately prior to and contingent upon the Change in Control and, except to the extent assumed, continued or substituted for pursuant to Section 13.1(b) or otherwise restricted by Section 409A, shall be settled effective immediately prior to the time of consummation of the Change in Control if not exercised or settled prior to the Change in Control.</w:t>
      </w:r>
    </w:p>
    <w:p>
      <w:pPr>
        <w:pStyle w:val="TextBody"/>
        <w:bidi w:val="0"/>
        <w:spacing w:lineRule="auto" w:line="240" w:before="0" w:after="240"/>
        <w:ind w:left="0" w:right="0" w:firstLine="720"/>
        <w:jc w:val="both"/>
        <w:rPr/>
      </w:pPr>
      <w:r>
        <w:rPr>
          <w:rFonts w:ascii="Times New Roman;serif" w:hAnsi="Times New Roman;serif"/>
          <w:b w:val="false"/>
          <w:color w:val="000000"/>
          <w:sz w:val="22"/>
        </w:rPr>
        <w:t>13.3</w:t>
      </w:r>
      <w:r>
        <w:rPr>
          <w:rFonts w:ascii="Times New Roman;serif" w:hAnsi="Times New Roman;serif"/>
          <w:b/>
          <w:color w:val="000000"/>
          <w:sz w:val="22"/>
        </w:rPr>
        <w:t>Federal Excise Tax Under Section 4999 of the Code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Excess Parachute Payment</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If any acceleration of vesting pursuant to an Award and any other payment or benefit received or to be received by a Participant would subject the Participant to any excise tax pursuant to Section 4999 of the Code due to the characterization of such acceleration of vesting, payment or benefit as an “excess parachute payment” under Section 280G of the Code, then, provided such election would not subject the Participant to taxation under Section 409A, the Participant may elect to reduce the amount of any acceleration of vesting called for under the Award in order to avoid such characterization.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Determination by Tax Firm</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To aid the Participant in making any election called for under Section 13.3(a), no later than the date of the occurrence of any event that might reasonably be anticipated to result in an “excess parachute payment” to the Participant as described in Section 13.3(a), the Company shall request a determination in writing by the professional firm engaged by the Company for general tax purposes, or, if the tax firm so engaged by the Company is serving as accountant or auditor for the Acquiror, the Company will appoint a nationally recognized tax firm to make the determinations required by this Section (the “</w:t>
      </w:r>
      <w:r>
        <w:rPr>
          <w:rFonts w:ascii="Times New Roman;serif" w:hAnsi="Times New Roman;serif"/>
          <w:b/>
          <w:i/>
          <w:color w:val="000000"/>
          <w:sz w:val="22"/>
        </w:rPr>
        <w:t>Tax Firm</w:t>
      </w:r>
      <w:r>
        <w:rPr>
          <w:color w:val="000000"/>
        </w:rPr>
        <w:t>”</w:t>
      </w:r>
      <w:r>
        <w:rPr>
          <w:rFonts w:ascii="Times New Roman;serif" w:hAnsi="Times New Roman;serif"/>
          <w:b w:val="false"/>
          <w:color w:val="000000"/>
          <w:sz w:val="22"/>
        </w:rPr>
        <w:t>). As soon as practicable thereafter, the Tax Firm shall determine and report to the Company and the Participant the amount of such acceleration of vesting, payments and benefits which would produce the greatest after-tax benefit to the Participant. For the purposes of such determination, the Tax Firm may rely on reasonable, good faith interpretations concerning the application of Sections 280G and 4999 of the Code. The Company and the Participant shall furnish to the Tax Firm such information and documents as the Tax Firm may reasonably request in order to make its required determination. The Company shall bear all fees and expenses the Tax Firm charges in connection with its services contemplated by this Section.</w:t>
      </w:r>
    </w:p>
    <w:p>
      <w:pPr>
        <w:pStyle w:val="TextBody"/>
        <w:bidi w:val="0"/>
        <w:spacing w:lineRule="auto" w:line="240" w:before="0" w:after="240"/>
        <w:jc w:val="both"/>
        <w:rPr/>
      </w:pPr>
      <w:r>
        <w:rPr>
          <w:rFonts w:ascii="Times New Roman;serif" w:hAnsi="Times New Roman;serif"/>
          <w:b/>
          <w:color w:val="000000"/>
          <w:sz w:val="22"/>
        </w:rPr>
        <w:t>14.</w:t>
      </w:r>
      <w:r>
        <w:rPr>
          <w:rFonts w:ascii="Times New Roman;serif" w:hAnsi="Times New Roman;serif"/>
          <w:b/>
          <w:color w:val="000000"/>
          <w:sz w:val="22"/>
        </w:rPr>
        <w:t>COMPLIANCE WITH SECURITIES LAW</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lineRule="auto" w:line="240" w:before="0" w:after="240"/>
        <w:jc w:val="both"/>
        <w:rPr/>
      </w:pPr>
      <w:r>
        <w:rPr>
          <w:rFonts w:ascii="Times New Roman;serif" w:hAnsi="Times New Roman;serif"/>
          <w:b/>
          <w:color w:val="000000"/>
          <w:sz w:val="22"/>
        </w:rPr>
        <w:t>15.</w:t>
      </w:r>
      <w:r>
        <w:rPr>
          <w:rFonts w:ascii="Times New Roman;serif" w:hAnsi="Times New Roman;serif"/>
          <w:b/>
          <w:color w:val="000000"/>
          <w:sz w:val="22"/>
        </w:rPr>
        <w:t>COMPLIANCE WITH SECTION 409A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15.1</w:t>
      </w:r>
      <w:r>
        <w:rPr>
          <w:rFonts w:ascii="Times New Roman;serif" w:hAnsi="Times New Roman;serif"/>
          <w:b/>
          <w:color w:val="000000"/>
          <w:sz w:val="22"/>
        </w:rPr>
        <w:t>Awards Subject to Section 409A</w:t>
      </w:r>
      <w:r>
        <w:rPr>
          <w:rFonts w:ascii="Times New Roman;serif" w:hAnsi="Times New Roman;serif"/>
          <w:b w:val="false"/>
          <w:color w:val="000000"/>
          <w:sz w:val="22"/>
        </w:rPr>
        <w:t xml:space="preserve">. The Company intends that Awards granted pursuant to the Plan shall either be exempt from or comply with Section 409A, and the Plan shall be so construed.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7665"/>
                <wp:effectExtent l="0" t="0" r="0" b="0"/>
                <wp:wrapNone/>
                <wp:docPr id="38" name="Frame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provisions of this Section 15 shall apply to any Award or portion thereof that constitutes or provides for payment of Section 409A Deferred Compensation. Such Awards may include, without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pStyle w:val="TextBody"/>
        <w:bidi w:val="0"/>
        <w:spacing w:lineRule="auto" w:line="288" w:before="0" w:after="240"/>
        <w:ind w:left="0" w:right="0" w:firstLine="720"/>
        <w:jc w:val="both"/>
        <w:rPr/>
      </w:pPr>
      <w:r>
        <w:rPr>
          <w:rFonts w:ascii="Times New Roman;serif" w:hAnsi="Times New Roman;serif"/>
          <w:b w:val="false"/>
          <w:color w:val="000000"/>
          <w:sz w:val="22"/>
        </w:rPr>
        <w:t>Subject to the provisions of Section 409A, the term “</w:t>
      </w:r>
      <w:r>
        <w:rPr>
          <w:rFonts w:ascii="Times New Roman;serif" w:hAnsi="Times New Roman;serif"/>
          <w:b/>
          <w:i/>
          <w:color w:val="000000"/>
          <w:sz w:val="22"/>
        </w:rPr>
        <w:t>Short-Term Deferral Period</w:t>
      </w:r>
      <w:r>
        <w:rPr>
          <w:color w:val="000000"/>
        </w:rPr>
        <w:t xml:space="preserve">” </w:t>
      </w:r>
      <w:r>
        <w:rPr>
          <w:rFonts w:ascii="Times New Roman;serif" w:hAnsi="Times New Roman;serif"/>
          <w:b w:val="false"/>
          <w:color w:val="000000"/>
          <w:sz w:val="22"/>
        </w:rPr>
        <w:t>means the 2 1/2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pStyle w:val="TextBody"/>
        <w:bidi w:val="0"/>
        <w:spacing w:lineRule="auto" w:line="240" w:before="0" w:after="240"/>
        <w:ind w:left="0" w:right="0" w:firstLine="720"/>
        <w:jc w:val="both"/>
        <w:rPr/>
      </w:pPr>
      <w:r>
        <w:rPr>
          <w:rFonts w:ascii="Times New Roman;serif" w:hAnsi="Times New Roman;serif"/>
          <w:b w:val="false"/>
          <w:color w:val="000000"/>
          <w:sz w:val="22"/>
        </w:rPr>
        <w:t>15.2</w:t>
      </w:r>
      <w:r>
        <w:rPr>
          <w:rFonts w:ascii="Times New Roman;serif" w:hAnsi="Times New Roman;serif"/>
          <w:b/>
          <w:color w:val="000000"/>
          <w:sz w:val="22"/>
        </w:rPr>
        <w:t>Deferral and/or Distribution Elections</w:t>
      </w:r>
      <w:r>
        <w:rPr>
          <w:rFonts w:ascii="Times New Roman;serif" w:hAnsi="Times New Roman;serif"/>
          <w:b w:val="false"/>
          <w:color w:val="000000"/>
          <w:sz w:val="22"/>
        </w:rPr>
        <w:t>. Except as otherwise permitted or required by Section 409A and the Company, the following rules shall apply to any compensation deferral and/or payment elections (each, an “</w:t>
      </w:r>
      <w:r>
        <w:rPr>
          <w:rFonts w:ascii="Times New Roman;serif" w:hAnsi="Times New Roman;serif"/>
          <w:b/>
          <w:i/>
          <w:color w:val="000000"/>
          <w:sz w:val="22"/>
        </w:rPr>
        <w:t>Election</w:t>
      </w:r>
      <w:r>
        <w:rPr>
          <w:color w:val="000000"/>
        </w:rPr>
        <w:t>”</w:t>
      </w:r>
      <w:r>
        <w:rPr>
          <w:rFonts w:ascii="Times New Roman;serif" w:hAnsi="Times New Roman;serif"/>
          <w:b w:val="false"/>
          <w:color w:val="000000"/>
          <w:sz w:val="22"/>
        </w:rPr>
        <w:t>) that may be permitted or required by the Committee pursuant to an Award providing Section 409A Deferred Compensation: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Elections must be in writing and specify the amount of the payment in settlement of an Award being deferred, as well as the time and form of payment as permitted by this Plan.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Elections shall be made by the end of the Participant’s taxable year prior to the year in which services commence for which an Award may be granted to the Participant.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pStyle w:val="TextBody"/>
        <w:bidi w:val="0"/>
        <w:spacing w:lineRule="auto" w:line="240" w:before="0" w:after="240"/>
        <w:ind w:left="0" w:right="0" w:firstLine="720"/>
        <w:jc w:val="both"/>
        <w:rPr/>
      </w:pPr>
      <w:r>
        <w:rPr>
          <w:rFonts w:ascii="Times New Roman;serif" w:hAnsi="Times New Roman;serif"/>
          <w:b w:val="false"/>
          <w:color w:val="000000"/>
          <w:sz w:val="22"/>
        </w:rPr>
        <w:t>15.3</w:t>
      </w:r>
      <w:r>
        <w:rPr>
          <w:rFonts w:ascii="Times New Roman;serif" w:hAnsi="Times New Roman;serif"/>
          <w:b/>
          <w:color w:val="000000"/>
          <w:sz w:val="22"/>
        </w:rPr>
        <w:t>Subsequent Elections</w:t>
      </w:r>
      <w:r>
        <w:rPr>
          <w:rFonts w:ascii="Times New Roman;serif" w:hAnsi="Times New Roman;serif"/>
          <w:b w:val="false"/>
          <w:color w:val="000000"/>
          <w:sz w:val="22"/>
        </w:rPr>
        <w:t>.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No subsequent Election may take effect until at least twelve (12) months after the date on which the subsequent Election is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Each subsequent Election related to a payment in settlement of an Award not described in Section 15.4(a)(ii), 15.4(a)(iii) or 15.4(a)(vi) must result in a delay of the payment for a period of not less than five (5) years from the date on which such payment would otherwise have been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 subsequent Election related to a payment pursuant to Section 15.4(a)(vi) shall be made less than twelve (12) months before the date on which such payment would otherwise have been made.</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7665"/>
                <wp:effectExtent l="0" t="0" r="0" b="0"/>
                <wp:wrapNone/>
                <wp:docPr id="39" name="Frame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pStyle w:val="TextBody"/>
        <w:bidi w:val="0"/>
        <w:spacing w:lineRule="auto" w:line="240" w:before="0" w:after="240"/>
        <w:ind w:left="0" w:right="0" w:firstLine="720"/>
        <w:jc w:val="both"/>
        <w:rPr/>
      </w:pPr>
      <w:r>
        <w:rPr>
          <w:rFonts w:ascii="Times New Roman;serif" w:hAnsi="Times New Roman;serif"/>
          <w:b w:val="false"/>
          <w:color w:val="000000"/>
          <w:sz w:val="22"/>
        </w:rPr>
        <w:t>15.4</w:t>
      </w:r>
      <w:r>
        <w:rPr>
          <w:rFonts w:ascii="Times New Roman;serif" w:hAnsi="Times New Roman;serif"/>
          <w:b/>
          <w:color w:val="000000"/>
          <w:sz w:val="22"/>
        </w:rPr>
        <w:t>Payment of Section 409A Deferred Compensation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rPr>
        <w:t>Permissible Payments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Except as otherwise permitted or required by Section 409A, an Award providing Section 409A Deferred Compensation must provide for payment in settlement of the Award only upon one or more of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The Participant’s “separation from service” (as defined by Section 409A);</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The Participant’s becoming “disabled” (as defined by Section 409A);</w:t>
      </w:r>
    </w:p>
    <w:p>
      <w:pPr>
        <w:pStyle w:val="TextBody"/>
        <w:bidi w:val="0"/>
        <w:spacing w:lineRule="auto" w:line="240"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The Participant’s death;</w:t>
      </w:r>
    </w:p>
    <w:p>
      <w:pPr>
        <w:pStyle w:val="TextBody"/>
        <w:bidi w:val="0"/>
        <w:spacing w:lineRule="auto" w:line="240"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pStyle w:val="TextBody"/>
        <w:bidi w:val="0"/>
        <w:spacing w:lineRule="auto" w:line="240"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A change in the ownership or effective control or the Company or in the ownership of a substantial portion of the assets of the Company determined in accordance with Section 409A; or</w:t>
      </w:r>
    </w:p>
    <w:p>
      <w:pPr>
        <w:pStyle w:val="TextBody"/>
        <w:bidi w:val="0"/>
        <w:spacing w:lineRule="auto" w:line="240" w:before="0" w:after="240"/>
        <w:ind w:left="0" w:right="0" w:firstLine="2160"/>
        <w:jc w:val="both"/>
        <w:rPr/>
      </w:pPr>
      <w:r>
        <w:rPr>
          <w:rFonts w:ascii="Times New Roman;serif" w:hAnsi="Times New Roman;serif"/>
          <w:b w:val="false"/>
          <w:color w:val="000000"/>
          <w:sz w:val="22"/>
        </w:rPr>
        <w:t>(vi)</w:t>
      </w:r>
      <w:r>
        <w:rPr>
          <w:rFonts w:ascii="Times New Roman;serif" w:hAnsi="Times New Roman;serif"/>
          <w:b w:val="false"/>
          <w:color w:val="000000"/>
          <w:sz w:val="22"/>
        </w:rPr>
        <w:t>The occurrence of an “unforeseeable emergency” (as defined by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rPr>
        <w:t>Installment Payments</w:t>
      </w:r>
      <w:r>
        <w:rPr>
          <w:rFonts w:ascii="Times New Roman;serif" w:hAnsi="Times New Roman;serif"/>
          <w:b w:val="false"/>
          <w:color w:val="000000"/>
          <w:sz w:val="22"/>
        </w:rPr>
        <w:t>. It is the intent of this Plan that any right of a Participant to receive installment payments (within the meaning of Section 409A) shall, for all purposes of Section 409A, be treated as a right to a series of separate payments.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i/>
          <w:color w:val="000000"/>
          <w:sz w:val="22"/>
        </w:rPr>
        <w:t>Required Delay in Payment to Specified Employee Pursuant to Separation from Service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Notwithstanding any provision of the Plan or an Award Agreement to the contrary, except as otherwise permitted by Section 409A, no payment pursuant to Section 15.4(a)(i) in settlement of an Award providing for Section 409A Deferred Compensation may be made to a Participant who is a “specified employee” (as defined by Section 409A) as of the date of the Participant’s separation from service before the date (the “</w:t>
      </w:r>
      <w:r>
        <w:rPr>
          <w:rFonts w:ascii="Times New Roman;serif" w:hAnsi="Times New Roman;serif"/>
          <w:b/>
          <w:i/>
          <w:color w:val="000000"/>
          <w:sz w:val="22"/>
        </w:rPr>
        <w:t>Delayed Payment Date</w:t>
      </w:r>
      <w:r>
        <w:rPr>
          <w:color w:val="000000"/>
        </w:rPr>
        <w:t>”</w:t>
      </w:r>
      <w:r>
        <w:rPr>
          <w:rFonts w:ascii="Times New Roman;serif" w:hAnsi="Times New Roman;serif"/>
          <w:b w:val="false"/>
          <w:color w:val="000000"/>
          <w:sz w:val="22"/>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i/>
          <w:color w:val="000000"/>
          <w:sz w:val="22"/>
        </w:rPr>
        <w:t>Payment Upon Disability</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All distributions of Section 409A Deferred Compensation payable pursuant to Section 15.4(a)(ii) by reason of a Participant 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or commence upon the determination that the Participant has become disabled.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i/>
          <w:color w:val="000000"/>
          <w:sz w:val="22"/>
        </w:rPr>
        <w:t>Payment Upon Death</w:t>
      </w:r>
      <w:r>
        <w:rPr>
          <w:rFonts w:ascii="Times New Roman;serif" w:hAnsi="Times New Roman;serif"/>
          <w:b w:val="false"/>
          <w:color w:val="000000"/>
          <w:sz w:val="22"/>
        </w:rPr>
        <w:t>. If a Participant dies before complete distribution of amounts payable upon settlement of an Award subject 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7665"/>
                <wp:effectExtent l="0" t="0" r="0" b="0"/>
                <wp:wrapNone/>
                <wp:docPr id="40" name="Frame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i/>
          <w:color w:val="000000"/>
          <w:sz w:val="22"/>
        </w:rPr>
        <w:t>Payment Upon Change in Control</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Notwithstanding any provision of the Plan or an Award Agreement to the contrary, to the 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 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i/>
          <w:color w:val="000000"/>
          <w:sz w:val="22"/>
        </w:rPr>
        <w:t>Payment Upon Unforeseeable Emergency</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The Committee shall have the authority to provide in the Award Agreement evidencing any Award providing for Section 409A Deferred Compensation for payment pursuant to Section 15.4(a)(vi)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rFonts w:ascii="Times New Roman;serif" w:hAnsi="Times New Roman;serif"/>
          <w:b/>
          <w:i/>
          <w:color w:val="000000"/>
          <w:sz w:val="22"/>
        </w:rPr>
        <w:t>Prohibition of Acceleration of Payments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Notwithstanding any provision of the Plan or an Award Agreement to the contrary, this Plan does not permit the acceleration of the time or schedule of any payment under an Award providing Section 409A Deferred Compensation, except as permitted by Section 409A. The Company reserves the right in its discretion to accelerate the time or schedule of any payment under an Award providing Section 409A Deferred Compensation to the maximum extent permitted by Section 409A.</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rFonts w:ascii="Times New Roman;serif" w:hAnsi="Times New Roman;serif"/>
          <w:b/>
          <w:i/>
          <w:color w:val="000000"/>
          <w:sz w:val="22"/>
        </w:rPr>
        <w:t>No Representation Regarding Section 409A Compliance</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Notwithstanding any other provision of the Plan, the Company makes no representation that Awards shall be exempt from or comply with Section 409A. No Participating Company shall be liable for any tax, penalty or interest imposed on a Participant by Section 409A.</w:t>
      </w:r>
    </w:p>
    <w:p>
      <w:pPr>
        <w:pStyle w:val="TextBody"/>
        <w:bidi w:val="0"/>
        <w:spacing w:lineRule="auto" w:line="240" w:before="0" w:after="240"/>
        <w:jc w:val="both"/>
        <w:rPr/>
      </w:pPr>
      <w:r>
        <w:rPr>
          <w:rFonts w:ascii="Times New Roman;serif" w:hAnsi="Times New Roman;serif"/>
          <w:b/>
          <w:color w:val="000000"/>
          <w:sz w:val="22"/>
        </w:rPr>
        <w:t>16.</w:t>
      </w:r>
      <w:r>
        <w:rPr>
          <w:rFonts w:ascii="Times New Roman;serif" w:hAnsi="Times New Roman;serif"/>
          <w:b/>
          <w:color w:val="000000"/>
          <w:sz w:val="22"/>
        </w:rPr>
        <w:t>TAX WITHHOLDING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16.1</w:t>
      </w:r>
      <w:r>
        <w:rPr>
          <w:rFonts w:ascii="Times New Roman;serif" w:hAnsi="Times New Roman;serif"/>
          <w:b/>
          <w:color w:val="000000"/>
          <w:sz w:val="22"/>
        </w:rPr>
        <w:t>Tax Withholding in General</w:t>
      </w:r>
      <w:r>
        <w:rPr>
          <w:rFonts w:ascii="Times New Roman;serif" w:hAnsi="Times New Roman;serif"/>
          <w:b w:val="false"/>
          <w:color w:val="000000"/>
          <w:sz w:val="22"/>
        </w:rPr>
        <w:t>.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pStyle w:val="TextBody"/>
        <w:bidi w:val="0"/>
        <w:spacing w:lineRule="auto" w:line="240" w:before="0" w:after="240"/>
        <w:ind w:left="0" w:right="0" w:firstLine="720"/>
        <w:jc w:val="both"/>
        <w:rPr/>
      </w:pPr>
      <w:r>
        <w:rPr>
          <w:rFonts w:ascii="Times New Roman;serif" w:hAnsi="Times New Roman;serif"/>
          <w:b w:val="false"/>
          <w:color w:val="000000"/>
          <w:sz w:val="22"/>
        </w:rPr>
        <w:t>16.2</w:t>
      </w:r>
      <w:r>
        <w:rPr>
          <w:rFonts w:ascii="Times New Roman;serif" w:hAnsi="Times New Roman;serif"/>
          <w:b/>
          <w:color w:val="000000"/>
          <w:sz w:val="22"/>
        </w:rPr>
        <w:t>Withholding in or Directed Sale of Shares</w:t>
      </w:r>
      <w:r>
        <w:rPr>
          <w:rFonts w:ascii="Times New Roman;serif" w:hAnsi="Times New Roman;serif"/>
          <w:b w:val="false"/>
          <w:color w:val="000000"/>
          <w:sz w:val="22"/>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any Participating Company. The Fair Market Value of any shares of Stock withheld or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7665"/>
                <wp:effectExtent l="0" t="0" r="0" b="0"/>
                <wp:wrapNone/>
                <wp:docPr id="41" name="Frame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tendered to satisfy any such tax withholding obligations shall be determined by the Company in accordance with the Company’s withholding procedures and after considering any accounting consequences or cost). The Company may require a Participant to direct a broker, upon the vesting, exercise or settlement of an Award, to sell a portion of the shares subject to the Award determined by the Company in its discretion to be sufficient to cover the tax withholding obligations of any Participating Company and to remit an amount equal to such tax withholding obligations to such Participating Company in cash.</w:t>
      </w:r>
    </w:p>
    <w:p>
      <w:pPr>
        <w:pStyle w:val="TextBody"/>
        <w:bidi w:val="0"/>
        <w:spacing w:lineRule="auto" w:line="240" w:before="0" w:after="240"/>
        <w:jc w:val="both"/>
        <w:rPr/>
      </w:pPr>
      <w:r>
        <w:rPr>
          <w:rFonts w:ascii="Times New Roman;serif" w:hAnsi="Times New Roman;serif"/>
          <w:b/>
          <w:color w:val="000000"/>
          <w:sz w:val="22"/>
        </w:rPr>
        <w:t>17.</w:t>
      </w:r>
      <w:r>
        <w:rPr>
          <w:rFonts w:ascii="Times New Roman;serif" w:hAnsi="Times New Roman;serif"/>
          <w:b/>
          <w:color w:val="000000"/>
          <w:sz w:val="22"/>
        </w:rPr>
        <w:t>AMENDMENT, SUSPENSION OR TERMINATION OF PLAN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Sections 4.2 and 4.3,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or any Award Agreement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pStyle w:val="TextBody"/>
        <w:bidi w:val="0"/>
        <w:spacing w:lineRule="auto" w:line="240" w:before="0" w:after="240"/>
        <w:jc w:val="both"/>
        <w:rPr/>
      </w:pPr>
      <w:r>
        <w:rPr>
          <w:rFonts w:ascii="Times New Roman;serif" w:hAnsi="Times New Roman;serif"/>
          <w:b/>
          <w:color w:val="000000"/>
          <w:sz w:val="22"/>
        </w:rPr>
        <w:t>18.</w:t>
      </w:r>
      <w:r>
        <w:rPr>
          <w:rFonts w:ascii="Times New Roman;serif" w:hAnsi="Times New Roman;serif"/>
          <w:b/>
          <w:color w:val="000000"/>
          <w:sz w:val="22"/>
        </w:rPr>
        <w:t>MISCELLANEOUS PROVISIONS</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w:t>
      </w:r>
      <w:r>
        <w:rPr>
          <w:rFonts w:ascii="Times New Roman;serif" w:hAnsi="Times New Roman;serif"/>
          <w:b/>
          <w:color w:val="000000"/>
          <w:sz w:val="22"/>
        </w:rPr>
        <w:t>Repurchase Rights</w:t>
      </w:r>
      <w:r>
        <w:rPr>
          <w:rFonts w:ascii="Times New Roman;serif" w:hAnsi="Times New Roman;serif"/>
          <w:b w:val="false"/>
          <w:i/>
          <w:color w:val="000000"/>
          <w:sz w:val="22"/>
        </w:rPr>
        <w:t>.</w:t>
      </w:r>
      <w:r>
        <w:rPr>
          <w:color w:val="000000"/>
        </w:rPr>
        <w:t xml:space="preserve"> </w:t>
      </w:r>
      <w:r>
        <w:rPr>
          <w:rFonts w:ascii="Times New Roman;serif" w:hAnsi="Times New Roman;serif"/>
          <w:b w:val="false"/>
          <w:color w:val="000000"/>
          <w:sz w:val="22"/>
        </w:rPr>
        <w:t>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pStyle w:val="TextBody"/>
        <w:bidi w:val="0"/>
        <w:spacing w:lineRule="auto" w:line="240" w:before="0" w:after="240"/>
        <w:ind w:left="0" w:right="0" w:firstLine="720"/>
        <w:jc w:val="both"/>
        <w:rPr/>
      </w:pPr>
      <w:r>
        <w:rPr>
          <w:rFonts w:ascii="Times New Roman;serif" w:hAnsi="Times New Roman;serif"/>
          <w:b w:val="false"/>
          <w:color w:val="000000"/>
          <w:sz w:val="22"/>
        </w:rPr>
        <w:t>18.2</w:t>
      </w:r>
      <w:r>
        <w:rPr>
          <w:rFonts w:ascii="Times New Roman;serif" w:hAnsi="Times New Roman;serif"/>
          <w:b/>
          <w:color w:val="000000"/>
          <w:sz w:val="22"/>
        </w:rPr>
        <w:t>Forfeiture Events</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 or any accounting restatement due to material noncompliance of the Company with any financial reporting requirements of securities laws as a result of which, and to the extent that, such reduction, cancellation, forfeiture, or recoupment is required by applicable securities laws. In addition, to the extent that claw-back or similar provisions applicable to Awards are required by applicable law, listing standards and/or policies adopted by the Company, Awards granted under the Plan shall be subject to such provisions.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If the Company is required to prepare an accounting restatement due to the material noncompliance of the Company, as a result of misconduct, with any financial reporting requirement under the securities laws, any Participant who knowingly or through gross negligence engaged in the misconduct, or who knowingly or through gross negligence failed to prevent the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7665"/>
                <wp:effectExtent l="0" t="0" r="0" b="0"/>
                <wp:wrapNone/>
                <wp:docPr id="42" name="Frame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misconduct, and any Participant who is one of the individuals subject to automatic forfeiture under Section 304 of the Sarbanes-Oxley Act of 2002 or other applicable law or listing requirements, shall reimburse the Company for (i) the amount of any payment in settlement of an Award received by such Participant during the twelve- (12-) month period following the first public issuance or filing with the United States Securities and Exchange Commission (whichever first occurred) of the financial document embodying such financial reporting requirement, and (ii) any profits realized by such Participant from the sale of securities of the Company during such twelve- (12-) month period. No recovery of compensation pursuant to the foregoing provisions will constitute an event giving rise to a Participant’s right to voluntarily terminate employment upon a “resignation for good reason” or for a “constructive termination” or any similar term under any plan or agreement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18.3</w:t>
      </w:r>
      <w:r>
        <w:rPr>
          <w:rFonts w:ascii="Times New Roman;serif" w:hAnsi="Times New Roman;serif"/>
          <w:b/>
          <w:color w:val="000000"/>
          <w:sz w:val="22"/>
        </w:rPr>
        <w:t>Provision of Information</w:t>
      </w:r>
      <w:r>
        <w:rPr>
          <w:rFonts w:ascii="Times New Roman;serif" w:hAnsi="Times New Roman;serif"/>
          <w:b w:val="false"/>
          <w:color w:val="000000"/>
          <w:sz w:val="22"/>
        </w:rPr>
        <w:t>. Each Participant shall be given access to information concerning the Company equivalent to that information generally made available to the Company’s common stockholders.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18.4</w:t>
      </w:r>
      <w:r>
        <w:rPr>
          <w:rFonts w:ascii="Times New Roman;serif" w:hAnsi="Times New Roman;serif"/>
          <w:b/>
          <w:color w:val="000000"/>
          <w:sz w:val="22"/>
        </w:rPr>
        <w:t>Electronic Delivery and Participation</w:t>
      </w:r>
      <w:r>
        <w:rPr>
          <w:rFonts w:ascii="Times New Roman;serif" w:hAnsi="Times New Roman;serif"/>
          <w:b w:val="false"/>
          <w:color w:val="000000"/>
          <w:sz w:val="22"/>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Stock (</w:t>
      </w:r>
      <w:r>
        <w:rPr>
          <w:rFonts w:ascii="Times New Roman;serif" w:hAnsi="Times New Roman;serif"/>
          <w:b w:val="false"/>
          <w:i/>
          <w:color w:val="000000"/>
          <w:sz w:val="22"/>
        </w:rPr>
        <w:t>e.g.</w:t>
      </w:r>
      <w:r>
        <w:rPr>
          <w:rFonts w:ascii="Times New Roman;serif" w:hAnsi="Times New Roman;serif"/>
          <w:b w:val="false"/>
          <w:color w:val="000000"/>
          <w:sz w:val="22"/>
        </w:rPr>
        <w:t>, a stock certificate or electronic entry evidencing such shares) shall be determined by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18.5</w:t>
      </w:r>
      <w:r>
        <w:rPr>
          <w:rFonts w:ascii="Times New Roman;serif" w:hAnsi="Times New Roman;serif"/>
          <w:b/>
          <w:color w:val="000000"/>
          <w:sz w:val="22"/>
        </w:rPr>
        <w:t>Change in Time Commitment</w:t>
      </w:r>
      <w:r>
        <w:rPr>
          <w:rFonts w:ascii="Times New Roman;serif" w:hAnsi="Times New Roman;serif"/>
          <w:b w:val="false"/>
          <w:color w:val="000000"/>
          <w:sz w:val="22"/>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amount of cash, or other property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lineRule="auto" w:line="240" w:before="0" w:after="240"/>
        <w:ind w:left="0" w:right="0" w:firstLine="720"/>
        <w:jc w:val="both"/>
        <w:rPr/>
      </w:pPr>
      <w:r>
        <w:rPr>
          <w:rFonts w:ascii="Times New Roman;serif" w:hAnsi="Times New Roman;serif"/>
          <w:b w:val="false"/>
          <w:color w:val="000000"/>
          <w:sz w:val="22"/>
        </w:rPr>
        <w:t>18.6</w:t>
      </w:r>
      <w:r>
        <w:rPr>
          <w:rFonts w:ascii="Times New Roman;serif" w:hAnsi="Times New Roman;serif"/>
          <w:b/>
          <w:color w:val="000000"/>
          <w:sz w:val="22"/>
        </w:rPr>
        <w:t>Rights as Employee, Consultant or Director</w:t>
      </w:r>
      <w:r>
        <w:rPr>
          <w:rFonts w:ascii="Times New Roman;serif" w:hAnsi="Times New Roman;serif"/>
          <w:b w:val="false"/>
          <w:color w:val="000000"/>
          <w:sz w:val="22"/>
        </w:rPr>
        <w:t>.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2"/>
        </w:rPr>
        <w:t>18.7</w:t>
      </w:r>
      <w:r>
        <w:rPr>
          <w:rFonts w:ascii="Times New Roman;serif" w:hAnsi="Times New Roman;serif"/>
          <w:b/>
          <w:color w:val="000000"/>
          <w:sz w:val="22"/>
        </w:rPr>
        <w:t>Rights as a Stockholder</w:t>
      </w:r>
      <w:r>
        <w:rPr>
          <w:rFonts w:ascii="Times New Roman;serif" w:hAnsi="Times New Roman;serif"/>
          <w:b w:val="false"/>
          <w:color w:val="000000"/>
          <w:sz w:val="22"/>
        </w:rPr>
        <w:t>.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 or another provision of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18.8</w:t>
      </w:r>
      <w:r>
        <w:rPr>
          <w:rFonts w:ascii="Times New Roman;serif" w:hAnsi="Times New Roman;serif"/>
          <w:b/>
          <w:color w:val="000000"/>
          <w:sz w:val="22"/>
        </w:rPr>
        <w:t>Delivery of Title to Shares</w:t>
      </w:r>
      <w:r>
        <w:rPr>
          <w:rFonts w:ascii="Times New Roman;serif" w:hAnsi="Times New Roman;serif"/>
          <w:b w:val="false"/>
          <w:color w:val="000000"/>
          <w:sz w:val="22"/>
        </w:rPr>
        <w:t xml:space="preserve">. Subject to any governing rules or regulations, the Company shall issue or cause to be issued the shares of Stock acquired pursuant to an Award and shall deliver such shares to or for the benefit of the Participant by means of one or more of the following: (a) by delivering to the Participant evidence of book entry shares of Stock credited to the account of the Participant, (b) by depositing such shares of Stock for the benefit of the Participant with any broker with which the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7665"/>
                <wp:effectExtent l="0" t="0" r="0" b="0"/>
                <wp:wrapNone/>
                <wp:docPr id="43" name="Frame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Participant has an account relationship, or (c) by delivering such shares of Stock to the Participant in certificate form.</w:t>
      </w:r>
    </w:p>
    <w:p>
      <w:pPr>
        <w:pStyle w:val="TextBody"/>
        <w:bidi w:val="0"/>
        <w:spacing w:lineRule="auto" w:line="240" w:before="0" w:after="240"/>
        <w:ind w:left="0" w:right="0" w:firstLine="720"/>
        <w:jc w:val="both"/>
        <w:rPr/>
      </w:pPr>
      <w:r>
        <w:rPr>
          <w:rFonts w:ascii="Times New Roman;serif" w:hAnsi="Times New Roman;serif"/>
          <w:b w:val="false"/>
          <w:color w:val="000000"/>
          <w:sz w:val="22"/>
        </w:rPr>
        <w:t>18.9</w:t>
      </w:r>
      <w:r>
        <w:rPr>
          <w:rFonts w:ascii="Times New Roman;serif" w:hAnsi="Times New Roman;serif"/>
          <w:b/>
          <w:color w:val="000000"/>
          <w:sz w:val="22"/>
        </w:rPr>
        <w:t>Fractional Shares</w:t>
      </w:r>
      <w:r>
        <w:rPr>
          <w:rFonts w:ascii="Times New Roman;serif" w:hAnsi="Times New Roman;serif"/>
          <w:b w:val="false"/>
          <w:color w:val="000000"/>
          <w:sz w:val="22"/>
        </w:rPr>
        <w:t>. The Company shall not be required to issue fractional shares upon the exercise or settlement of any Award.</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18.10</w:t>
      </w:r>
      <w:r>
        <w:rPr>
          <w:rFonts w:ascii="Times New Roman;serif" w:hAnsi="Times New Roman;serif"/>
          <w:b/>
          <w:color w:val="000000"/>
          <w:sz w:val="22"/>
        </w:rPr>
        <w:t>Provisions for Non-U</w:t>
      </w:r>
      <w:r>
        <w:rPr>
          <w:rFonts w:ascii="Times New Roman;serif" w:hAnsi="Times New Roman;serif"/>
          <w:b w:val="false"/>
          <w:color w:val="000000"/>
          <w:sz w:val="22"/>
        </w:rPr>
        <w:t>.</w:t>
      </w:r>
      <w:r>
        <w:rPr>
          <w:rFonts w:ascii="Times New Roman;serif" w:hAnsi="Times New Roman;serif"/>
          <w:b/>
          <w:color w:val="000000"/>
          <w:sz w:val="22"/>
        </w:rPr>
        <w:t>S</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Participants</w:t>
      </w:r>
      <w:r>
        <w:rPr>
          <w:rFonts w:ascii="Times New Roman;serif" w:hAnsi="Times New Roman;serif"/>
          <w:b w:val="false"/>
          <w:color w:val="000000"/>
          <w:sz w:val="22"/>
        </w:rPr>
        <w:t>. The Committee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18.11</w:t>
      </w:r>
      <w:r>
        <w:rPr>
          <w:rFonts w:ascii="Times New Roman;serif" w:hAnsi="Times New Roman;serif"/>
          <w:b/>
          <w:color w:val="000000"/>
          <w:sz w:val="22"/>
        </w:rPr>
        <w:t>Lock-Up Period</w:t>
      </w:r>
      <w:r>
        <w:rPr>
          <w:rFonts w:ascii="Times New Roman;serif" w:hAnsi="Times New Roman;serif"/>
          <w:b w:val="false"/>
          <w:color w:val="000000"/>
          <w:sz w:val="22"/>
        </w:rPr>
        <w:t>. The Company may, at the request of any underwriter representative or otherwise, in connection with registering the offering of any Company securities under the Securities Act, prohibit Participants from, directly or indirectly, selling or otherwise transferring any share of Stock or other Company securities during a period of up to 180 days following the effective date of a Company registration statement filed under the Securities Act, or such longer period as determined by the underwriter.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18.12</w:t>
      </w:r>
      <w:r>
        <w:rPr>
          <w:rFonts w:ascii="Times New Roman;serif" w:hAnsi="Times New Roman;serif"/>
          <w:b/>
          <w:color w:val="000000"/>
          <w:sz w:val="22"/>
        </w:rPr>
        <w:t>Data Privacy</w:t>
      </w:r>
      <w:r>
        <w:rPr>
          <w:rFonts w:ascii="Times New Roman;serif" w:hAnsi="Times New Roman;serif"/>
          <w:b w:val="false"/>
          <w:color w:val="000000"/>
          <w:sz w:val="22"/>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of Stock held in the Company or its Subsidiaries and affiliates; and Award details, to implement, manage and administer the Plan and Awards (the “</w:t>
      </w:r>
      <w:r>
        <w:rPr>
          <w:rFonts w:ascii="Times New Roman;serif" w:hAnsi="Times New Roman;serif"/>
          <w:b/>
          <w:i/>
          <w:color w:val="000000"/>
          <w:sz w:val="22"/>
        </w:rPr>
        <w:t>Data</w:t>
      </w:r>
      <w:r>
        <w:rPr>
          <w:color w:val="000000"/>
        </w:rPr>
        <w:t>”</w:t>
      </w:r>
      <w:r>
        <w:rPr>
          <w:rFonts w:ascii="Times New Roman;serif" w:hAnsi="Times New Roman;serif"/>
          <w:b w:val="false"/>
          <w:color w:val="000000"/>
          <w:sz w:val="22"/>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of Stock.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18.12 in writing, without cost, by contacting the local human resources representative. If the Participant refuses or withdraws the consents in this Section 18.12,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18.13</w:t>
      </w:r>
      <w:r>
        <w:rPr>
          <w:rFonts w:ascii="Times New Roman;serif" w:hAnsi="Times New Roman;serif"/>
          <w:b/>
          <w:color w:val="000000"/>
          <w:sz w:val="22"/>
        </w:rPr>
        <w:t>Retirement and Welfare Plans</w:t>
      </w:r>
      <w:r>
        <w:rPr>
          <w:rFonts w:ascii="Times New Roman;serif" w:hAnsi="Times New Roman;serif"/>
          <w:b w:val="false"/>
          <w:color w:val="000000"/>
          <w:sz w:val="22"/>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 In addition, unless a written employment agreement or other service agreement specifically references Awards, a general reference to “benefits” or a similar term in such agreement shall not be deemed to refer to Awards granted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18.14</w:t>
      </w:r>
      <w:r>
        <w:rPr>
          <w:rFonts w:ascii="Times New Roman;serif" w:hAnsi="Times New Roman;serif"/>
          <w:b/>
          <w:color w:val="000000"/>
          <w:sz w:val="22"/>
        </w:rPr>
        <w:t>Beneficiary Designation</w:t>
      </w:r>
      <w:r>
        <w:rPr>
          <w:rFonts w:ascii="Times New Roman;serif" w:hAnsi="Times New Roman;serif"/>
          <w:b w:val="false"/>
          <w:color w:val="000000"/>
          <w:sz w:val="22"/>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7665"/>
                <wp:effectExtent l="0" t="0" r="0" b="0"/>
                <wp:wrapNone/>
                <wp:docPr id="44" name="Frame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18.15</w:t>
      </w:r>
      <w:r>
        <w:rPr>
          <w:rFonts w:ascii="Times New Roman;serif" w:hAnsi="Times New Roman;serif"/>
          <w:b/>
          <w:color w:val="000000"/>
          <w:sz w:val="22"/>
        </w:rPr>
        <w:t>Severability</w:t>
      </w:r>
      <w:r>
        <w:rPr>
          <w:rFonts w:ascii="Times New Roman;serif" w:hAnsi="Times New Roman;serif"/>
          <w:b w:val="false"/>
          <w:color w:val="000000"/>
          <w:sz w:val="22"/>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18.16</w:t>
      </w:r>
      <w:r>
        <w:rPr>
          <w:rFonts w:ascii="Times New Roman;serif" w:hAnsi="Times New Roman;serif"/>
          <w:b/>
          <w:color w:val="000000"/>
          <w:sz w:val="22"/>
        </w:rPr>
        <w:t>No Constraint on Corporate Action</w:t>
      </w:r>
      <w:r>
        <w:rPr>
          <w:rFonts w:ascii="Times New Roman;serif" w:hAnsi="Times New Roman;serif"/>
          <w:b w:val="false"/>
          <w:color w:val="000000"/>
          <w:sz w:val="22"/>
        </w:rPr>
        <w:t>.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18.17</w:t>
      </w:r>
      <w:r>
        <w:rPr>
          <w:rFonts w:ascii="Times New Roman;serif" w:hAnsi="Times New Roman;serif"/>
          <w:b/>
          <w:color w:val="000000"/>
          <w:sz w:val="22"/>
        </w:rPr>
        <w:t>Unfunded Obligation</w:t>
      </w:r>
      <w:r>
        <w:rPr>
          <w:rFonts w:ascii="Times New Roman;serif" w:hAnsi="Times New Roman;serif"/>
          <w:b w:val="false"/>
          <w:color w:val="000000"/>
          <w:sz w:val="22"/>
        </w:rPr>
        <w:t>.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pStyle w:val="TextBody"/>
        <w:bidi w:val="0"/>
        <w:spacing w:lineRule="auto" w:line="240" w:before="0" w:after="240"/>
        <w:ind w:left="0" w:right="0" w:firstLine="720"/>
        <w:jc w:val="both"/>
        <w:rPr/>
      </w:pPr>
      <w:r>
        <w:rPr>
          <w:rFonts w:ascii="Times New Roman;serif" w:hAnsi="Times New Roman;serif"/>
          <w:b w:val="false"/>
          <w:color w:val="000000"/>
          <w:sz w:val="22"/>
        </w:rPr>
        <w:t>18.18</w:t>
      </w:r>
      <w:r>
        <w:rPr>
          <w:rFonts w:ascii="Times New Roman;serif" w:hAnsi="Times New Roman;serif"/>
          <w:b/>
          <w:color w:val="000000"/>
          <w:sz w:val="22"/>
        </w:rPr>
        <w:t>Choice of Law</w:t>
      </w:r>
      <w:r>
        <w:rPr>
          <w:rFonts w:ascii="Times New Roman;serif" w:hAnsi="Times New Roman;serif"/>
          <w:b w:val="false"/>
          <w:color w:val="000000"/>
          <w:sz w:val="22"/>
        </w:rPr>
        <w:t>. Except to the extent governed by applicable federal law, the validity, interpretation, construction and performance of the Plan and each Award Agreement shall be governed by the laws of the State of Delaware, without regard to its conflict of law rules.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7665"/>
                <wp:effectExtent l="0" t="0" r="0" b="0"/>
                <wp:wrapNone/>
                <wp:docPr id="45" name="Frame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this Registration Statement on Form S-8 of QT Imaging Holdings, Inc. of our report dated March 24, 2026 relating to the consolidated financial statements, which appears in QT Imaging Holdings, Inc.'s Annual Report on Form 10-K for the year ended December 31,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BPM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Irvine, California</w:t>
        <w:br/>
        <w:t>August 3, 2026</w:t>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505/000119312524063762/d767871dex31.htm" TargetMode="External"/><Relationship Id="rId3" Type="http://schemas.openxmlformats.org/officeDocument/2006/relationships/hyperlink" Target="https://www.sec.gov/Archives/edgar/data/1844505/000119312524063762/d767871dex32.htm" TargetMode="External"/><Relationship Id="rId4" Type="http://schemas.openxmlformats.org/officeDocument/2006/relationships/hyperlink" Target="https://www.sec.gov/Archives/edgar/data/1844505/000119312521276654/d33994dex4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25394</Words>
  <Characters>133027</Characters>
  <CharactersWithSpaces>158519</CharactersWithSpaces>
  <Paragraphs>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