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025d8k.htm"/>
      <w:bookmarkStart w:id="1" w:name="ksd12902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Hadron Energy,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3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001-42262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33-4336458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 Twin Dolphin Drive, Ste 260</w:t>
      </w:r>
    </w:p>
    <w:p>
      <w:pPr>
        <w:pStyle w:val="TextBody"/>
        <w:bidi w:val="0"/>
        <w:spacing w:before="0" w:after="0"/>
        <w:jc w:val="center"/>
        <w:rPr>
          <w:rFonts w:ascii="Times New Roman" w:hAnsi="Times New Roman"/>
          <w:b/>
          <w:sz w:val="20"/>
        </w:rPr>
      </w:pPr>
      <w:r>
        <w:rPr>
          <w:rFonts w:ascii="Times New Roman" w:hAnsi="Times New Roman"/>
          <w:b/>
          <w:sz w:val="20"/>
        </w:rPr>
        <w:t>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276-7040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6"/>
        <w:gridCol w:w="60"/>
        <w:gridCol w:w="950"/>
        <w:gridCol w:w="60"/>
        <w:gridCol w:w="2039"/>
      </w:tblGrid>
      <w:tr>
        <w:trPr/>
        <w:tc>
          <w:tcPr>
            <w:tcW w:w="7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70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0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7096"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r>
        <w:trPr/>
        <w:tc>
          <w:tcPr>
            <w:tcW w:w="7096" w:type="dxa"/>
            <w:tcBorders/>
            <w:vAlign w:val="center"/>
          </w:tcPr>
          <w:p>
            <w:pPr>
              <w:pStyle w:val="TableContents"/>
              <w:bidi w:val="0"/>
              <w:spacing w:before="0" w:after="283"/>
              <w:jc w:val="center"/>
              <w:rPr/>
            </w:pPr>
            <w:r>
              <w:rPr/>
              <w:t>Redeemable warrants, each full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August 4, 2026, Hadron Energy, Inc., a Delaware corporation (the “</w:t>
      </w:r>
      <w:r>
        <w:rPr>
          <w:rFonts w:ascii="Times New Roman" w:hAnsi="Times New Roman"/>
          <w:b/>
          <w:i/>
          <w:sz w:val="20"/>
        </w:rPr>
        <w:t>Company</w:t>
      </w:r>
      <w:r>
        <w:rPr>
          <w:rFonts w:ascii="Times New Roman" w:hAnsi="Times New Roman"/>
          <w:sz w:val="20"/>
        </w:rPr>
        <w:t xml:space="preserve">”) appointed Eric Williams, age 51, as the Executive Vice President of Engineering, effective upon the commencement of his employment with the Company on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Mr. Williams will join the Company from TerraPower, a nuclear reactor design and development engineering company, where he most recently served as Executive Vice President and Chief Operating Officer. Prior to serving as Executive Vice President and Chief Operating Officer, Mr. Williams served as Senior Vice President &amp; Design Authority from 2022 to 2025 and as Vice President of Engineering from 2020 to 2022, both roles at TerraPower. Mr. Williams brings three decades of advanced reactor engineering leadership, operational excellence, and first-of-a-kind reactor commercialization experience. </w:t>
      </w:r>
    </w:p>
    <w:p>
      <w:pPr>
        <w:pStyle w:val="TextBody"/>
        <w:bidi w:val="0"/>
        <w:spacing w:before="240" w:after="0"/>
        <w:jc w:val="left"/>
        <w:rPr>
          <w:rFonts w:ascii="Times New Roman" w:hAnsi="Times New Roman"/>
          <w:sz w:val="20"/>
        </w:rPr>
      </w:pPr>
      <w:r>
        <w:rPr>
          <w:rFonts w:ascii="Times New Roman" w:hAnsi="Times New Roman"/>
          <w:sz w:val="20"/>
        </w:rPr>
        <w:t>In connection with his appointment, the Compensation Committee (the “</w:t>
      </w:r>
      <w:r>
        <w:rPr>
          <w:rFonts w:ascii="Times New Roman" w:hAnsi="Times New Roman"/>
          <w:b/>
          <w:i/>
          <w:sz w:val="20"/>
        </w:rPr>
        <w:t>Compensation Committee</w:t>
      </w:r>
      <w:r>
        <w:rPr>
          <w:rFonts w:ascii="Times New Roman" w:hAnsi="Times New Roman"/>
          <w:sz w:val="20"/>
        </w:rPr>
        <w:t>”) of the Board of Directors (the “</w:t>
      </w:r>
      <w:r>
        <w:rPr>
          <w:rFonts w:ascii="Times New Roman" w:hAnsi="Times New Roman"/>
          <w:b/>
          <w:i/>
          <w:sz w:val="20"/>
        </w:rPr>
        <w:t>Board</w:t>
      </w:r>
      <w:r>
        <w:rPr>
          <w:rFonts w:ascii="Times New Roman" w:hAnsi="Times New Roman"/>
          <w:sz w:val="20"/>
        </w:rPr>
        <w:t>”) of the Company, approved a base salary and target bonus (together, the “</w:t>
      </w:r>
      <w:r>
        <w:rPr>
          <w:rFonts w:ascii="Times New Roman" w:hAnsi="Times New Roman"/>
          <w:b/>
          <w:i/>
          <w:sz w:val="20"/>
        </w:rPr>
        <w:t>Compensation</w:t>
      </w:r>
      <w:r>
        <w:rPr>
          <w:rFonts w:ascii="Times New Roman" w:hAnsi="Times New Roman"/>
          <w:sz w:val="20"/>
        </w:rPr>
        <w:t>”) for Mr. Williams. Mr. Williams shall have the opportunity to earn an annual bonus (“</w:t>
      </w:r>
      <w:r>
        <w:rPr>
          <w:rFonts w:ascii="Times New Roman" w:hAnsi="Times New Roman"/>
          <w:b/>
          <w:i/>
          <w:sz w:val="20"/>
        </w:rPr>
        <w:t>Annual Bonus</w:t>
      </w:r>
      <w:r>
        <w:rPr>
          <w:rFonts w:ascii="Times New Roman" w:hAnsi="Times New Roman"/>
          <w:sz w:val="20"/>
        </w:rPr>
        <w:t xml:space="preserve">”) under an executive incentive plan that is still to be established by the Board and which will be applicable to executives of the Company generally, with the actual amount of the Annual Bonus being determined by the Board or its designated committee, the Compensation Committee, based on the achievement of performance goals and target objectives to be established by the Board or the Compensation Committee, in its discretion, and for which the target of the Annual Bonus is set forth as a percentage of the annual base salary during the specific calendar year. Any Annual Bonus payable to Mr. Williams will be payable not later than two and one-half months following the close of the calendar year to which it pertains. The approved Compensation is as follows: </w:t>
      </w:r>
    </w:p>
    <w:p>
      <w:pPr>
        <w:pStyle w:val="TextBody"/>
        <w:bidi w:val="0"/>
        <w:spacing w:before="0" w:after="0"/>
        <w:jc w:val="left"/>
        <w:rPr/>
      </w:pPr>
      <w:r>
        <w:rPr/>
        <w:t> </w:t>
      </w:r>
    </w:p>
    <w:tbl>
      <w:tblPr>
        <w:tblW w:w="8460" w:type="dxa"/>
        <w:jc w:val="left"/>
        <w:tblInd w:w="0" w:type="dxa"/>
        <w:tblLayout w:type="fixed"/>
        <w:tblCellMar>
          <w:top w:w="0" w:type="dxa"/>
          <w:left w:w="0" w:type="dxa"/>
          <w:bottom w:w="0" w:type="dxa"/>
          <w:right w:w="0" w:type="dxa"/>
        </w:tblCellMar>
      </w:tblPr>
      <w:tblGrid>
        <w:gridCol w:w="4535"/>
        <w:gridCol w:w="60"/>
        <w:gridCol w:w="935"/>
        <w:gridCol w:w="60"/>
        <w:gridCol w:w="2870"/>
      </w:tblGrid>
      <w:tr>
        <w:trPr/>
        <w:tc>
          <w:tcPr>
            <w:tcW w:w="4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Base Salary:</w:t>
            </w:r>
          </w:p>
        </w:tc>
        <w:tc>
          <w:tcPr>
            <w:tcW w:w="6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 Bonus (percent of Base Salary):</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Williams, Executive Vice President of Engineering</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$400,000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40%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reflected above does not include any equity-based compensation awards that may be granted to such executive officer in the future under the Company’s 2026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Williams and any other person pursuant to which he was selected to this position. There are no transactions involving the Company and Mr. Williams that are required to be reported pursuant to Item 404(a) of Regulation S-K. Mr. Williams has no family relationships with any of the Board or executive officers of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99" w:type="dxa"/>
        <w:jc w:val="left"/>
        <w:tblInd w:w="0" w:type="dxa"/>
        <w:tblLayout w:type="fixed"/>
        <w:tblCellMar>
          <w:top w:w="0" w:type="dxa"/>
          <w:left w:w="0" w:type="dxa"/>
          <w:bottom w:w="0" w:type="dxa"/>
          <w:right w:w="0" w:type="dxa"/>
        </w:tblCellMar>
      </w:tblPr>
      <w:tblGrid>
        <w:gridCol w:w="724"/>
        <w:gridCol w:w="1145"/>
        <w:gridCol w:w="445"/>
        <w:gridCol w:w="60"/>
        <w:gridCol w:w="365"/>
        <w:gridCol w:w="60"/>
        <w:gridCol w:w="2300"/>
      </w:tblGrid>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Hadron Energy, Inc.</w:t>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pPr>
            <w:r>
              <w:rPr/>
              <w:t>Dated: August 10,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799</Words>
  <Characters>4392</Characters>
  <CharactersWithSpaces>5182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