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61030d424b3.htm"/>
      <w:bookmarkStart w:id="1" w:name="ksd61030d424b3"/>
      <w:bookmarkEnd w:id="0"/>
      <w:bookmarkEnd w:id="1"/>
      <w:r>
        <w:rPr>
          <w:rFonts w:ascii="Times New Roman" w:hAnsi="Times New Roman"/>
          <w:b/>
          <w:sz w:val="20"/>
        </w:rPr>
        <w:t xml:space="preserve">Filed Pursuant to Rule 424(b)(3)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333-296796 </w:t>
      </w:r>
    </w:p>
    <w:p>
      <w:pPr>
        <w:pStyle w:val="TextBody"/>
        <w:bidi w:val="0"/>
        <w:spacing w:before="240" w:after="0"/>
        <w:jc w:val="left"/>
        <w:rPr>
          <w:rFonts w:ascii="Times New Roman" w:hAnsi="Times New Roman"/>
          <w:b/>
          <w:sz w:val="20"/>
        </w:rPr>
      </w:pPr>
      <w:r>
        <w:rPr>
          <w:rFonts w:ascii="Times New Roman" w:hAnsi="Times New Roman"/>
          <w:b/>
          <w:sz w:val="20"/>
        </w:rPr>
        <w:t xml:space="preserve">Prospectus Supplement No. 1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June 15, 2026) </w:t>
      </w:r>
    </w:p>
    <w:p>
      <w:pPr>
        <w:pStyle w:val="TextBody"/>
        <w:bidi w:val="0"/>
        <w:spacing w:before="240" w:after="0"/>
        <w:jc w:val="center"/>
        <w:rPr>
          <w:rFonts w:ascii="Times New Roman" w:hAnsi="Times New Roman"/>
          <w:b/>
          <w:sz w:val="48"/>
        </w:rPr>
      </w:pPr>
      <w:r>
        <w:rPr>
          <w:rFonts w:ascii="Times New Roman" w:hAnsi="Times New Roman"/>
          <w:b/>
          <w:sz w:val="48"/>
        </w:rPr>
        <w:t xml:space="preserve">HADRON ENERGY, INC. </w:t>
      </w:r>
    </w:p>
    <w:p>
      <w:pPr>
        <w:pStyle w:val="TextBody"/>
        <w:bidi w:val="0"/>
        <w:spacing w:before="240" w:after="0"/>
        <w:jc w:val="center"/>
        <w:rPr>
          <w:rFonts w:ascii="Times New Roman" w:hAnsi="Times New Roman"/>
          <w:b/>
          <w:sz w:val="28"/>
        </w:rPr>
      </w:pPr>
      <w:r>
        <w:rPr>
          <w:rFonts w:ascii="Times New Roman" w:hAnsi="Times New Roman"/>
          <w:b/>
          <w:sz w:val="28"/>
        </w:rPr>
        <w:t xml:space="preserve">Up to 28,719,000 Shares of 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Up to 57,432,395 Shares of Common Stock by the Selling Securityholders </w:t>
      </w:r>
    </w:p>
    <w:p>
      <w:pPr>
        <w:pStyle w:val="TextBody"/>
        <w:bidi w:val="0"/>
        <w:spacing w:before="0" w:after="0"/>
        <w:jc w:val="center"/>
        <w:rPr>
          <w:rFonts w:ascii="Times New Roman" w:hAnsi="Times New Roman"/>
          <w:b/>
          <w:sz w:val="28"/>
        </w:rPr>
      </w:pPr>
      <w:r>
        <w:rPr>
          <w:rFonts w:ascii="Times New Roman" w:hAnsi="Times New Roman"/>
          <w:b/>
          <w:sz w:val="28"/>
        </w:rPr>
        <w:t xml:space="preserve">3,719,000 Warrants to Purchase Shares of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(this “Supplement No. 1”) updates and supplements the prospectus dated June 15, 2026 (the “Prospectus”), which forms a part of our Registration Statement on Form S-1 (Registration No. 333-296796). This prospectus supplement is being filed to update and supplement the information in the Prospectus related to information contained in the following reports of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Current Report on Form 8-K as filed with the U.S. Securities and Exchange Commission (the “SEC”) on August 10, 2026, which is attached hereto.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Supplement No. 1 updates and supplements the information in the Prospectus and is not complete without, and may not be delivered or utilized except in combination with, the Prospectus, including any amendments or supplements thereto. This Supplement No. 1 should be read in conjunction with the Prospectus and if there is any inconsistency between the information in the Prospectus and this Supplement No. 1, you should rely on the information in this Supplement No. 1.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currently listed on the Nasdaq Stock Market (the “Nasdaq”) and trades under the symbol “HDRN.”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4"/>
        </w:rPr>
      </w:pPr>
      <w:r>
        <w:rPr>
          <w:rFonts w:ascii="Times New Roman" w:hAnsi="Times New Roman"/>
          <w:b/>
          <w:sz w:val="24"/>
        </w:rPr>
        <w:t xml:space="preserve">Investing in our securities involves a high degree of risk. You should carefully review the risks and uncertainties that are described under the heading “Risk Factors” beginning on page 15 of the Prospectus and in any applicable prospectus supplement.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 nor any state securities commission has approved or disapproved of the securities to be issued under the Prospectus or this Supplement No. 1 or determined if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supplement is August 10, 2026. </w:t>
      </w:r>
      <w:r>
        <w:br w:type="page"/>
      </w:r>
    </w:p>
    <w:p>
      <w:pPr>
        <w:pStyle w:val="HorizontalLine"/>
        <w:pBdr>
          <w:bottom w:val="double" w:sz="6" w:space="0" w:color="808080"/>
        </w:pBdr>
        <w:bidi w:val="0"/>
        <w:jc w:val="left"/>
        <w:rPr/>
      </w:pPr>
      <w:r>
        <w:rPr/>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8-K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4"/>
        </w:rPr>
      </w:pPr>
      <w:r>
        <w:rPr>
          <w:rFonts w:ascii="Times New Roman" w:hAnsi="Times New Roman"/>
          <w:b/>
          <w:sz w:val="24"/>
        </w:rPr>
        <w:t xml:space="preserve">Date of Report (Date of earliest event reported): August 4,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Hadron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2"/>
        <w:gridCol w:w="3266"/>
        <w:gridCol w:w="102"/>
        <w:gridCol w:w="3266"/>
      </w:tblGrid>
      <w:tr>
        <w:trPr/>
        <w:tc>
          <w:tcPr>
            <w:tcW w:w="34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001-42262</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33-4336458</w:t>
            </w:r>
          </w:p>
        </w:tc>
      </w:tr>
      <w:tr>
        <w:trPr/>
        <w:tc>
          <w:tcPr>
            <w:tcW w:w="3469"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(Commission</w:t>
              <w:br/>
              <w:t>File Number)</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3 Twin Dolphin Drive, Ste 260 </w:t>
      </w:r>
    </w:p>
    <w:p>
      <w:pPr>
        <w:pStyle w:val="TextBody"/>
        <w:bidi w:val="0"/>
        <w:spacing w:before="0" w:after="0"/>
        <w:jc w:val="center"/>
        <w:rPr>
          <w:rFonts w:ascii="Times New Roman" w:hAnsi="Times New Roman"/>
          <w:b/>
          <w:sz w:val="20"/>
        </w:rPr>
      </w:pPr>
      <w:r>
        <w:rPr>
          <w:rFonts w:ascii="Times New Roman" w:hAnsi="Times New Roman"/>
          <w:b/>
          <w:sz w:val="20"/>
        </w:rPr>
        <w:t xml:space="preserve">Redwood City, CA 94065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including zip code) </w:t>
      </w:r>
    </w:p>
    <w:p>
      <w:pPr>
        <w:pStyle w:val="TextBody"/>
        <w:bidi w:val="0"/>
        <w:spacing w:before="240" w:after="0"/>
        <w:jc w:val="center"/>
        <w:rPr>
          <w:rFonts w:ascii="Times New Roman" w:hAnsi="Times New Roman"/>
          <w:b/>
          <w:sz w:val="20"/>
        </w:rPr>
      </w:pPr>
      <w:r>
        <w:rPr>
          <w:rFonts w:ascii="Times New Roman" w:hAnsi="Times New Roman"/>
          <w:b/>
          <w:sz w:val="20"/>
        </w:rPr>
        <w:t xml:space="preserve">(650) 276-7040 </w:t>
      </w:r>
    </w:p>
    <w:p>
      <w:pPr>
        <w:pStyle w:val="TextBody"/>
        <w:bidi w:val="0"/>
        <w:spacing w:before="0" w:after="0"/>
        <w:jc w:val="center"/>
        <w:rPr>
          <w:rFonts w:ascii="Times New Roman" w:hAnsi="Times New Roman"/>
          <w:b/>
          <w:sz w:val="16"/>
        </w:rPr>
      </w:pPr>
      <w:r>
        <w:rPr>
          <w:rFonts w:ascii="Times New Roman" w:hAnsi="Times New Roman"/>
          <w:b/>
          <w:sz w:val="16"/>
        </w:rPr>
        <w:t xml:space="preserve">(Registrant’s telephone number, including area code)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(see General Instruction A.2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00"/>
        <w:gridCol w:w="3267"/>
        <w:gridCol w:w="100"/>
        <w:gridCol w:w="3267"/>
      </w:tblGrid>
      <w:tr>
        <w:trPr/>
        <w:tc>
          <w:tcPr>
            <w:tcW w:w="3471"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00" w:type="dxa"/>
            <w:tcBorders/>
            <w:vAlign w:val="bottom"/>
          </w:tcPr>
          <w:p>
            <w:pPr>
              <w:pStyle w:val="TableContents"/>
              <w:bidi w:val="0"/>
              <w:spacing w:before="0" w:after="283"/>
              <w:jc w:val="left"/>
              <w:rPr/>
            </w:pPr>
            <w:r>
              <w:rPr/>
              <w:t> </w:t>
            </w:r>
          </w:p>
        </w:tc>
        <w:tc>
          <w:tcPr>
            <w:tcW w:w="326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100" w:type="dxa"/>
            <w:tcBorders/>
            <w:vAlign w:val="bottom"/>
          </w:tcPr>
          <w:p>
            <w:pPr>
              <w:pStyle w:val="TableContents"/>
              <w:bidi w:val="0"/>
              <w:spacing w:before="0" w:after="283"/>
              <w:jc w:val="left"/>
              <w:rPr/>
            </w:pPr>
            <w:r>
              <w:rPr/>
              <w:t> </w:t>
            </w:r>
          </w:p>
        </w:tc>
        <w:tc>
          <w:tcPr>
            <w:tcW w:w="326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471" w:type="dxa"/>
            <w:tcBorders/>
          </w:tcPr>
          <w:p>
            <w:pPr>
              <w:pStyle w:val="TableContents"/>
              <w:bidi w:val="0"/>
              <w:spacing w:before="0" w:after="283"/>
              <w:jc w:val="center"/>
              <w:rPr/>
            </w:pPr>
            <w:r>
              <w:rPr/>
              <w:t>Common Stock, par value $0.0001 per share</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HDRN</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The Nasdaq Stock Market LLC</w:t>
            </w:r>
          </w:p>
        </w:tc>
      </w:tr>
      <w:tr>
        <w:trPr/>
        <w:tc>
          <w:tcPr>
            <w:tcW w:w="3471" w:type="dxa"/>
            <w:tcBorders/>
          </w:tcPr>
          <w:p>
            <w:pPr>
              <w:pStyle w:val="TableContents"/>
              <w:bidi w:val="0"/>
              <w:spacing w:before="0" w:after="283"/>
              <w:jc w:val="center"/>
              <w:rPr/>
            </w:pPr>
            <w:r>
              <w:rPr/>
              <w:t>Redeemable warrants, each full warrant exercisable for one share of Common Stock at an exercise price of $11.50 per share</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HDRNW</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24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1"/>
        <w:gridCol w:w="9084"/>
      </w:tblGrid>
      <w:tr>
        <w:trPr/>
        <w:tc>
          <w:tcPr>
            <w:tcW w:w="1121" w:type="dxa"/>
            <w:tcBorders/>
          </w:tcPr>
          <w:p>
            <w:pPr>
              <w:pStyle w:val="TableContents"/>
              <w:bidi w:val="0"/>
              <w:spacing w:before="0" w:after="283"/>
              <w:jc w:val="left"/>
              <w:rPr>
                <w:b/>
              </w:rPr>
            </w:pPr>
            <w:r>
              <w:rPr>
                <w:b/>
              </w:rPr>
              <w:t>Item 5.02</w:t>
            </w:r>
          </w:p>
        </w:tc>
        <w:tc>
          <w:tcPr>
            <w:tcW w:w="908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On August 4, 2026, Hadron Energy, Inc., a Delaware corporation (the “</w:t>
      </w:r>
      <w:r>
        <w:rPr>
          <w:rFonts w:ascii="Times New Roman" w:hAnsi="Times New Roman"/>
          <w:b/>
          <w:i/>
          <w:sz w:val="20"/>
        </w:rPr>
        <w:t>Company</w:t>
      </w:r>
      <w:r>
        <w:rPr>
          <w:rFonts w:ascii="Times New Roman" w:hAnsi="Times New Roman"/>
          <w:sz w:val="20"/>
        </w:rPr>
        <w:t xml:space="preserve">”) appointed Eric Williams, age 51, as the Executive Vice President of Engineering, effective upon the commencement of his employment with the Company on August 31, 2026. </w:t>
      </w:r>
    </w:p>
    <w:p>
      <w:pPr>
        <w:pStyle w:val="TextBody"/>
        <w:bidi w:val="0"/>
        <w:spacing w:before="240" w:after="0"/>
        <w:jc w:val="left"/>
        <w:rPr>
          <w:rFonts w:ascii="Times New Roman" w:hAnsi="Times New Roman"/>
          <w:sz w:val="20"/>
        </w:rPr>
      </w:pPr>
      <w:r>
        <w:rPr>
          <w:rFonts w:ascii="Times New Roman" w:hAnsi="Times New Roman"/>
          <w:sz w:val="20"/>
        </w:rPr>
        <w:t xml:space="preserve">Mr. Williams will join the Company from TerraPower, a nuclear reactor design and development engineering company, where he most recently served as Executive Vice President and Chief Operating Officer. Prior to serving as Executive Vice President and Chief Operating Officer, Mr. Williams served as Senior Vice President &amp; Design Authority from 2022 to 2025 and as Vice President of Engineering from 2020 to 2022, both roles at TerraPower. Mr. Williams brings three decades of advanced reactor engineering leadership, operational excellence, and first-of-a-kind reactor commercialization experience. </w:t>
      </w:r>
    </w:p>
    <w:p>
      <w:pPr>
        <w:pStyle w:val="TextBody"/>
        <w:bidi w:val="0"/>
        <w:spacing w:before="240" w:after="0"/>
        <w:jc w:val="left"/>
        <w:rPr>
          <w:rFonts w:ascii="Times New Roman" w:hAnsi="Times New Roman"/>
          <w:sz w:val="20"/>
        </w:rPr>
      </w:pPr>
      <w:r>
        <w:rPr>
          <w:rFonts w:ascii="Times New Roman" w:hAnsi="Times New Roman"/>
          <w:sz w:val="20"/>
        </w:rPr>
        <w:t>In connection with his appointment, the Compensation Committee (the “</w:t>
      </w:r>
      <w:r>
        <w:rPr>
          <w:rFonts w:ascii="Times New Roman" w:hAnsi="Times New Roman"/>
          <w:b/>
          <w:i/>
          <w:sz w:val="20"/>
        </w:rPr>
        <w:t>Compensation Committee</w:t>
      </w:r>
      <w:r>
        <w:rPr>
          <w:rFonts w:ascii="Times New Roman" w:hAnsi="Times New Roman"/>
          <w:sz w:val="20"/>
        </w:rPr>
        <w:t>”) of the Board of Directors (the “</w:t>
      </w:r>
      <w:r>
        <w:rPr>
          <w:rFonts w:ascii="Times New Roman" w:hAnsi="Times New Roman"/>
          <w:b/>
          <w:i/>
          <w:sz w:val="20"/>
        </w:rPr>
        <w:t>Board</w:t>
      </w:r>
      <w:r>
        <w:rPr>
          <w:rFonts w:ascii="Times New Roman" w:hAnsi="Times New Roman"/>
          <w:sz w:val="20"/>
        </w:rPr>
        <w:t>”) of the Company, approved a base salary and target bonus (together, the “</w:t>
      </w:r>
      <w:r>
        <w:rPr>
          <w:rFonts w:ascii="Times New Roman" w:hAnsi="Times New Roman"/>
          <w:b/>
          <w:i/>
          <w:sz w:val="20"/>
        </w:rPr>
        <w:t>Compensation</w:t>
      </w:r>
      <w:r>
        <w:rPr>
          <w:rFonts w:ascii="Times New Roman" w:hAnsi="Times New Roman"/>
          <w:sz w:val="20"/>
        </w:rPr>
        <w:t>”) for Mr. Williams. Mr. Williams shall have the opportunity to earn an annual bonus (“</w:t>
      </w:r>
      <w:r>
        <w:rPr>
          <w:rFonts w:ascii="Times New Roman" w:hAnsi="Times New Roman"/>
          <w:b/>
          <w:i/>
          <w:sz w:val="20"/>
        </w:rPr>
        <w:t>Annual Bonus</w:t>
      </w:r>
      <w:r>
        <w:rPr>
          <w:rFonts w:ascii="Times New Roman" w:hAnsi="Times New Roman"/>
          <w:sz w:val="20"/>
        </w:rPr>
        <w:t xml:space="preserve">”) under an executive incentive plan that is still to be established by the Board and which will be applicable to executives of the Company generally, with the actual amount of the Annual Bonus being determined by the Board or its designated committee, the Compensation Committee, based on the achievement of performance goals and target objectives to be established by the Board or the Compensation Committee, in its discretion, and for which the target of the Annual Bonus is set forth as a percentage of the annual base salary during the specific calendar year. Any Annual Bonus payable to Mr. Williams will be payable not later than two and one-half months following the close of the calendar year to which it pertains. The approved Compensation is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2"/>
        <w:gridCol w:w="3266"/>
        <w:gridCol w:w="102"/>
        <w:gridCol w:w="3266"/>
      </w:tblGrid>
      <w:tr>
        <w:trPr/>
        <w:tc>
          <w:tcPr>
            <w:tcW w:w="34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69" w:type="dxa"/>
            <w:tcBorders/>
            <w:vAlign w:val="bottom"/>
          </w:tcPr>
          <w:p>
            <w:pPr>
              <w:pStyle w:val="TableContents"/>
              <w:bidi w:val="0"/>
              <w:spacing w:before="0" w:after="283"/>
              <w:jc w:val="left"/>
              <w:rPr>
                <w:b/>
              </w:rPr>
            </w:pPr>
            <w:r>
              <w:rPr>
                <w:b/>
              </w:rPr>
              <w:t>Name:</w:t>
            </w:r>
          </w:p>
        </w:tc>
        <w:tc>
          <w:tcPr>
            <w:tcW w:w="102"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Base Salary:</w:t>
            </w:r>
          </w:p>
        </w:tc>
        <w:tc>
          <w:tcPr>
            <w:tcW w:w="102"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Target Bonus (percent of Base Salary):</w:t>
            </w:r>
          </w:p>
        </w:tc>
      </w:tr>
      <w:tr>
        <w:trPr/>
        <w:tc>
          <w:tcPr>
            <w:tcW w:w="3469" w:type="dxa"/>
            <w:tcBorders/>
          </w:tcPr>
          <w:p>
            <w:pPr>
              <w:pStyle w:val="TableContents"/>
              <w:bidi w:val="0"/>
              <w:spacing w:before="0" w:after="0"/>
              <w:jc w:val="left"/>
              <w:rPr>
                <w:rFonts w:ascii="Times New Roman" w:hAnsi="Times New Roman"/>
                <w:sz w:val="20"/>
              </w:rPr>
            </w:pPr>
            <w:r>
              <w:rPr>
                <w:rFonts w:ascii="Times New Roman" w:hAnsi="Times New Roman"/>
                <w:sz w:val="20"/>
              </w:rPr>
              <w:t>Eric Williams, Executive Vice President of Engineering</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$400,000</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0"/>
              <w:jc w:val="center"/>
              <w:rPr>
                <w:rFonts w:ascii="Times New Roman" w:hAnsi="Times New Roman"/>
                <w:sz w:val="20"/>
              </w:rPr>
            </w:pPr>
            <w:r>
              <w:rPr>
                <w:rFonts w:ascii="Times New Roman" w:hAnsi="Times New Roman"/>
                <w:sz w:val="20"/>
              </w:rPr>
              <w:t>40%</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Compensation reflected above does not include any equity-based compensation awards that may be granted to such executive officer in the future under the Company’s 2026 equity incentive plan. </w:t>
      </w:r>
    </w:p>
    <w:p>
      <w:pPr>
        <w:pStyle w:val="TextBody"/>
        <w:bidi w:val="0"/>
        <w:spacing w:before="240" w:after="0"/>
        <w:jc w:val="left"/>
        <w:rPr>
          <w:rFonts w:ascii="Times New Roman" w:hAnsi="Times New Roman"/>
          <w:sz w:val="20"/>
        </w:rPr>
      </w:pPr>
      <w:r>
        <w:rPr>
          <w:rFonts w:ascii="Times New Roman" w:hAnsi="Times New Roman"/>
          <w:sz w:val="20"/>
        </w:rPr>
        <w:t xml:space="preserve">There is no arrangement or understanding between Mr. Williams and any other person pursuant to which he was selected to this position. There are no transactions involving the Company and Mr. Williams that are required to be reported pursuant to Item 404(a) of Regulation S-K. Mr. Williams has no family relationships with any of the Board or executive officers of the Company.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977"/>
        <w:gridCol w:w="375"/>
        <w:gridCol w:w="455"/>
        <w:gridCol w:w="133"/>
        <w:gridCol w:w="498"/>
        <w:gridCol w:w="133"/>
        <w:gridCol w:w="4634"/>
      </w:tblGrid>
      <w:tr>
        <w:trPr/>
        <w:tc>
          <w:tcPr>
            <w:tcW w:w="3977"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4634" w:type="dxa"/>
            <w:tcBorders/>
            <w:vAlign w:val="center"/>
          </w:tcPr>
          <w:p>
            <w:pPr>
              <w:pStyle w:val="TableContents"/>
              <w:bidi w:val="0"/>
              <w:spacing w:before="0" w:after="283"/>
              <w:jc w:val="left"/>
              <w:rPr>
                <w:sz w:val="4"/>
                <w:szCs w:val="4"/>
              </w:rPr>
            </w:pPr>
            <w:r>
              <w:rPr>
                <w:sz w:val="4"/>
                <w:szCs w:val="4"/>
              </w:rPr>
            </w:r>
          </w:p>
        </w:tc>
      </w:tr>
      <w:tr>
        <w:trPr/>
        <w:tc>
          <w:tcPr>
            <w:tcW w:w="3977"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5265" w:type="dxa"/>
            <w:gridSpan w:val="3"/>
            <w:tcBorders/>
            <w:vAlign w:val="bottom"/>
          </w:tcPr>
          <w:p>
            <w:pPr>
              <w:pStyle w:val="TableContents"/>
              <w:bidi w:val="0"/>
              <w:spacing w:before="0" w:after="283"/>
              <w:jc w:val="left"/>
              <w:rPr>
                <w:b/>
              </w:rPr>
            </w:pPr>
            <w:r>
              <w:rPr>
                <w:b/>
              </w:rPr>
              <w:t>Hadron Energy, Inc.</w:t>
            </w:r>
          </w:p>
        </w:tc>
      </w:tr>
      <w:tr>
        <w:trPr>
          <w:trHeight w:val="240" w:hRule="atLeast"/>
        </w:trPr>
        <w:tc>
          <w:tcPr>
            <w:tcW w:w="4807" w:type="dxa"/>
            <w:gridSpan w:val="3"/>
            <w:tcBorders/>
            <w:vAlign w:val="center"/>
          </w:tcPr>
          <w:p>
            <w:pPr>
              <w:pStyle w:val="TableContents"/>
              <w:bidi w:val="0"/>
              <w:spacing w:before="0" w:after="283"/>
              <w:jc w:val="left"/>
              <w:rPr>
                <w:sz w:val="4"/>
                <w:szCs w:val="4"/>
              </w:rPr>
            </w:pPr>
            <w:r>
              <w:rPr>
                <w:sz w:val="4"/>
                <w:szCs w:val="4"/>
              </w:rPr>
            </w:r>
          </w:p>
        </w:tc>
        <w:tc>
          <w:tcPr>
            <w:tcW w:w="631" w:type="dxa"/>
            <w:gridSpan w:val="2"/>
            <w:tcBorders/>
            <w:vAlign w:val="center"/>
          </w:tcPr>
          <w:p>
            <w:pPr>
              <w:pStyle w:val="TableContents"/>
              <w:bidi w:val="0"/>
              <w:spacing w:before="0" w:after="283"/>
              <w:jc w:val="left"/>
              <w:rPr>
                <w:sz w:val="4"/>
                <w:szCs w:val="4"/>
              </w:rPr>
            </w:pPr>
            <w:r>
              <w:rPr>
                <w:sz w:val="4"/>
                <w:szCs w:val="4"/>
              </w:rPr>
            </w:r>
          </w:p>
        </w:tc>
        <w:tc>
          <w:tcPr>
            <w:tcW w:w="4767" w:type="dxa"/>
            <w:gridSpan w:val="2"/>
            <w:tcBorders/>
            <w:vAlign w:val="center"/>
          </w:tcPr>
          <w:p>
            <w:pPr>
              <w:pStyle w:val="TableContents"/>
              <w:bidi w:val="0"/>
              <w:spacing w:before="0" w:after="283"/>
              <w:jc w:val="left"/>
              <w:rPr>
                <w:sz w:val="4"/>
                <w:szCs w:val="4"/>
              </w:rPr>
            </w:pPr>
            <w:r>
              <w:rPr>
                <w:sz w:val="4"/>
                <w:szCs w:val="4"/>
              </w:rPr>
            </w:r>
          </w:p>
        </w:tc>
      </w:tr>
      <w:tr>
        <w:trPr/>
        <w:tc>
          <w:tcPr>
            <w:tcW w:w="4807" w:type="dxa"/>
            <w:gridSpan w:val="3"/>
            <w:tcBorders/>
          </w:tcPr>
          <w:p>
            <w:pPr>
              <w:pStyle w:val="TableContents"/>
              <w:bidi w:val="0"/>
              <w:spacing w:before="0" w:after="283"/>
              <w:jc w:val="left"/>
              <w:rPr/>
            </w:pPr>
            <w:r>
              <w:rPr/>
              <w:t>Dated: August 10, 2026</w:t>
            </w:r>
          </w:p>
        </w:tc>
        <w:tc>
          <w:tcPr>
            <w:tcW w:w="133" w:type="dxa"/>
            <w:tcBorders/>
            <w:vAlign w:val="bottom"/>
          </w:tcPr>
          <w:p>
            <w:pPr>
              <w:pStyle w:val="TableContents"/>
              <w:bidi w:val="0"/>
              <w:spacing w:before="0" w:after="283"/>
              <w:jc w:val="left"/>
              <w:rPr/>
            </w:pPr>
            <w:r>
              <w:rPr/>
              <w:t> </w:t>
            </w:r>
          </w:p>
        </w:tc>
        <w:tc>
          <w:tcPr>
            <w:tcW w:w="49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4634"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3977" w:type="dxa"/>
            <w:tcBorders/>
            <w:vAlign w:val="center"/>
          </w:tcPr>
          <w:p>
            <w:pPr>
              <w:pStyle w:val="TableContents"/>
              <w:bidi w:val="0"/>
              <w:spacing w:before="0" w:after="283"/>
              <w:jc w:val="left"/>
              <w:rPr>
                <w:sz w:val="4"/>
                <w:szCs w:val="4"/>
              </w:rPr>
            </w:pPr>
            <w:r>
              <w:rPr>
                <w:sz w:val="4"/>
                <w:szCs w:val="4"/>
              </w:rPr>
            </w:r>
          </w:p>
        </w:tc>
        <w:tc>
          <w:tcPr>
            <w:tcW w:w="830" w:type="dxa"/>
            <w:gridSpan w:val="2"/>
            <w:tcBorders/>
            <w:vAlign w:val="center"/>
          </w:tcPr>
          <w:p>
            <w:pPr>
              <w:pStyle w:val="TableContents"/>
              <w:bidi w:val="0"/>
              <w:spacing w:before="0" w:after="283"/>
              <w:jc w:val="left"/>
              <w:rPr>
                <w:sz w:val="4"/>
                <w:szCs w:val="4"/>
              </w:rPr>
            </w:pPr>
            <w:r>
              <w:rPr>
                <w:sz w:val="4"/>
                <w:szCs w:val="4"/>
              </w:rPr>
            </w:r>
          </w:p>
        </w:tc>
        <w:tc>
          <w:tcPr>
            <w:tcW w:w="631" w:type="dxa"/>
            <w:gridSpan w:val="2"/>
            <w:tcBorders/>
            <w:vAlign w:val="center"/>
          </w:tcPr>
          <w:p>
            <w:pPr>
              <w:pStyle w:val="TableContents"/>
              <w:bidi w:val="0"/>
              <w:spacing w:before="0" w:after="283"/>
              <w:jc w:val="left"/>
              <w:rPr>
                <w:sz w:val="4"/>
                <w:szCs w:val="4"/>
              </w:rPr>
            </w:pPr>
            <w:r>
              <w:rPr>
                <w:sz w:val="4"/>
                <w:szCs w:val="4"/>
              </w:rPr>
            </w:r>
          </w:p>
        </w:tc>
        <w:tc>
          <w:tcPr>
            <w:tcW w:w="4767" w:type="dxa"/>
            <w:gridSpan w:val="2"/>
            <w:tcBorders/>
            <w:vAlign w:val="center"/>
          </w:tcPr>
          <w:p>
            <w:pPr>
              <w:pStyle w:val="TableContents"/>
              <w:bidi w:val="0"/>
              <w:spacing w:before="0" w:after="283"/>
              <w:jc w:val="left"/>
              <w:rPr>
                <w:sz w:val="4"/>
                <w:szCs w:val="4"/>
              </w:rPr>
            </w:pPr>
            <w:r>
              <w:rPr>
                <w:sz w:val="4"/>
                <w:szCs w:val="4"/>
              </w:rPr>
            </w:r>
          </w:p>
        </w:tc>
      </w:tr>
      <w:tr>
        <w:trPr/>
        <w:tc>
          <w:tcPr>
            <w:tcW w:w="3977"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498" w:type="dxa"/>
            <w:tcBorders/>
          </w:tcPr>
          <w:p>
            <w:pPr>
              <w:pStyle w:val="TableContents"/>
              <w:bidi w:val="0"/>
              <w:spacing w:before="0" w:after="283"/>
              <w:jc w:val="left"/>
              <w:rPr/>
            </w:pPr>
            <w:r>
              <w:rPr/>
              <w:t>By:</w:t>
            </w:r>
          </w:p>
        </w:tc>
        <w:tc>
          <w:tcPr>
            <w:tcW w:w="133" w:type="dxa"/>
            <w:tcBorders/>
            <w:vAlign w:val="bottom"/>
          </w:tcPr>
          <w:p>
            <w:pPr>
              <w:pStyle w:val="TableContents"/>
              <w:bidi w:val="0"/>
              <w:spacing w:before="0" w:after="283"/>
              <w:jc w:val="left"/>
              <w:rPr/>
            </w:pPr>
            <w:r>
              <w:rPr/>
              <w:t> </w:t>
            </w:r>
          </w:p>
        </w:tc>
        <w:tc>
          <w:tcPr>
            <w:tcW w:w="4634"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Samuel Gibson</w:t>
            </w:r>
          </w:p>
        </w:tc>
      </w:tr>
      <w:tr>
        <w:trPr/>
        <w:tc>
          <w:tcPr>
            <w:tcW w:w="3977"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49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4634" w:type="dxa"/>
            <w:tcBorders/>
            <w:vAlign w:val="bottom"/>
          </w:tcPr>
          <w:p>
            <w:pPr>
              <w:pStyle w:val="TableContents"/>
              <w:bidi w:val="0"/>
              <w:spacing w:before="0" w:after="283"/>
              <w:jc w:val="left"/>
              <w:rPr/>
            </w:pPr>
            <w:r>
              <w:rPr/>
              <w:t>Chief Executive Officer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1119</Words>
  <Characters>6114</Characters>
  <CharactersWithSpaces>7258</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424B3</dc:title>
</cp:coreProperties>
</file>