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br/>
        <w:t>Commission file number 001-40839</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QT Imaging Holdings, Inc.</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 xml:space="preserve">(Exact Name of Registrant as Specified in its Charter)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tbl>
      <w:tblPr>
        <w:tblW w:w="3596" w:type="dxa"/>
        <w:jc w:val="left"/>
        <w:tblInd w:w="0" w:type="dxa"/>
        <w:tblLayout w:type="fixed"/>
        <w:tblCellMar>
          <w:top w:w="28" w:type="dxa"/>
          <w:left w:w="28" w:type="dxa"/>
          <w:bottom w:w="28" w:type="dxa"/>
          <w:right w:w="28" w:type="dxa"/>
        </w:tblCellMar>
      </w:tblPr>
      <w:tblGrid>
        <w:gridCol w:w="730"/>
        <w:gridCol w:w="645"/>
        <w:gridCol w:w="649"/>
        <w:gridCol w:w="109"/>
        <w:gridCol w:w="109"/>
        <w:gridCol w:w="109"/>
        <w:gridCol w:w="364"/>
        <w:gridCol w:w="364"/>
        <w:gridCol w:w="517"/>
      </w:tblGrid>
      <w:tr>
        <w:trPr/>
        <w:tc>
          <w:tcPr>
            <w:tcW w:w="73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86-1728920</w:t>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Dr. Raluca Dinu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Chief Executive Officer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3 Hamilton Landing, Suite 160,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Novato, CA 94949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Telephone: (415) 842-7250 </w:t>
      </w:r>
    </w:p>
    <w:p>
      <w:pPr>
        <w:pStyle w:val="TextBody"/>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 xml:space="preserve">(Address, Including Zip Code, and Telephone Number, Including Area Code, of Registrant’s Principal Executive Offices) </w:t>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93" w:type="dxa"/>
        <w:jc w:val="left"/>
        <w:tblInd w:w="0" w:type="dxa"/>
        <w:tblLayout w:type="fixed"/>
        <w:tblCellMar>
          <w:top w:w="28" w:type="dxa"/>
          <w:left w:w="28" w:type="dxa"/>
          <w:bottom w:w="28" w:type="dxa"/>
          <w:right w:w="28" w:type="dxa"/>
        </w:tblCellMar>
      </w:tblPr>
      <w:tblGrid>
        <w:gridCol w:w="1401"/>
        <w:gridCol w:w="1227"/>
        <w:gridCol w:w="1241"/>
        <w:gridCol w:w="539"/>
        <w:gridCol w:w="539"/>
        <w:gridCol w:w="541"/>
        <w:gridCol w:w="1085"/>
        <w:gridCol w:w="1085"/>
        <w:gridCol w:w="1535"/>
      </w:tblGrid>
      <w:tr>
        <w:trPr/>
        <w:tc>
          <w:tcPr>
            <w:tcW w:w="140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QTI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color w:val="000000"/>
          <w:sz w:val="20"/>
        </w:rPr>
        <w:t>o</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rFonts w:ascii="Wingdings;sans-serif" w:hAnsi="Wingdings;sans-serif"/>
          <w:b/>
          <w:color w:val="000000"/>
          <w:sz w:val="20"/>
        </w:rPr>
      </w:pPr>
      <w:r>
        <w:rPr>
          <w:rFonts w:ascii="Wingdings;sans-serif" w:hAnsi="Wingdings;sans-serif"/>
          <w:b/>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August 12, 2026, the registrant had 14,636,524 shares of common stock, $0.0001 par value per share, outstanding.</w:t>
      </w:r>
    </w:p>
    <w:p>
      <w:pPr>
        <w:pStyle w:val="TextBody"/>
        <w:bidi w:val="0"/>
        <w:spacing w:before="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QT IMAGING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35"/>
        <w:gridCol w:w="2335"/>
        <w:gridCol w:w="2241"/>
        <w:gridCol w:w="212"/>
        <w:gridCol w:w="701"/>
        <w:gridCol w:w="118"/>
        <w:gridCol w:w="109"/>
        <w:gridCol w:w="109"/>
        <w:gridCol w:w="109"/>
        <w:gridCol w:w="242"/>
        <w:gridCol w:w="800"/>
        <w:gridCol w:w="194"/>
      </w:tblGrid>
      <w:tr>
        <w:trPr/>
        <w:tc>
          <w:tcPr>
            <w:tcW w:w="30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29,419 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22,091 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30,630 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23,021 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payable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liability</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16,576 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(Notes 6 and 7)</w:t>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 shares authorized; no shares issued and outstanding</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500,000 shares authorized as of June 30, 2026 and December 31, 2025, respectively; 13,769 and 11,902 shares issued and outstanding as of June 30, 2026 and December 31, 2025, respectively</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59,468 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(53,024)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30,630 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23,021 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QT IMAGING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240"/>
        <w:jc w:val="left"/>
        <w:rPr/>
      </w:pPr>
      <w:r>
        <w:rPr/>
      </w:r>
    </w:p>
    <w:tbl>
      <w:tblPr>
        <w:tblW w:w="8763" w:type="dxa"/>
        <w:jc w:val="left"/>
        <w:tblInd w:w="0" w:type="dxa"/>
        <w:tblLayout w:type="fixed"/>
        <w:tblCellMar>
          <w:top w:w="28" w:type="dxa"/>
          <w:left w:w="28" w:type="dxa"/>
          <w:bottom w:w="28" w:type="dxa"/>
          <w:right w:w="28" w:type="dxa"/>
        </w:tblCellMar>
      </w:tblPr>
      <w:tblGrid>
        <w:gridCol w:w="1291"/>
        <w:gridCol w:w="1134"/>
        <w:gridCol w:w="1145"/>
        <w:gridCol w:w="209"/>
        <w:gridCol w:w="770"/>
        <w:gridCol w:w="116"/>
        <w:gridCol w:w="116"/>
        <w:gridCol w:w="116"/>
        <w:gridCol w:w="116"/>
        <w:gridCol w:w="209"/>
        <w:gridCol w:w="674"/>
        <w:gridCol w:w="116"/>
        <w:gridCol w:w="109"/>
        <w:gridCol w:w="109"/>
        <w:gridCol w:w="109"/>
        <w:gridCol w:w="196"/>
        <w:gridCol w:w="721"/>
        <w:gridCol w:w="109"/>
        <w:gridCol w:w="109"/>
        <w:gridCol w:w="109"/>
        <w:gridCol w:w="109"/>
        <w:gridCol w:w="196"/>
        <w:gridCol w:w="721"/>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Gross profit</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Research and development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Selling, general and administrative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Total operating expenses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Loss from operations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expense, net:</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Interest expense, net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(expense) income, net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Change in fair value of warrant liability</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Change in fair value of derivative liability</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Change in fair value of earnout liability</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Loss on issuance of debt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Loss on debt extinguishment and modification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non-operating expense, net</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(9,204)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 expense</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and comprehensive loss</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Net loss per share - basic and diluted </w:t>
            </w:r>
            <w:r>
              <w:rPr>
                <w:rFonts w:ascii="Times New Roman;serif" w:hAnsi="Times New Roman;serif"/>
                <w:b w:val="false"/>
                <w:color w:val="000000"/>
                <w:sz w:val="12"/>
              </w:rPr>
              <w:t>(1)</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Weighted-average shares outstanding </w:t>
            </w:r>
            <w:r>
              <w:rPr>
                <w:rFonts w:ascii="Times New Roman;serif" w:hAnsi="Times New Roman;serif"/>
                <w:b w:val="false"/>
                <w:color w:val="000000"/>
                <w:sz w:val="12"/>
              </w:rPr>
              <w:t>(1)</w:t>
            </w:r>
          </w:p>
        </w:tc>
        <w:tc>
          <w:tcPr>
            <w:tcW w:w="109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9,312</w:t>
            </w:r>
          </w:p>
        </w:tc>
      </w:tr>
    </w:tbl>
    <w:p>
      <w:pPr>
        <w:pStyle w:val="TextBody"/>
        <w:bidi w:val="0"/>
        <w:spacing w:lineRule="auto" w:line="288" w:before="0" w:after="180"/>
        <w:ind w:left="0" w:right="0" w:hanging="270"/>
        <w:jc w:val="left"/>
        <w:rPr>
          <w:rFonts w:ascii="Times New Roman;serif" w:hAnsi="Times New Roman;serif"/>
          <w:b w:val="false"/>
          <w:i/>
          <w:color w:val="000000"/>
          <w:sz w:val="18"/>
        </w:rPr>
      </w:pPr>
      <w:r>
        <w:rPr>
          <w:rFonts w:ascii="Times New Roman;serif" w:hAnsi="Times New Roman;serif"/>
          <w:b w:val="false"/>
          <w:i/>
          <w:color w:val="000000"/>
          <w:sz w:val="18"/>
        </w:rPr>
        <w:t>(1)Share and per share amounts for the three and six months ended June 30, 2025 differ from those published in prior unaudited condensed consolidated financial statements as they were retrospectively adjusted as a result of the Reverse Stock Split (refer to Note 1 - The Company and Summary of Significant Accounting Policies). Specifically, the number of common shares outstanding during the periods before the Reverse Stock Split are divided by the exchange ratio of 3:1, such that each three shares of common stock were combined and reconstituted into one share of common stock effective October 23, 2025.</w:t>
      </w:r>
    </w:p>
    <w:p>
      <w:pPr>
        <w:pStyle w:val="TextBody"/>
        <w:bidi w:val="0"/>
        <w:spacing w:before="0" w:after="18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QT IMAGING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p>
      <w:pPr>
        <w:pStyle w:val="TextBody"/>
        <w:bidi w:val="0"/>
        <w:spacing w:before="0" w:after="18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715"/>
        <w:gridCol w:w="1365"/>
        <w:gridCol w:w="1375"/>
        <w:gridCol w:w="210"/>
        <w:gridCol w:w="210"/>
        <w:gridCol w:w="211"/>
        <w:gridCol w:w="114"/>
        <w:gridCol w:w="114"/>
        <w:gridCol w:w="114"/>
        <w:gridCol w:w="291"/>
        <w:gridCol w:w="357"/>
        <w:gridCol w:w="163"/>
        <w:gridCol w:w="109"/>
        <w:gridCol w:w="109"/>
        <w:gridCol w:w="109"/>
        <w:gridCol w:w="196"/>
        <w:gridCol w:w="646"/>
        <w:gridCol w:w="109"/>
        <w:gridCol w:w="109"/>
        <w:gridCol w:w="109"/>
        <w:gridCol w:w="109"/>
        <w:gridCol w:w="228"/>
        <w:gridCol w:w="770"/>
        <w:gridCol w:w="128"/>
        <w:gridCol w:w="109"/>
        <w:gridCol w:w="109"/>
        <w:gridCol w:w="109"/>
        <w:gridCol w:w="196"/>
        <w:gridCol w:w="556"/>
        <w:gridCol w:w="156"/>
      </w:tblGrid>
      <w:tr>
        <w:trPr/>
        <w:tc>
          <w:tcPr>
            <w:tcW w:w="171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April 1, 2026</w:t>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(56,430)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of common stock related to underwritten public offering, net of issuance costs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warrants related to underwritten public offering, net of issuance costs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pre-funded warrants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activity, net of shares withheld for taxes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(67,500)</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80"/>
        <w:gridCol w:w="1428"/>
        <w:gridCol w:w="1440"/>
        <w:gridCol w:w="195"/>
        <w:gridCol w:w="195"/>
        <w:gridCol w:w="196"/>
        <w:gridCol w:w="109"/>
        <w:gridCol w:w="109"/>
        <w:gridCol w:w="109"/>
        <w:gridCol w:w="248"/>
        <w:gridCol w:w="305"/>
        <w:gridCol w:w="138"/>
        <w:gridCol w:w="109"/>
        <w:gridCol w:w="109"/>
        <w:gridCol w:w="109"/>
        <w:gridCol w:w="196"/>
        <w:gridCol w:w="646"/>
        <w:gridCol w:w="109"/>
        <w:gridCol w:w="109"/>
        <w:gridCol w:w="109"/>
        <w:gridCol w:w="109"/>
        <w:gridCol w:w="213"/>
        <w:gridCol w:w="720"/>
        <w:gridCol w:w="119"/>
        <w:gridCol w:w="109"/>
        <w:gridCol w:w="109"/>
        <w:gridCol w:w="109"/>
        <w:gridCol w:w="196"/>
        <w:gridCol w:w="714"/>
        <w:gridCol w:w="159"/>
      </w:tblGrid>
      <w:tr>
        <w:trPr/>
        <w:tc>
          <w:tcPr>
            <w:tcW w:w="168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April 1, 2025 </w:t>
            </w:r>
            <w:r>
              <w:rPr>
                <w:rFonts w:ascii="Times New Roman;serif" w:hAnsi="Times New Roman;serif"/>
                <w:b w:val="false"/>
                <w:color w:val="000000"/>
                <w:sz w:val="12"/>
              </w:rPr>
              <w:t>(1)</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Issuance of shares of common stock related to private placements </w:t>
            </w:r>
            <w:r>
              <w:rPr>
                <w:rFonts w:ascii="Times New Roman;serif" w:hAnsi="Times New Roman;serif"/>
                <w:b w:val="false"/>
                <w:color w:val="000000"/>
                <w:sz w:val="12"/>
              </w:rPr>
              <w:t>(1)</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warrants related to private placements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Reclassification of warrant liability upon warrant modification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8"/>
              </w:rPr>
              <w:t xml:space="preserve">Balance, June 30, 2025 </w:t>
            </w:r>
            <w:r>
              <w:rPr>
                <w:rFonts w:ascii="Times New Roman;serif" w:hAnsi="Times New Roman;serif"/>
                <w:b w:val="false"/>
                <w:color w:val="000000"/>
                <w:sz w:val="12"/>
              </w:rPr>
              <w:t>(1)</w:t>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(47,079)</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715"/>
        <w:gridCol w:w="1365"/>
        <w:gridCol w:w="1376"/>
        <w:gridCol w:w="210"/>
        <w:gridCol w:w="210"/>
        <w:gridCol w:w="211"/>
        <w:gridCol w:w="114"/>
        <w:gridCol w:w="114"/>
        <w:gridCol w:w="114"/>
        <w:gridCol w:w="291"/>
        <w:gridCol w:w="357"/>
        <w:gridCol w:w="163"/>
        <w:gridCol w:w="109"/>
        <w:gridCol w:w="109"/>
        <w:gridCol w:w="109"/>
        <w:gridCol w:w="196"/>
        <w:gridCol w:w="646"/>
        <w:gridCol w:w="109"/>
        <w:gridCol w:w="109"/>
        <w:gridCol w:w="109"/>
        <w:gridCol w:w="109"/>
        <w:gridCol w:w="228"/>
        <w:gridCol w:w="770"/>
        <w:gridCol w:w="128"/>
        <w:gridCol w:w="109"/>
        <w:gridCol w:w="109"/>
        <w:gridCol w:w="109"/>
        <w:gridCol w:w="196"/>
        <w:gridCol w:w="556"/>
        <w:gridCol w:w="155"/>
      </w:tblGrid>
      <w:tr>
        <w:trPr/>
        <w:tc>
          <w:tcPr>
            <w:tcW w:w="171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2026</w:t>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(53,024)</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shares of common stock related to private placements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shares of common stock related to underwritten public offering, net of issuance costs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warrants related to private placements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warrants related to underwritten public offering, net of issuance costs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pre-funded warrants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activity, net of shares withheld for taxes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(14,476)</w:t>
            </w:r>
          </w:p>
        </w:tc>
        <w:tc>
          <w:tcPr>
            <w:tcW w:w="12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(14,476)</w:t>
            </w:r>
          </w:p>
        </w:tc>
        <w:tc>
          <w:tcPr>
            <w:tcW w:w="155" w:type="dxa"/>
            <w:tcBorders/>
            <w:shd w:fill="BFE4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(67,500)</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QT IMAGING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p>
      <w:pPr>
        <w:pStyle w:val="TextBody"/>
        <w:bidi w:val="0"/>
        <w:spacing w:before="0" w:after="18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704"/>
        <w:gridCol w:w="1459"/>
        <w:gridCol w:w="1473"/>
        <w:gridCol w:w="195"/>
        <w:gridCol w:w="195"/>
        <w:gridCol w:w="196"/>
        <w:gridCol w:w="109"/>
        <w:gridCol w:w="109"/>
        <w:gridCol w:w="109"/>
        <w:gridCol w:w="248"/>
        <w:gridCol w:w="305"/>
        <w:gridCol w:w="138"/>
        <w:gridCol w:w="109"/>
        <w:gridCol w:w="109"/>
        <w:gridCol w:w="109"/>
        <w:gridCol w:w="196"/>
        <w:gridCol w:w="646"/>
        <w:gridCol w:w="109"/>
        <w:gridCol w:w="109"/>
        <w:gridCol w:w="109"/>
        <w:gridCol w:w="109"/>
        <w:gridCol w:w="213"/>
        <w:gridCol w:w="720"/>
        <w:gridCol w:w="119"/>
        <w:gridCol w:w="109"/>
        <w:gridCol w:w="109"/>
        <w:gridCol w:w="109"/>
        <w:gridCol w:w="196"/>
        <w:gridCol w:w="626"/>
        <w:gridCol w:w="159"/>
      </w:tblGrid>
      <w:tr>
        <w:trPr/>
        <w:tc>
          <w:tcPr>
            <w:tcW w:w="170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January 1, 2025 </w:t>
            </w:r>
            <w:r>
              <w:rPr>
                <w:rFonts w:ascii="Times New Roman;serif" w:hAnsi="Times New Roman;serif"/>
                <w:b w:val="false"/>
                <w:color w:val="000000"/>
                <w:sz w:val="12"/>
              </w:rPr>
              <w:t>(1)</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Conversion of long-term debt into shares of common stock </w:t>
            </w:r>
            <w:r>
              <w:rPr>
                <w:rFonts w:ascii="Times New Roman;serif" w:hAnsi="Times New Roman;serif"/>
                <w:b w:val="false"/>
                <w:color w:val="000000"/>
                <w:sz w:val="12"/>
              </w:rPr>
              <w:t>(1)</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Issuance of shares of common stock related to private placements </w:t>
            </w:r>
            <w:r>
              <w:rPr>
                <w:rFonts w:ascii="Times New Roman;serif" w:hAnsi="Times New Roman;serif"/>
                <w:b w:val="false"/>
                <w:color w:val="000000"/>
                <w:sz w:val="12"/>
              </w:rPr>
              <w:t>(1)</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warrants related to private placements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warrant liability upon warranty modification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8"/>
              </w:rPr>
              <w:t xml:space="preserve">Balance, June 30, 2025 </w:t>
            </w:r>
            <w:r>
              <w:rPr>
                <w:rFonts w:ascii="Times New Roman;serif" w:hAnsi="Times New Roman;serif"/>
                <w:b w:val="false"/>
                <w:color w:val="000000"/>
                <w:sz w:val="12"/>
              </w:rPr>
              <w:t>(1)</w:t>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(47,079)</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180"/>
        <w:ind w:left="0" w:right="0" w:hanging="270"/>
        <w:jc w:val="left"/>
        <w:rPr>
          <w:rFonts w:ascii="Times New Roman;serif" w:hAnsi="Times New Roman;serif"/>
          <w:b w:val="false"/>
          <w:i/>
          <w:color w:val="000000"/>
          <w:sz w:val="18"/>
        </w:rPr>
      </w:pPr>
      <w:r>
        <w:rPr>
          <w:rFonts w:ascii="Times New Roman;serif" w:hAnsi="Times New Roman;serif"/>
          <w:b w:val="false"/>
          <w:i/>
          <w:color w:val="000000"/>
          <w:sz w:val="18"/>
        </w:rPr>
        <w:t xml:space="preserve">(1)Amounts and share amounts as of June 30, 2025 and prior to that date differ from those published in prior unaudited condensed consolidated financial statements as they were retrospectively adjusted as a result of the Reverse Stock Split (refer to Note 1 - The Company and Summary of Significant Accounting Policies). Specifically, the number of common shares outstanding during the periods before the Reverse Stock Split are divided by the exchange ratio of 3:1, such that each three shares of common stock were combined and reconstituted into one share of common stock effective October 23, 2025. </w: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QT IMAGING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2895"/>
        <w:gridCol w:w="2330"/>
        <w:gridCol w:w="2349"/>
        <w:gridCol w:w="196"/>
        <w:gridCol w:w="700"/>
        <w:gridCol w:w="109"/>
        <w:gridCol w:w="109"/>
        <w:gridCol w:w="109"/>
        <w:gridCol w:w="109"/>
        <w:gridCol w:w="196"/>
        <w:gridCol w:w="700"/>
        <w:gridCol w:w="403"/>
      </w:tblGrid>
      <w:tr>
        <w:trPr/>
        <w:tc>
          <w:tcPr>
            <w:tcW w:w="289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(15,138)</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to reconcile net loss to net cash used in operating activities: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issuance of debt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 and modification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2,124 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liability</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liability</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earnout liability</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(3,584)</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(1,227)</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(4,979)</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common stock and warrants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 net of issuance costs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 exercises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(4,674)</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settlement of equity awards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stock issuance costs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757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5,876 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 and cash equivalents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 beginning balance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 ending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Reconciliation of cash and cash equivalents and restricted cash and cash equivalents to the condensed consolidated balance sheets: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cash and restricted cash and cash equivalents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noncash investing and financing activities: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inventory to property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Accrued interest capitalized upon debt extinguishment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 included in accrued expenses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Unpaid issuance costs included in accounts payable and accrued expenses and other current liabilities related to the sale of common stock and warrants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QT IMAGING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180"/>
        <w:jc w:val="center"/>
        <w:rPr/>
      </w:pPr>
      <w:r>
        <w:rPr/>
      </w:r>
    </w:p>
    <w:tbl>
      <w:tblPr>
        <w:tblW w:w="7393" w:type="dxa"/>
        <w:jc w:val="left"/>
        <w:tblInd w:w="0" w:type="dxa"/>
        <w:tblLayout w:type="fixed"/>
        <w:tblCellMar>
          <w:top w:w="28" w:type="dxa"/>
          <w:left w:w="28" w:type="dxa"/>
          <w:bottom w:w="28" w:type="dxa"/>
          <w:right w:w="28" w:type="dxa"/>
        </w:tblCellMar>
      </w:tblPr>
      <w:tblGrid>
        <w:gridCol w:w="1991"/>
        <w:gridCol w:w="1750"/>
        <w:gridCol w:w="1763"/>
        <w:gridCol w:w="203"/>
        <w:gridCol w:w="203"/>
        <w:gridCol w:w="109"/>
        <w:gridCol w:w="109"/>
        <w:gridCol w:w="109"/>
        <w:gridCol w:w="109"/>
        <w:gridCol w:w="322"/>
        <w:gridCol w:w="324"/>
        <w:gridCol w:w="401"/>
      </w:tblGrid>
      <w:tr>
        <w:trPr/>
        <w:tc>
          <w:tcPr>
            <w:tcW w:w="1991"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long-term debt into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accrued interest into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Deferred issuance costs included in accrued expenses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warrant liability upon warrant modification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22,986 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Fair value of warrants issued in exchange for issuance of long-term debt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QT IMAGING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1.The Company and Summary of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0" w:after="180"/>
        <w:jc w:val="left"/>
        <w:rPr/>
      </w:pPr>
      <w:r>
        <w:rPr>
          <w:rFonts w:ascii="Times New Roman;serif" w:hAnsi="Times New Roman;serif"/>
          <w:b w:val="false"/>
          <w:color w:val="000000"/>
          <w:sz w:val="20"/>
        </w:rPr>
        <w:t>QT Imaging Holdings, Inc. (“</w:t>
      </w:r>
      <w:r>
        <w:rPr>
          <w:rFonts w:ascii="Times New Roman;serif" w:hAnsi="Times New Roman;serif"/>
          <w:b/>
          <w:i/>
          <w:color w:val="000000"/>
          <w:sz w:val="20"/>
        </w:rPr>
        <w:t>we</w:t>
      </w:r>
      <w:r>
        <w:rPr>
          <w:rFonts w:ascii="Times New Roman;serif" w:hAnsi="Times New Roman;serif"/>
          <w:b w:val="false"/>
          <w:color w:val="000000"/>
          <w:sz w:val="20"/>
        </w:rPr>
        <w:t>,” “</w:t>
      </w:r>
      <w:r>
        <w:rPr>
          <w:rFonts w:ascii="Times New Roman;serif" w:hAnsi="Times New Roman;serif"/>
          <w:b/>
          <w:i/>
          <w:color w:val="000000"/>
          <w:sz w:val="20"/>
        </w:rPr>
        <w:t>our</w:t>
      </w:r>
      <w:r>
        <w:rPr>
          <w:rFonts w:ascii="Times New Roman;serif" w:hAnsi="Times New Roman;serif"/>
          <w:b w:val="false"/>
          <w:color w:val="000000"/>
          <w:sz w:val="20"/>
        </w:rPr>
        <w:t>,” “</w:t>
      </w:r>
      <w:r>
        <w:rPr>
          <w:rFonts w:ascii="Times New Roman;serif" w:hAnsi="Times New Roman;serif"/>
          <w:b/>
          <w:i/>
          <w:color w:val="000000"/>
          <w:sz w:val="20"/>
        </w:rPr>
        <w:t>us</w:t>
      </w:r>
      <w:r>
        <w:rPr>
          <w:rFonts w:ascii="Times New Roman;serif" w:hAnsi="Times New Roman;serif"/>
          <w:b w:val="false"/>
          <w:color w:val="000000"/>
          <w:sz w:val="20"/>
        </w:rPr>
        <w:t>,” “</w:t>
      </w:r>
      <w:r>
        <w:rPr>
          <w:rFonts w:ascii="Times New Roman;serif" w:hAnsi="Times New Roman;serif"/>
          <w:b/>
          <w:i/>
          <w:color w:val="000000"/>
          <w:sz w:val="20"/>
        </w:rPr>
        <w:t>QT Imaging,</w:t>
      </w:r>
      <w:r>
        <w:rPr>
          <w:color w:val="000000"/>
        </w:rPr>
        <w:t>” “</w:t>
      </w:r>
      <w:r>
        <w:rPr>
          <w:rFonts w:ascii="Times New Roman;serif" w:hAnsi="Times New Roman;serif"/>
          <w:b/>
          <w:i/>
          <w:color w:val="000000"/>
          <w:sz w:val="20"/>
        </w:rPr>
        <w:t>QT Imaging Holdings,</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is incorporated in Delaware with its headquarters in Novato, California. We are a medical device company engaged in research, development, and commercialization of innovative body imaging systems using low frequency sound waves. We strive to improve global health outcomes. Our strategy is predicated upon the fact that medical imaging is critical to the detection, diagnosis, and treatment of disease, and that it should be safe, affordable, accessible, and centered on the patient’s experience. Our initial product is a breast imaging system, the QT Imaging Breast Acoustic CT™ Scanner (the “</w:t>
      </w:r>
      <w:r>
        <w:rPr>
          <w:rFonts w:ascii="Times New Roman;serif" w:hAnsi="Times New Roman;serif"/>
          <w:b/>
          <w:i/>
          <w:color w:val="000000"/>
          <w:sz w:val="20"/>
        </w:rPr>
        <w:t>Breast Acoustic CT Scanner</w:t>
      </w:r>
      <w:r>
        <w:rPr>
          <w:color w:val="000000"/>
        </w:rPr>
        <w:t>”</w:t>
      </w:r>
      <w:r>
        <w:rPr>
          <w:rFonts w:ascii="Times New Roman;serif" w:hAnsi="Times New Roman;serif"/>
          <w:b w:val="false"/>
          <w:color w:val="000000"/>
          <w:sz w:val="20"/>
        </w:rPr>
        <w:t xml:space="preserve">). </w:t>
      </w:r>
    </w:p>
    <w:p>
      <w:pPr>
        <w:pStyle w:val="TextBody"/>
        <w:bidi w:val="0"/>
        <w:spacing w:lineRule="auto" w:line="288" w:before="0" w:after="180"/>
        <w:jc w:val="left"/>
        <w:rPr/>
      </w:pPr>
      <w:r>
        <w:rPr>
          <w:rFonts w:ascii="Times New Roman;serif" w:hAnsi="Times New Roman;serif"/>
          <w:b w:val="false"/>
          <w:color w:val="000000"/>
          <w:sz w:val="20"/>
        </w:rPr>
        <w:t>GigCapital5, Inc. (“</w:t>
      </w:r>
      <w:r>
        <w:rPr>
          <w:rFonts w:ascii="Times New Roman;serif" w:hAnsi="Times New Roman;serif"/>
          <w:b/>
          <w:i/>
          <w:color w:val="000000"/>
          <w:sz w:val="20"/>
        </w:rPr>
        <w:t>GigCapital5</w:t>
      </w:r>
      <w:r>
        <w:rPr>
          <w:color w:val="000000"/>
        </w:rPr>
        <w:t>”</w:t>
      </w:r>
      <w:r>
        <w:rPr>
          <w:rFonts w:ascii="Times New Roman;serif" w:hAnsi="Times New Roman;serif"/>
          <w:b w:val="false"/>
          <w:color w:val="000000"/>
          <w:sz w:val="20"/>
        </w:rPr>
        <w:t>), our predecessor, was incorporated in Delaware on December 8, 2022. GigCapital5 was formed for the purpose of effecting a merger, capital stock exchange, asset acquisition, stock purchase, reorganization, or similar business combination with one or more businesses. Our business combination (the “</w:t>
      </w:r>
      <w:r>
        <w:rPr>
          <w:rFonts w:ascii="Times New Roman;serif" w:hAnsi="Times New Roman;serif"/>
          <w:b/>
          <w:i/>
          <w:color w:val="000000"/>
          <w:sz w:val="20"/>
        </w:rPr>
        <w:t>Business Combination</w:t>
      </w:r>
      <w:r>
        <w:rPr>
          <w:color w:val="000000"/>
        </w:rPr>
        <w:t>”</w:t>
      </w:r>
      <w:r>
        <w:rPr>
          <w:rFonts w:ascii="Times New Roman;serif" w:hAnsi="Times New Roman;serif"/>
          <w:b w:val="false"/>
          <w:color w:val="000000"/>
          <w:sz w:val="20"/>
        </w:rPr>
        <w:t>) was consummated on March 4, 2024, and in connection with the Business Combination, GigCapital5 changed its corporate name to QT Imaging Holdings,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180"/>
        <w:jc w:val="left"/>
        <w:rPr/>
      </w:pPr>
      <w:r>
        <w:rPr>
          <w:rFonts w:ascii="Times New Roman;serif" w:hAnsi="Times New Roman;serif"/>
          <w:b w:val="false"/>
          <w:color w:val="000000"/>
          <w:sz w:val="20"/>
        </w:rPr>
        <w:t>Our unaudited condensed consolidated financial statements have been prepared in accordance with U.S. generally accepted accounting principles (“</w:t>
      </w:r>
      <w:r>
        <w:rPr>
          <w:rFonts w:ascii="Times New Roman;serif" w:hAnsi="Times New Roman;serif"/>
          <w:b/>
          <w:i/>
          <w:color w:val="000000"/>
          <w:sz w:val="20"/>
        </w:rPr>
        <w:t>U.S. GAAP</w:t>
      </w:r>
      <w:r>
        <w:rPr>
          <w:color w:val="000000"/>
        </w:rPr>
        <w:t>”</w:t>
      </w:r>
      <w:r>
        <w:rPr>
          <w:rFonts w:ascii="Times New Roman;serif" w:hAnsi="Times New Roman;serif"/>
          <w:b w:val="false"/>
          <w:color w:val="000000"/>
          <w:sz w:val="20"/>
        </w:rPr>
        <w:t>) and pursuant to the rules and regulations of the Securities and Exchange Commission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for interim financial information and the instructions to Form 10-Q and Rule 10-01 of Regulation S-X. The unaudited condensed consolidated financial statements, including the condensed notes thereto, are unaudited and exclude some of the disclosures required in audited financial statements. The unaudited condensed consolidated balance sheet as of December 31, 2025 has been derived from the audited consolidated financial statements as of that date, but does not include all of the information and footnotes required by U.S. GAAP for complete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contain all adjustments and eliminations, consisting only of normal recurring adjustments necessary for a fair presentation in conformity with U.S. GAAP. The results of operations for the three and six months ended June 30, 2026 are not necessarily indicative of the results that may be expected for the year ending December 31, 2026 or any future period. The accompanying unaudited condensed consolidated financial statements should be read in conjunction with the audited consolidated financial statements for the year ended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QT Imaging Holdings, Inc. and its consolidated subsidiaries, QT Imaging, Inc. and QT Ultrasounds Labs,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intercompany balances and transactions have been eliminated in consolidation.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180"/>
        <w:jc w:val="left"/>
        <w:rPr/>
      </w:pPr>
      <w:r>
        <w:rPr>
          <w:rFonts w:ascii="Times New Roman;serif" w:hAnsi="Times New Roman;serif"/>
          <w:b w:val="false"/>
          <w:color w:val="000000"/>
          <w:sz w:val="20"/>
        </w:rPr>
        <w:t>On August 19, 2025 our stockholders approved an amendment to our Second Amended and Restated Certificate of Incorporation to effect a reverse split of the outstanding shares of our common stock, par value $0.0001 per share, at a specific ratio within a range of 2:1 to 20:1, with the specific ratio to be fixed within this range by our Board of Directors in its sole discretion without further stockholder approval (the “</w:t>
      </w:r>
      <w:r>
        <w:rPr>
          <w:rFonts w:ascii="Times New Roman;serif" w:hAnsi="Times New Roman;serif"/>
          <w:b/>
          <w:i/>
          <w:color w:val="000000"/>
          <w:sz w:val="20"/>
        </w:rPr>
        <w:t>Reverse Stock Split</w:t>
      </w:r>
      <w:r>
        <w:rPr>
          <w:color w:val="000000"/>
        </w:rPr>
        <w:t>”</w:t>
      </w:r>
      <w:r>
        <w:rPr>
          <w:rFonts w:ascii="Times New Roman;serif" w:hAnsi="Times New Roman;serif"/>
          <w:b w:val="false"/>
          <w:color w:val="000000"/>
          <w:sz w:val="20"/>
        </w:rPr>
        <w:t>). Our Board of Directors fixed the Reverse Stock Split ratio at 3:1, such that each three shares of common stock were combined and reconstituted into one share of common stock effective October 23, 2025. In connection with the Reverse Stock Split, the CUSIP number of the common stock changed to 746962307. The common stock began trading on the OTCQB Venture Market on a reverse split-adjusted basis on October 24, 2025. Except as noted, all share, stock option, warrant, and per share amounts throughout these unaudited condensed consolidated financial statements have been retroactively adjusted to reflect this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Uplisting to Nasdaq</w:t>
      </w:r>
    </w:p>
    <w:p>
      <w:pPr>
        <w:pStyle w:val="TextBody"/>
        <w:bidi w:val="0"/>
        <w:spacing w:lineRule="auto" w:line="288" w:before="0" w:after="180"/>
        <w:jc w:val="left"/>
        <w:rPr/>
      </w:pPr>
      <w:r>
        <w:rPr>
          <w:rFonts w:ascii="Times New Roman;serif" w:hAnsi="Times New Roman;serif"/>
          <w:b w:val="false"/>
          <w:color w:val="000000"/>
          <w:sz w:val="20"/>
        </w:rPr>
        <w:t>Effective January 28, 2026, upon meeting all of the Nasdaq Stock Market LLC (“</w:t>
      </w:r>
      <w:r>
        <w:rPr>
          <w:rFonts w:ascii="Times New Roman;serif" w:hAnsi="Times New Roman;serif"/>
          <w:b/>
          <w:i/>
          <w:color w:val="000000"/>
          <w:sz w:val="20"/>
        </w:rPr>
        <w:t>Nasdaq</w:t>
      </w:r>
      <w:r>
        <w:rPr>
          <w:color w:val="000000"/>
        </w:rPr>
        <w:t>”</w:t>
      </w:r>
      <w:r>
        <w:rPr>
          <w:rFonts w:ascii="Times New Roman;serif" w:hAnsi="Times New Roman;serif"/>
          <w:b w:val="false"/>
          <w:color w:val="000000"/>
          <w:sz w:val="20"/>
        </w:rPr>
        <w:t>) listing requirements, our common stock was uplisted from the OTCQB Venture Market to the Nasdaq Capital Market and began trading under the ticker symbol “QTI.”</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$10.9 million. We have incurred net operating losses and negative cash flows from operations since our inception and had an accumulated deficit of $67.5 million as of June 30, 2026. During the six months ended June 30, 2026, we incurred a net loss of $14.5 million and had a net operating cash outflow of $8.5 million. We continue to incur losses, and our ability to achieve and sustain profitability will depend on the achievement of sufficient revenue to support our cost structure. We may never achieve profitability and, unless and until we do, we will need to continue to raise additional capital. </w:t>
      </w:r>
    </w:p>
    <w:p>
      <w:pPr>
        <w:pStyle w:val="TextBody"/>
        <w:bidi w:val="0"/>
        <w:spacing w:lineRule="auto" w:line="288" w:before="0" w:after="180"/>
        <w:jc w:val="left"/>
        <w:rPr/>
      </w:pPr>
      <w:r>
        <w:rPr>
          <w:rFonts w:ascii="Times New Roman;serif" w:hAnsi="Times New Roman;serif"/>
          <w:b w:val="false"/>
          <w:color w:val="000000"/>
          <w:sz w:val="20"/>
          <w:shd w:fill="FFFFFF" w:val="clear"/>
        </w:rPr>
        <w:t>On February 26, 2025, we entered into a credit agreement (the “</w:t>
      </w:r>
      <w:r>
        <w:rPr>
          <w:rFonts w:ascii="Times New Roman;serif" w:hAnsi="Times New Roman;serif"/>
          <w:b/>
          <w:i/>
          <w:color w:val="000000"/>
          <w:sz w:val="20"/>
          <w:shd w:fill="FFFFFF" w:val="clear"/>
        </w:rPr>
        <w:t>Lynrock Lake Credit Agreement</w:t>
      </w:r>
      <w:r>
        <w:rPr>
          <w:color w:val="000000"/>
          <w:shd w:fill="FFFFFF" w:val="clear"/>
        </w:rPr>
        <w:t>”</w:t>
      </w:r>
      <w:r>
        <w:rPr>
          <w:rFonts w:ascii="Times New Roman;serif" w:hAnsi="Times New Roman;serif"/>
          <w:b w:val="false"/>
          <w:color w:val="000000"/>
          <w:sz w:val="20"/>
          <w:shd w:fill="FFFFFF" w:val="clear"/>
        </w:rPr>
        <w:t>) that provided a senior secured term loan (the “</w:t>
      </w:r>
      <w:r>
        <w:rPr>
          <w:rFonts w:ascii="Times New Roman;serif" w:hAnsi="Times New Roman;serif"/>
          <w:b/>
          <w:i/>
          <w:color w:val="000000"/>
          <w:sz w:val="20"/>
          <w:shd w:fill="FFFFFF" w:val="clear"/>
        </w:rPr>
        <w:t>Lynrock Lake Term Loan</w:t>
      </w:r>
      <w:r>
        <w:rPr>
          <w:color w:val="000000"/>
          <w:shd w:fill="FFFFFF" w:val="clear"/>
        </w:rPr>
        <w:t>”</w:t>
      </w:r>
      <w:r>
        <w:rPr>
          <w:rFonts w:ascii="Times New Roman;serif" w:hAnsi="Times New Roman;serif"/>
          <w:b w:val="false"/>
          <w:color w:val="000000"/>
          <w:sz w:val="20"/>
          <w:shd w:fill="FFFFFF" w:val="clear"/>
        </w:rPr>
        <w:t>) with Lynrock Lake Master Fund LP (“</w:t>
      </w:r>
      <w:r>
        <w:rPr>
          <w:rFonts w:ascii="Times New Roman;serif" w:hAnsi="Times New Roman;serif"/>
          <w:b/>
          <w:i/>
          <w:color w:val="000000"/>
          <w:sz w:val="20"/>
          <w:shd w:fill="FFFFFF" w:val="clear"/>
        </w:rPr>
        <w:t>Lynrock Lake</w:t>
      </w:r>
      <w:r>
        <w:rPr>
          <w:color w:val="000000"/>
          <w:shd w:fill="FFFFFF" w:val="clear"/>
        </w:rPr>
        <w:t>”</w:t>
      </w:r>
      <w:r>
        <w:rPr>
          <w:rFonts w:ascii="Times New Roman;serif" w:hAnsi="Times New Roman;serif"/>
          <w:b w:val="false"/>
          <w:color w:val="000000"/>
          <w:sz w:val="20"/>
          <w:shd w:fill="FFFFFF" w:val="clear"/>
        </w:rPr>
        <w:t xml:space="preserve">) in the aggregate principal amount of $10.1 million. </w:t>
      </w:r>
      <w:r>
        <w:rPr>
          <w:rFonts w:ascii="Times New Roman;serif" w:hAnsi="Times New Roman;serif"/>
          <w:b w:val="false"/>
          <w:color w:val="000000"/>
          <w:sz w:val="20"/>
        </w:rPr>
        <w:t>On August 26, 2025, we and Lynrock Lake entered into the First Amendment to the Lynrock Lake Credit Agreement (the “</w:t>
      </w:r>
      <w:r>
        <w:rPr>
          <w:rFonts w:ascii="Times New Roman;serif" w:hAnsi="Times New Roman;serif"/>
          <w:b/>
          <w:i/>
          <w:color w:val="000000"/>
          <w:sz w:val="20"/>
        </w:rPr>
        <w:t>Lynrock Lake First Amended Credit Agreement</w:t>
      </w:r>
      <w:r>
        <w:rPr>
          <w:color w:val="000000"/>
        </w:rPr>
        <w:t>”</w:t>
      </w:r>
      <w:r>
        <w:rPr>
          <w:rFonts w:ascii="Times New Roman;serif" w:hAnsi="Times New Roman;serif"/>
          <w:b w:val="false"/>
          <w:color w:val="000000"/>
          <w:sz w:val="20"/>
        </w:rPr>
        <w:t>) to add an additional tranche of $5.0 million (“</w:t>
      </w:r>
      <w:r>
        <w:rPr>
          <w:rFonts w:ascii="Times New Roman;serif" w:hAnsi="Times New Roman;serif"/>
          <w:b/>
          <w:i/>
          <w:color w:val="000000"/>
          <w:sz w:val="20"/>
        </w:rPr>
        <w:t>Tranche B</w:t>
      </w:r>
      <w:r>
        <w:rPr>
          <w:color w:val="000000"/>
        </w:rPr>
        <w:t>”</w:t>
      </w:r>
      <w:r>
        <w:rPr>
          <w:rFonts w:ascii="Times New Roman;serif" w:hAnsi="Times New Roman;serif"/>
          <w:b w:val="false"/>
          <w:color w:val="000000"/>
          <w:sz w:val="20"/>
        </w:rPr>
        <w:t xml:space="preserve">) to the </w:t>
      </w:r>
      <w:r>
        <w:rPr>
          <w:rFonts w:ascii="Times New Roman;serif" w:hAnsi="Times New Roman;serif"/>
          <w:b w:val="false"/>
          <w:color w:val="000000"/>
          <w:sz w:val="20"/>
          <w:shd w:fill="FFFFFF" w:val="clear"/>
        </w:rPr>
        <w:t>Lynrock Lake Term Loan</w:t>
      </w:r>
      <w:r>
        <w:rPr>
          <w:color w:val="000000"/>
        </w:rPr>
        <w:t xml:space="preserve"> </w:t>
      </w:r>
      <w:r>
        <w:rPr>
          <w:rFonts w:ascii="Times New Roman;serif" w:hAnsi="Times New Roman;serif"/>
          <w:b w:val="false"/>
          <w:color w:val="000000"/>
          <w:sz w:val="20"/>
        </w:rPr>
        <w:t>and increase the aggregate principal amount of the Lynrock Lake Term Loan to $15.1 million. The proceeds of Tranche B were used to repurchase the Yorkville Warrant. On October 6, 2025, we repaid the $5.0 million under Tranche B of the Lynrock Lake Term Loan, plus accrued interest and the Tranche B Premium. On May 12, 2026, we and Lynrock Lake entered into the Second Amendment to the Lynrock Lake Credit Agreement (the “</w:t>
      </w:r>
      <w:r>
        <w:rPr>
          <w:rFonts w:ascii="Times New Roman;serif" w:hAnsi="Times New Roman;serif"/>
          <w:b/>
          <w:i/>
          <w:color w:val="000000"/>
          <w:sz w:val="20"/>
        </w:rPr>
        <w:t>Lynrock Lake Second Amended Credit Agreement</w:t>
      </w:r>
      <w:r>
        <w:rPr>
          <w:color w:val="000000"/>
        </w:rPr>
        <w:t>”</w:t>
      </w:r>
      <w:r>
        <w:rPr>
          <w:rFonts w:ascii="Times New Roman;serif" w:hAnsi="Times New Roman;serif"/>
          <w:b w:val="false"/>
          <w:color w:val="000000"/>
          <w:sz w:val="20"/>
        </w:rPr>
        <w:t xml:space="preserve">) to extend the maturity date of the Lynrock Lake Term Loan from March 31, 2027 to March 31, 2029, and to increase the interest rate from 10% to 12% per annum. </w:t>
      </w: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shd w:fill="FFFFFF" w:val="clear"/>
        </w:rPr>
        <w:t>Note 5 - Long-Term Debt</w:t>
      </w:r>
      <w:r>
        <w:rPr>
          <w:color w:val="000000"/>
          <w:shd w:fill="FFFFFF" w:val="clear"/>
        </w:rPr>
        <w:t xml:space="preserve"> </w:t>
      </w:r>
      <w:r>
        <w:rPr>
          <w:rFonts w:ascii="Times New Roman;serif" w:hAnsi="Times New Roman;serif"/>
          <w:b w:val="false"/>
          <w:color w:val="000000"/>
          <w:sz w:val="20"/>
          <w:shd w:fill="FFFFFF" w:val="clear"/>
        </w:rPr>
        <w:t>for more information.</w:t>
      </w:r>
    </w:p>
    <w:p>
      <w:pPr>
        <w:pStyle w:val="TextBody"/>
        <w:bidi w:val="0"/>
        <w:spacing w:lineRule="auto" w:line="288" w:before="0" w:after="180"/>
        <w:jc w:val="left"/>
        <w:rPr/>
      </w:pPr>
      <w:r>
        <w:rPr>
          <w:rFonts w:ascii="Times New Roman;serif" w:hAnsi="Times New Roman;serif"/>
          <w:b w:val="false"/>
          <w:color w:val="000000"/>
          <w:sz w:val="20"/>
        </w:rPr>
        <w:t>During the year ended December 31, 2025 and the six months ended June 30, 2026, we completed a series of Private Investment in Public Entity (“</w:t>
      </w:r>
      <w:r>
        <w:rPr>
          <w:rFonts w:ascii="Times New Roman;serif" w:hAnsi="Times New Roman;serif"/>
          <w:b/>
          <w:i/>
          <w:color w:val="000000"/>
          <w:sz w:val="20"/>
        </w:rPr>
        <w:t>PIPE</w:t>
      </w:r>
      <w:r>
        <w:rPr>
          <w:color w:val="000000"/>
        </w:rPr>
        <w:t>”</w:t>
      </w:r>
      <w:r>
        <w:rPr>
          <w:rFonts w:ascii="Times New Roman;serif" w:hAnsi="Times New Roman;serif"/>
          <w:b w:val="false"/>
          <w:color w:val="000000"/>
          <w:sz w:val="20"/>
        </w:rPr>
        <w:t xml:space="preserve">) transactions and an underwritten public offering, where we received cash in exchange for the issuance of shares of common stock plus warrants for the purchase of common stock. Refer to </w:t>
      </w:r>
      <w:r>
        <w:rPr>
          <w:rFonts w:ascii="Times New Roman;serif" w:hAnsi="Times New Roman;serif"/>
          <w:b w:val="false"/>
          <w:i/>
          <w:color w:val="000000"/>
          <w:sz w:val="20"/>
        </w:rPr>
        <w:t>Note 8 - Stockholders’ Equity</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April 24, 2025, we entered into a Securities Purchase Agreement (the “</w:t>
      </w:r>
      <w:r>
        <w:rPr>
          <w:rFonts w:ascii="Times New Roman;serif" w:hAnsi="Times New Roman;serif"/>
          <w:b/>
          <w:i/>
          <w:color w:val="000000"/>
          <w:sz w:val="20"/>
        </w:rPr>
        <w:t>First Securities Purchase Agreement</w:t>
      </w:r>
      <w:r>
        <w:rPr>
          <w:color w:val="000000"/>
        </w:rPr>
        <w:t>”</w:t>
      </w:r>
      <w:r>
        <w:rPr>
          <w:rFonts w:ascii="Times New Roman;serif" w:hAnsi="Times New Roman;serif"/>
          <w:b w:val="false"/>
          <w:color w:val="000000"/>
          <w:sz w:val="20"/>
        </w:rPr>
        <w:t>) in an amount of approximately $0.5 million from related persons. We used the net proceeds from the offering for working capital purposes.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May 12, 2025, we entered into a Securities Purchase Agreement (the “</w:t>
      </w:r>
      <w:r>
        <w:rPr>
          <w:rFonts w:ascii="Times New Roman;serif" w:hAnsi="Times New Roman;serif"/>
          <w:b/>
          <w:i/>
          <w:color w:val="000000"/>
          <w:sz w:val="20"/>
        </w:rPr>
        <w:t>Second Securities Purchase Agreement</w:t>
      </w:r>
      <w:r>
        <w:rPr>
          <w:color w:val="000000"/>
        </w:rPr>
        <w:t>”</w:t>
      </w:r>
      <w:r>
        <w:rPr>
          <w:rFonts w:ascii="Times New Roman;serif" w:hAnsi="Times New Roman;serif"/>
          <w:b w:val="false"/>
          <w:color w:val="000000"/>
          <w:sz w:val="20"/>
        </w:rPr>
        <w:t>) in an amount of approximately $0.2 million. We used the net proceeds from the offering for working capital purposes.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October 3, 2025, we entered into a Securities Purchase Agreement (the “</w:t>
      </w:r>
      <w:r>
        <w:rPr>
          <w:rFonts w:ascii="Times New Roman;serif" w:hAnsi="Times New Roman;serif"/>
          <w:b/>
          <w:i/>
          <w:color w:val="000000"/>
          <w:sz w:val="20"/>
        </w:rPr>
        <w:t>Third Securities Purchase Agreement</w:t>
      </w:r>
      <w:r>
        <w:rPr>
          <w:color w:val="000000"/>
        </w:rPr>
        <w:t>”</w:t>
      </w:r>
      <w:r>
        <w:rPr>
          <w:rFonts w:ascii="Times New Roman;serif" w:hAnsi="Times New Roman;serif"/>
          <w:b w:val="false"/>
          <w:color w:val="000000"/>
          <w:sz w:val="20"/>
        </w:rPr>
        <w:t>) in an amount of approximately $18.2 million, before deducting the offering expenses payable by us</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We used the net proceeds from the offering for working capital purposes and to repay Tranche B (as defined below) of the Lynrock Lake Term Loan.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January 22, 2026, we entered into a Securities Purchase Agreement (the “</w:t>
      </w:r>
      <w:r>
        <w:rPr>
          <w:rFonts w:ascii="Times New Roman;serif" w:hAnsi="Times New Roman;serif"/>
          <w:b/>
          <w:i/>
          <w:color w:val="000000"/>
          <w:sz w:val="20"/>
        </w:rPr>
        <w:t>Fourth Securities Purchase Agreement</w:t>
      </w:r>
      <w:r>
        <w:rPr>
          <w:color w:val="000000"/>
        </w:rPr>
        <w:t xml:space="preserve">” </w:t>
      </w:r>
      <w:r>
        <w:rPr>
          <w:rFonts w:ascii="Times New Roman;serif" w:hAnsi="Times New Roman;serif"/>
          <w:b w:val="false"/>
          <w:color w:val="000000"/>
          <w:sz w:val="20"/>
        </w:rPr>
        <w:t>and together with the First Securities Purchase Agreement, the Second Securities Purchase Agreement and the Third Securities Purchase Agreement, the “</w:t>
      </w:r>
      <w:r>
        <w:rPr>
          <w:rFonts w:ascii="Times New Roman;serif" w:hAnsi="Times New Roman;serif"/>
          <w:b/>
          <w:i/>
          <w:color w:val="000000"/>
          <w:sz w:val="20"/>
        </w:rPr>
        <w:t>PIPE Investments</w:t>
      </w:r>
      <w:r>
        <w:rPr>
          <w:color w:val="000000"/>
        </w:rPr>
        <w:t>”</w:t>
      </w:r>
      <w:r>
        <w:rPr>
          <w:rFonts w:ascii="Times New Roman;serif" w:hAnsi="Times New Roman;serif"/>
          <w:b w:val="false"/>
          <w:color w:val="000000"/>
          <w:sz w:val="20"/>
        </w:rPr>
        <w:t>) in an amount of approximately $0.2 million from a related party. We used the net proceeds from the offering for working capital purposes.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May 18, 2026, we completed an underwritten public offering (the “</w:t>
      </w:r>
      <w:r>
        <w:rPr>
          <w:rFonts w:ascii="Times New Roman;serif" w:hAnsi="Times New Roman;serif"/>
          <w:b/>
          <w:i/>
          <w:color w:val="000000"/>
          <w:sz w:val="20"/>
        </w:rPr>
        <w:t>May 2026 Public Offering</w:t>
      </w:r>
      <w:r>
        <w:rPr>
          <w:color w:val="000000"/>
        </w:rPr>
        <w:t>”</w:t>
      </w:r>
      <w:r>
        <w:rPr>
          <w:rFonts w:ascii="Times New Roman;serif" w:hAnsi="Times New Roman;serif"/>
          <w:b w:val="false"/>
          <w:color w:val="000000"/>
          <w:sz w:val="20"/>
        </w:rPr>
        <w:t>) of 1,200,000 shares of our common stock, par value $0.0001 per share, at $5.00 per share, and 800,000 pre-funded warrants (the “</w:t>
      </w:r>
      <w:r>
        <w:rPr>
          <w:rFonts w:ascii="Times New Roman;serif" w:hAnsi="Times New Roman;serif"/>
          <w:b/>
          <w:i/>
          <w:color w:val="000000"/>
          <w:sz w:val="20"/>
        </w:rPr>
        <w:t>May 2026 Pre-Funded Warrants</w:t>
      </w:r>
      <w:r>
        <w:rPr>
          <w:color w:val="000000"/>
        </w:rPr>
        <w:t>”</w:t>
      </w:r>
      <w:r>
        <w:rPr>
          <w:rFonts w:ascii="Times New Roman;serif" w:hAnsi="Times New Roman;serif"/>
          <w:b w:val="false"/>
          <w:color w:val="000000"/>
          <w:sz w:val="20"/>
        </w:rPr>
        <w:t>) at $4.9999 each, less underwriting discounts and commissions. Net proceeds from the May 2026 Public Offering were approximately $8.9 million, after deducting underwriting discounts and commissions and offering expenses payable by us. We used the net proceeds from the May 2026 Public Offering for working capital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pPr>
      <w:r>
        <w:rPr>
          <w:rFonts w:ascii="Times New Roman;serif" w:hAnsi="Times New Roman;serif"/>
          <w:b w:val="false"/>
          <w:color w:val="000000"/>
          <w:sz w:val="20"/>
        </w:rPr>
        <w:t>During the years ended December 31, 2025 and 2024 and the six months ended June 30, 2026, we entered into several distribution agreements which provided us with Minimum Order Quantities (“</w:t>
      </w:r>
      <w:r>
        <w:rPr>
          <w:rFonts w:ascii="Times New Roman;serif" w:hAnsi="Times New Roman;serif"/>
          <w:b/>
          <w:i/>
          <w:color w:val="000000"/>
          <w:sz w:val="20"/>
        </w:rPr>
        <w:t>MOQs</w:t>
      </w:r>
      <w:r>
        <w:rPr>
          <w:color w:val="000000"/>
        </w:rPr>
        <w:t>”</w:t>
      </w:r>
      <w:r>
        <w:rPr>
          <w:rFonts w:ascii="Times New Roman;serif" w:hAnsi="Times New Roman;serif"/>
          <w:b w:val="false"/>
          <w:color w:val="000000"/>
          <w:sz w:val="20"/>
        </w:rPr>
        <w:t>)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June 18, 2024, we entered into a Distribution Agreement between QT Imaging and NXC Imaging, Inc. (“</w:t>
      </w:r>
      <w:r>
        <w:rPr>
          <w:rFonts w:ascii="Times New Roman;serif" w:hAnsi="Times New Roman;serif"/>
          <w:b/>
          <w:i/>
          <w:color w:val="000000"/>
          <w:sz w:val="20"/>
        </w:rPr>
        <w:t>NXC</w:t>
      </w:r>
      <w:r>
        <w:rPr>
          <w:color w:val="000000"/>
        </w:rPr>
        <w:t>”</w:t>
      </w:r>
      <w:r>
        <w:rPr>
          <w:rFonts w:ascii="Times New Roman;serif" w:hAnsi="Times New Roman;serif"/>
          <w:b w:val="false"/>
          <w:color w:val="000000"/>
          <w:sz w:val="20"/>
        </w:rPr>
        <w:t>), as first amended on December 11, 2024 and further amended on March 28, 2025 (the “</w:t>
      </w:r>
      <w:r>
        <w:rPr>
          <w:rFonts w:ascii="Times New Roman;serif" w:hAnsi="Times New Roman;serif"/>
          <w:b/>
          <w:i/>
          <w:color w:val="000000"/>
          <w:sz w:val="20"/>
        </w:rPr>
        <w:t>Amended NXC Distribution Agreement</w:t>
      </w:r>
      <w:r>
        <w:rPr>
          <w:color w:val="000000"/>
        </w:rPr>
        <w:t>”</w:t>
      </w:r>
      <w:r>
        <w:rPr>
          <w:rFonts w:ascii="Times New Roman;serif" w:hAnsi="Times New Roman;serif"/>
          <w:b w:val="false"/>
          <w:color w:val="000000"/>
          <w:sz w:val="20"/>
        </w:rPr>
        <w:t xml:space="preserve">), which provides us with MOQs of 60 scanners in 2026, representing revenue of more than $28 million in 2026.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August 21, 2025, we entered into a Distribution Agreement, as amended on February 25, 2026 (the “</w:t>
      </w:r>
      <w:r>
        <w:rPr>
          <w:rFonts w:ascii="Times New Roman;serif" w:hAnsi="Times New Roman;serif"/>
          <w:b/>
          <w:i/>
          <w:color w:val="000000"/>
          <w:sz w:val="20"/>
        </w:rPr>
        <w:t>Gulf Medical Distribution Agreement</w:t>
      </w:r>
      <w:r>
        <w:rPr>
          <w:color w:val="000000"/>
        </w:rPr>
        <w:t>”</w:t>
      </w:r>
      <w:r>
        <w:rPr>
          <w:rFonts w:ascii="Times New Roman;serif" w:hAnsi="Times New Roman;serif"/>
          <w:b w:val="false"/>
          <w:color w:val="000000"/>
          <w:sz w:val="20"/>
        </w:rPr>
        <w:t>) with Gulf Medical Co. (“</w:t>
      </w:r>
      <w:r>
        <w:rPr>
          <w:rFonts w:ascii="Times New Roman;serif" w:hAnsi="Times New Roman;serif"/>
          <w:b/>
          <w:i/>
          <w:color w:val="000000"/>
          <w:sz w:val="20"/>
        </w:rPr>
        <w:t>GMC</w:t>
      </w:r>
      <w:r>
        <w:rPr>
          <w:color w:val="000000"/>
        </w:rPr>
        <w:t>”</w:t>
      </w:r>
      <w:r>
        <w:rPr>
          <w:rFonts w:ascii="Times New Roman;serif" w:hAnsi="Times New Roman;serif"/>
          <w:b w:val="false"/>
          <w:color w:val="000000"/>
          <w:sz w:val="20"/>
        </w:rPr>
        <w:t>), a corporation organized and existing under the laws of Saudi Arabia, for an initial term of three years. Under the terms of the Gulf Medical Distribution Agreement, we granted to GMC the exclusive right to market, advertise, and sell our Breast Acoustic CT Scanner and the QTI Cloud SaaS platform subscriptions in Saudi Arabia, with MOQs of 20 scanners in 2026, 32 scanners in 2027, and 40 scanners in 2028, for a total minimum of 92 scanners, representing revenue of more than $51 million in 2026 through 2028, upon regulatory approval from the Saudi Food and Drug Authority (“</w:t>
      </w:r>
      <w:r>
        <w:rPr>
          <w:rFonts w:ascii="Times New Roman;serif" w:hAnsi="Times New Roman;serif"/>
          <w:b/>
          <w:i/>
          <w:color w:val="000000"/>
          <w:sz w:val="20"/>
        </w:rPr>
        <w:t>SFDA</w:t>
      </w:r>
      <w:r>
        <w:rPr>
          <w:color w:val="000000"/>
        </w:rPr>
        <w:t>”</w:t>
      </w:r>
      <w:r>
        <w:rPr>
          <w:rFonts w:ascii="Times New Roman;serif" w:hAnsi="Times New Roman;serif"/>
          <w:b w:val="false"/>
          <w:color w:val="000000"/>
          <w:sz w:val="20"/>
        </w:rPr>
        <w:t>) in Saudi Arabia, which was received on June 2,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January 19, 2026, we entered into a Distribution Agreement (the “</w:t>
      </w:r>
      <w:r>
        <w:rPr>
          <w:rFonts w:ascii="Times New Roman;serif" w:hAnsi="Times New Roman;serif"/>
          <w:b/>
          <w:i/>
          <w:color w:val="000000"/>
          <w:sz w:val="20"/>
        </w:rPr>
        <w:t>Al Naghi Distribution Agreement</w:t>
      </w:r>
      <w:r>
        <w:rPr>
          <w:color w:val="000000"/>
        </w:rPr>
        <w:t>”</w:t>
      </w:r>
      <w:r>
        <w:rPr>
          <w:rFonts w:ascii="Times New Roman;serif" w:hAnsi="Times New Roman;serif"/>
          <w:b w:val="false"/>
          <w:color w:val="000000"/>
          <w:sz w:val="20"/>
        </w:rPr>
        <w:t>) with Al Naghi Medical Co. (“</w:t>
      </w:r>
      <w:r>
        <w:rPr>
          <w:rFonts w:ascii="Times New Roman;serif" w:hAnsi="Times New Roman;serif"/>
          <w:b/>
          <w:i/>
          <w:color w:val="000000"/>
          <w:sz w:val="20"/>
        </w:rPr>
        <w:t>Al Naghi</w:t>
      </w:r>
      <w:r>
        <w:rPr>
          <w:color w:val="000000"/>
        </w:rPr>
        <w:t>”</w:t>
      </w:r>
      <w:r>
        <w:rPr>
          <w:rFonts w:ascii="Times New Roman;serif" w:hAnsi="Times New Roman;serif"/>
          <w:b w:val="false"/>
          <w:color w:val="000000"/>
          <w:sz w:val="20"/>
        </w:rPr>
        <w:t>), a corporation organized and existing under the laws of the United Arab Emirates (the “</w:t>
      </w:r>
      <w:r>
        <w:rPr>
          <w:rFonts w:ascii="Times New Roman;serif" w:hAnsi="Times New Roman;serif"/>
          <w:b/>
          <w:i/>
          <w:color w:val="000000"/>
          <w:sz w:val="20"/>
        </w:rPr>
        <w:t>UAE</w:t>
      </w:r>
      <w:r>
        <w:rPr>
          <w:color w:val="000000"/>
        </w:rPr>
        <w:t>”</w:t>
      </w:r>
      <w:r>
        <w:rPr>
          <w:rFonts w:ascii="Times New Roman;serif" w:hAnsi="Times New Roman;serif"/>
          <w:b w:val="false"/>
          <w:color w:val="000000"/>
          <w:sz w:val="20"/>
        </w:rPr>
        <w:t>), for an initial term of three years. Under the terms of the Al Naghi Distribution Agreement, we granted to Al Naghi the exclusive right to market, advertise, and sell our Breast Acoustic CT Scanner and the QTI Cloud SaaS platform subscriptions in the UAE, with MOQs of 7 scanners in 2026, 16 scanners in 2027, and 20 scanners in 2028, for a total minimum of 43 scanners, representing revenue of more than $24 million in 2026 through 2028, upon regulatory approval from the Emirates Drug Establishment (“</w:t>
      </w:r>
      <w:r>
        <w:rPr>
          <w:rFonts w:ascii="Times New Roman;serif" w:hAnsi="Times New Roman;serif"/>
          <w:b/>
          <w:i/>
          <w:color w:val="000000"/>
          <w:sz w:val="20"/>
        </w:rPr>
        <w:t>EDE</w:t>
      </w:r>
      <w:r>
        <w:rPr>
          <w:color w:val="000000"/>
        </w:rPr>
        <w:t>”</w:t>
      </w:r>
      <w:r>
        <w:rPr>
          <w:rFonts w:ascii="Times New Roman;serif" w:hAnsi="Times New Roman;serif"/>
          <w:b w:val="false"/>
          <w:color w:val="000000"/>
          <w:sz w:val="20"/>
        </w:rPr>
        <w:t>) in the UAE, which was received on March 17,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the additional cash received from the Lynrock Lake Term Loan, the extension of the maturity date of the Lynrock Lake Term Loan to March 2029, the additional cash received from the PIPE Investments and the May 2026 Public Offering, and the expected revenue from our direct sales efforts in the U.S., MOQs per the Amended NXC Distribution Agreement, and direct sales efforts and sales through distributors such as Gulf Medical and Al Nagjhi internationally will be sufficient to fund our current operating plan for at least the next 12 months.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our growth rate, the timing and extent of our spending to support research and development activities, purchasing inventory to meet our growth plan, and the timing and cost to enhance commercialized existing products. In the event that additional financing is required from outside sources, we may not be able to raise it on terms acceptable to us, or at all. Any additional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convertible debt securities, or other securities convertible into equity, our existing stockholders could suffer significant dilution in their percentage ownership of us,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Reclassification</w:t>
      </w:r>
    </w:p>
    <w:p>
      <w:pPr>
        <w:pStyle w:val="TextBody"/>
        <w:bidi w:val="0"/>
        <w:spacing w:lineRule="auto" w:line="288" w:before="0" w:after="180"/>
        <w:jc w:val="left"/>
        <w:rPr/>
      </w:pPr>
      <w:r>
        <w:rPr>
          <w:rFonts w:ascii="Times New Roman;serif" w:hAnsi="Times New Roman;serif"/>
          <w:b w:val="false"/>
          <w:color w:val="000000"/>
          <w:sz w:val="20"/>
        </w:rPr>
        <w:t>Debt issuance loss expense for the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has been changed from other (expense) income, net, to loss on issuance of debt within the unaudited condensed consolidated statements of operations and comprehensive loss to conform with the classification for the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Debt extinguishment loss expense for the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has been changed from other (expense) income, net, to loss on debt extinguishment and modification within the unaudited condensed consolidated statements of operations and comprehensive loss to conform with the classification for the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preparation of unaudited condensed consolidated financial statements in conformity with U.S. GAAP requires management to make estimates and judgments that affect the reported amounts of assets, liabilities, revenue,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0" w:after="180"/>
        <w:jc w:val="left"/>
        <w:rPr/>
      </w:pPr>
      <w:r>
        <w:rPr>
          <w:rFonts w:ascii="Times New Roman;serif" w:hAnsi="Times New Roman;serif"/>
          <w:b w:val="false"/>
          <w:color w:val="000000"/>
          <w:sz w:val="20"/>
        </w:rPr>
        <w:t>Other than the policies discussed above, there have been no changes to our significant accounting policies described in our Annual Report on Form 10-K for the year ended December 31, 2025 filed with the SEC on March 25, 2026 (our “</w:t>
      </w:r>
      <w:r>
        <w:rPr>
          <w:rFonts w:ascii="Times New Roman;serif" w:hAnsi="Times New Roman;serif"/>
          <w:b/>
          <w:i/>
          <w:color w:val="000000"/>
          <w:sz w:val="20"/>
        </w:rPr>
        <w:t>Annual Report</w:t>
      </w:r>
      <w:r>
        <w:rPr>
          <w:color w:val="000000"/>
        </w:rPr>
        <w:t>”</w:t>
      </w:r>
      <w:r>
        <w:rPr>
          <w:rFonts w:ascii="Times New Roman;serif" w:hAnsi="Times New Roman;serif"/>
          <w:b w:val="false"/>
          <w:color w:val="000000"/>
          <w:sz w:val="20"/>
        </w:rPr>
        <w:t>) that have had a material impact on our unaudited condensed consolidated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Adopted</w:t>
      </w:r>
    </w:p>
    <w:p>
      <w:pPr>
        <w:pStyle w:val="TextBody"/>
        <w:bidi w:val="0"/>
        <w:spacing w:lineRule="auto" w:line="288" w:before="0" w:after="180"/>
        <w:jc w:val="left"/>
        <w:rPr/>
      </w:pPr>
      <w:r>
        <w:rPr>
          <w:rFonts w:ascii="Times New Roman;serif" w:hAnsi="Times New Roman;serif"/>
          <w:b w:val="false"/>
          <w:color w:val="000000"/>
          <w:sz w:val="20"/>
        </w:rPr>
        <w:t>In December 2023, the Financial Accounting Standard Board (“</w:t>
      </w:r>
      <w:r>
        <w:rPr>
          <w:rFonts w:ascii="Times New Roman;serif" w:hAnsi="Times New Roman;serif"/>
          <w:b/>
          <w:i/>
          <w:color w:val="000000"/>
          <w:sz w:val="20"/>
        </w:rPr>
        <w:t>FASB</w:t>
      </w:r>
      <w:r>
        <w:rPr>
          <w:color w:val="000000"/>
        </w:rPr>
        <w:t>”</w:t>
      </w:r>
      <w:r>
        <w:rPr>
          <w:rFonts w:ascii="Times New Roman;serif" w:hAnsi="Times New Roman;serif"/>
          <w:b w:val="false"/>
          <w:color w:val="000000"/>
          <w:sz w:val="20"/>
        </w:rPr>
        <w:t>) issued Accounting Standards Update (“</w:t>
      </w:r>
      <w:r>
        <w:rPr>
          <w:rFonts w:ascii="Times New Roman;serif" w:hAnsi="Times New Roman;serif"/>
          <w:b/>
          <w:i/>
          <w:color w:val="000000"/>
          <w:sz w:val="20"/>
        </w:rPr>
        <w:t>ASU</w:t>
      </w:r>
      <w:r>
        <w:rPr>
          <w:color w:val="000000"/>
        </w:rPr>
        <w:t>”</w:t>
      </w:r>
      <w:r>
        <w:rPr>
          <w:rFonts w:ascii="Times New Roman;serif" w:hAnsi="Times New Roman;serif"/>
          <w:b w:val="false"/>
          <w:color w:val="000000"/>
          <w:sz w:val="20"/>
        </w:rPr>
        <w:t xml:space="preserve">)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which requires disclosure of specific categories in the effective tax rate reconciliation and additional information for reconciling items that meet a quantitative threshold and further disaggregation of income taxes paid for individually significant jurisdictions. This guidance is effective on a prospective or retrospective basis for annual periods beginning after December 15, 2025 for us, with early adoption permitted. We adopted this guidance effective January 1, 2026 on a prospective basis. The adoption of this standard did not have a material impact on our financial position, results of operations, or cash flows. We expect to provide any required income tax disclosures for annual reporting periods in our consolidated financial statements for the year ending December 31, 2026. </w:t>
      </w:r>
    </w:p>
    <w:p>
      <w:pPr>
        <w:pStyle w:val="TextBody"/>
        <w:bidi w:val="0"/>
        <w:spacing w:lineRule="auto" w:line="288" w:before="0" w:after="240"/>
        <w:jc w:val="left"/>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Debt—Debt with Conversion and Other Options (Subtopic 470-20): Induced Conversions of Convertible Debt Instruments</w:t>
      </w:r>
      <w:r>
        <w:rPr>
          <w:rFonts w:ascii="Times New Roman;serif" w:hAnsi="Times New Roman;serif"/>
          <w:b w:val="false"/>
          <w:color w:val="000000"/>
          <w:sz w:val="20"/>
        </w:rPr>
        <w:t>. This standard clarifies the requirements for determining whether certain settlements of convertible debt instruments should be accounted for as an induced conversion and the application of the induced conversion guidance to a conversion debt instrument. It also clarifies that the incorporation, elimination, or modification of a daily volume-weighted average price (“</w:t>
      </w:r>
      <w:r>
        <w:rPr>
          <w:rFonts w:ascii="Times New Roman;serif" w:hAnsi="Times New Roman;serif"/>
          <w:b/>
          <w:i/>
          <w:color w:val="000000"/>
          <w:sz w:val="20"/>
        </w:rPr>
        <w:t>VWAP</w:t>
      </w:r>
      <w:r>
        <w:rPr>
          <w:color w:val="000000"/>
        </w:rPr>
        <w:t>”</w:t>
      </w:r>
      <w:r>
        <w:rPr>
          <w:rFonts w:ascii="Times New Roman;serif" w:hAnsi="Times New Roman;serif"/>
          <w:b w:val="false"/>
          <w:color w:val="000000"/>
          <w:sz w:val="20"/>
        </w:rPr>
        <w:t>) formula does not automatically cause a settlement to be accounted for as an extinguishment. This standard will become effective on a prospective or retrospective basis for interim reporting periods and annual periods beginning after December 15, 2025. Early adoption is permitted. We adopted this guidance effective January 1, 2026 on a prospective basis. The adoption of this standard did not have a material impact on our financial position, results of operations, or cash flows.</w:t>
      </w:r>
    </w:p>
    <w:p>
      <w:pPr>
        <w:pStyle w:val="TextBody"/>
        <w:bidi w:val="0"/>
        <w:spacing w:lineRule="auto" w:line="288" w:before="0" w:after="18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Measurement of Credit Losses for Accounts Receivable and Contract Assets</w:t>
      </w:r>
      <w:r>
        <w:rPr>
          <w:rFonts w:ascii="Times New Roman;serif" w:hAnsi="Times New Roman;serif"/>
          <w:b w:val="false"/>
          <w:color w:val="000000"/>
          <w:sz w:val="20"/>
        </w:rPr>
        <w:t>, which provides a practical expedient to measure credit losses on accounts receivable and contract assets. The ASU is effective for annual periods beginning after December 15, 2025, and interim periods within those annual reporting periods. Early adoption is permitted. We adopted this guidance effective January 1, 2026 on a prospective basis. The adoption of this standard did not have a material impact on our financial position, results of operations, or cash flows.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8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The standard requires that public business entities disclose additional information about specific expense categories in the notes to financial statements for interim and annual reporting periods. The standard will become effective for the fiscal year ending December 31, 2027 and interim unaudited condensed consolidated financial statements thereafter and may be applied prospectively to periods after the adoption date or retrospectively for all prior periods presented in the financial statements, with early adoption permitted. We are currently evaluating the impact of this guidance on the disclosures within our consolidated financial statements.</w:t>
      </w:r>
    </w:p>
    <w:p>
      <w:pPr>
        <w:pStyle w:val="TextBody"/>
        <w:bidi w:val="0"/>
        <w:spacing w:lineRule="auto" w:line="288" w:before="0" w:after="180"/>
        <w:jc w:val="left"/>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 xml:space="preserve">Derivatives and Hedging (Topic 815) and Revenue from Contracts with Customers (Topic 606): Derivatives Scope Refinements and Scope Clarification for Share-Based Noncash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pPr>
      <w:r>
        <w:rPr>
          <w:rFonts w:ascii="Times New Roman;serif" w:hAnsi="Times New Roman;serif"/>
          <w:b w:val="false"/>
          <w:i/>
          <w:color w:val="000000"/>
          <w:sz w:val="20"/>
        </w:rPr>
        <w:t>Consideration from a Customer in a Revenue Contract</w:t>
      </w:r>
      <w:r>
        <w:rPr>
          <w:rFonts w:ascii="Times New Roman;serif" w:hAnsi="Times New Roman;serif"/>
          <w:b w:val="false"/>
          <w:color w:val="000000"/>
          <w:sz w:val="20"/>
        </w:rPr>
        <w:t>. This standard provides a scope exception to exclude from derivative accounting non-exchange-traded contracts with underlyings that are based on operations or activities specific to one of the parties to the contract, if the contract does not have (i) variables based on a market rate, market price, or market index, (ii) variables based on the price or performance of a financial asset or financial liability of one of the parties to the contract, (iii) contracts or features involving the issuer’s own equity, and (iv) call options and put options on debt instruments. The ASU is effective for annual periods beginning after December 15, 2026, and interim periods within those annual reporting periods. Early adoption is permitted. We are currently evaluating the timing of the adoption and the impact of the new standard on our consolidated financial statements and related disclosures.</w:t>
      </w:r>
    </w:p>
    <w:p>
      <w:pPr>
        <w:pStyle w:val="TextBody"/>
        <w:bidi w:val="0"/>
        <w:spacing w:lineRule="auto" w:line="288" w:before="0" w:after="180"/>
        <w:jc w:val="left"/>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This standard establishes the accounting for a government grant received by a business entity. In addition, this standard requires a business entity to provide disclosures, including the nature of the government grant received, the accounting policies used to account for the grant, and significant terms and conditions of the grant. The standard is effective for interim and annual reporting periods beginning after December 15, 2028 on a modified prospective approach, a modified retrospective approach, or a retrospective approach. Early adoption is permitted. We are currently evaluating the timing of the adoption and the impact of the new standard on our consolidated financial statements and related disclosures.</w:t>
      </w:r>
    </w:p>
    <w:p>
      <w:pPr>
        <w:pStyle w:val="TextBody"/>
        <w:bidi w:val="0"/>
        <w:spacing w:lineRule="auto" w:line="288" w:before="0" w:after="18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This standard provides a comprehensive list of interim disclosures that are required by GAAP and includes a disclosure principle that requires entities to disclose events since the end of the last annual reporting period that have a material impact on the entity. The standard is effective for interim reporting periods within annual reporting periods beginning after December 15, 2027 on a prospective or retrospective basis. Early adoption is permitted. We are currently evaluating the timing of the adoption and the impact of the new standard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2.Business Combination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Merger Earnout Consideration Shares</w:t>
      </w:r>
    </w:p>
    <w:p>
      <w:pPr>
        <w:pStyle w:val="TextBody"/>
        <w:bidi w:val="0"/>
        <w:spacing w:lineRule="auto" w:line="288" w:before="0" w:after="180"/>
        <w:jc w:val="left"/>
        <w:rPr/>
      </w:pPr>
      <w:r>
        <w:rPr>
          <w:rFonts w:ascii="Times New Roman;serif" w:hAnsi="Times New Roman;serif"/>
          <w:b w:val="false"/>
          <w:color w:val="000000"/>
          <w:sz w:val="20"/>
        </w:rPr>
        <w:t>Pursuant to the Second Amendment to Business Combination Agreement dated September 21, 2023, we are obliged to issue a maximum of 3,000,000 shares of our common stock (the “</w:t>
      </w:r>
      <w:r>
        <w:rPr>
          <w:rFonts w:ascii="Times New Roman;serif" w:hAnsi="Times New Roman;serif"/>
          <w:b/>
          <w:i/>
          <w:color w:val="000000"/>
          <w:sz w:val="20"/>
        </w:rPr>
        <w:t>Merger Earnout Consideration Shares</w:t>
      </w:r>
      <w:r>
        <w:rPr>
          <w:color w:val="000000"/>
        </w:rPr>
        <w:t>”</w:t>
      </w:r>
      <w:r>
        <w:rPr>
          <w:rFonts w:ascii="Times New Roman;serif" w:hAnsi="Times New Roman;serif"/>
          <w:b w:val="false"/>
          <w:color w:val="000000"/>
          <w:sz w:val="20"/>
        </w:rPr>
        <w:t>) if certain triggering events and conditions are achieved. The conditions for the 2024 Earnout Shares and the 2025 Earnout Shares were not met and therefore no shares were issued during the years ended December 31, 2024 and 2025.</w:t>
      </w:r>
    </w:p>
    <w:p>
      <w:pPr>
        <w:pStyle w:val="TextBody"/>
        <w:bidi w:val="0"/>
        <w:spacing w:lineRule="auto" w:line="288" w:before="0" w:after="180"/>
        <w:jc w:val="left"/>
        <w:rPr/>
      </w:pPr>
      <w:r>
        <w:rPr>
          <w:rFonts w:ascii="Times New Roman;serif" w:hAnsi="Times New Roman;serif"/>
          <w:b w:val="false"/>
          <w:color w:val="000000"/>
          <w:sz w:val="20"/>
        </w:rPr>
        <w:t>Promptly following the date on which we file our quarterly report on Form 10-Q with respect to our fiscal quarter ended September 30, 2026 with the SEC, an aggregate of 833,333 Merger Earnout Consideration Shares (the “</w:t>
      </w:r>
      <w:r>
        <w:rPr>
          <w:rFonts w:ascii="Times New Roman;serif" w:hAnsi="Times New Roman;serif"/>
          <w:b/>
          <w:i/>
          <w:color w:val="000000"/>
          <w:sz w:val="20"/>
        </w:rPr>
        <w:t>2026 Earnout Shares</w:t>
      </w:r>
      <w:r>
        <w:rPr>
          <w:color w:val="000000"/>
        </w:rPr>
        <w:t>”</w:t>
      </w:r>
      <w:r>
        <w:rPr>
          <w:rFonts w:ascii="Times New Roman;serif" w:hAnsi="Times New Roman;serif"/>
          <w:b w:val="false"/>
          <w:color w:val="000000"/>
          <w:sz w:val="20"/>
        </w:rPr>
        <w:t>) will be issued to our former stockholders if, and only if, during the twelve months ended September 30, 2026, (i) we have revenue of at least $30.0 million as set forth in the unaudited condensed consolidated financial statements included in the periodic reports filed by us with the SEC with respect to such twelve month period, or (ii) the VWAP of shares of common stock equals or exceeds $45.00 per share for twenty (20) of any thirty (30) consecutive trading days on the Nasdaq exchange; provided, that the 2026 Earnout Shares will increase by 166,667 (to an aggregate of 1,000,000) Merger Earnout Consideration Shares if at least one of the following milestones is achieved on or prior to such filing date: (i) we have obtained a formal Food and Drug Administration (“</w:t>
      </w:r>
      <w:r>
        <w:rPr>
          <w:rFonts w:ascii="Times New Roman;serif" w:hAnsi="Times New Roman;serif"/>
          <w:b/>
          <w:i/>
          <w:color w:val="000000"/>
          <w:sz w:val="20"/>
        </w:rPr>
        <w:t>FDA</w:t>
      </w:r>
      <w:r>
        <w:rPr>
          <w:color w:val="000000"/>
        </w:rPr>
        <w:t>”</w:t>
      </w:r>
      <w:r>
        <w:rPr>
          <w:rFonts w:ascii="Times New Roman;serif" w:hAnsi="Times New Roman;serif"/>
          <w:b w:val="false"/>
          <w:color w:val="000000"/>
          <w:sz w:val="20"/>
        </w:rPr>
        <w:t xml:space="preserve">) clearance of our open angle scanner, which remains in full force and effect as of such filing date; or (ii) we receive net positive results in bona fide clinical trials, conducted in accordance with generally accepted industry standards, for our open angle scanner, as reported no later than the filing date of our quarterly report on Form 10-Q for the third quarter of 2026. </w:t>
      </w:r>
    </w:p>
    <w:p>
      <w:pPr>
        <w:pStyle w:val="TextBody"/>
        <w:bidi w:val="0"/>
        <w:spacing w:lineRule="auto" w:line="288" w:before="0" w:after="180"/>
        <w:jc w:val="left"/>
        <w:rPr/>
      </w:pPr>
      <w:r>
        <w:rPr>
          <w:rFonts w:ascii="Times New Roman;serif" w:hAnsi="Times New Roman;serif"/>
          <w:b w:val="false"/>
          <w:color w:val="000000"/>
          <w:sz w:val="20"/>
        </w:rPr>
        <w:t xml:space="preserve">As of June 30, 2026 and December 31, 2025, the liability related to the Merger Earnout Consideration Shares was $2.4 million and $2.2 million, respectively. Refer to </w:t>
      </w:r>
      <w:r>
        <w:rPr>
          <w:rFonts w:ascii="Times New Roman;serif" w:hAnsi="Times New Roman;serif"/>
          <w:b w:val="false"/>
          <w:i/>
          <w:color w:val="000000"/>
          <w:sz w:val="20"/>
        </w:rPr>
        <w:t>Note 3 - Fair Value Measurements</w:t>
      </w:r>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our financial assets and liabilities reflects management’s estimate of amounts that we would have received in connection with the sale of the assets or paid in connection with the transfer of the liabilities in an orderly transaction between market participants at the measurement date. In connection with measuring the fair value of our assets and liabilities, we seek to maximize the use of observable inputs (market data obtained from independent sources) and to minimize the use of unobservable inputs (internal assumptions about how market participants would price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liabilities). The following fair value hierarchy is used to classify assets and liabilities based on the observable inputs and unobservable inputs used in order to value the assets and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which are supported by little or no market activity and which are significant to the fair value of the assets or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assets and liabilities that are measured at fair value on a recurring basis as of June 30, 2026 and December 31, 2025, and indicates the fair value hierarchy of the valuation inputs we utilized to determine such fair value (in thousands):</w:t>
      </w:r>
    </w:p>
    <w:tbl>
      <w:tblPr>
        <w:tblW w:w="6113" w:type="dxa"/>
        <w:jc w:val="center"/>
        <w:tblInd w:w="0" w:type="dxa"/>
        <w:tblLayout w:type="fixed"/>
        <w:tblCellMar>
          <w:top w:w="28" w:type="dxa"/>
          <w:left w:w="28" w:type="dxa"/>
          <w:bottom w:w="28" w:type="dxa"/>
          <w:right w:w="28" w:type="dxa"/>
        </w:tblCellMar>
      </w:tblPr>
      <w:tblGrid>
        <w:gridCol w:w="660"/>
        <w:gridCol w:w="581"/>
        <w:gridCol w:w="589"/>
        <w:gridCol w:w="195"/>
        <w:gridCol w:w="195"/>
        <w:gridCol w:w="196"/>
        <w:gridCol w:w="109"/>
        <w:gridCol w:w="109"/>
        <w:gridCol w:w="109"/>
        <w:gridCol w:w="287"/>
        <w:gridCol w:w="839"/>
        <w:gridCol w:w="148"/>
        <w:gridCol w:w="109"/>
        <w:gridCol w:w="109"/>
        <w:gridCol w:w="109"/>
        <w:gridCol w:w="380"/>
        <w:gridCol w:w="1110"/>
        <w:gridCol w:w="279"/>
      </w:tblGrid>
      <w:tr>
        <w:trPr/>
        <w:tc>
          <w:tcPr>
            <w:tcW w:w="66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Warrant Liability</w:t>
      </w:r>
    </w:p>
    <w:p>
      <w:pPr>
        <w:pStyle w:val="TextBody"/>
        <w:bidi w:val="0"/>
        <w:spacing w:lineRule="auto" w:line="288" w:before="0" w:after="18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Working Capital Note Warrants, Private Warrants, and Public Warrants</w:t>
      </w:r>
    </w:p>
    <w:p>
      <w:pPr>
        <w:pStyle w:val="TextBody"/>
        <w:bidi w:val="0"/>
        <w:spacing w:lineRule="auto" w:line="288" w:before="0" w:after="180"/>
        <w:jc w:val="left"/>
        <w:rPr/>
      </w:pPr>
      <w:r>
        <w:rPr>
          <w:rFonts w:ascii="Times New Roman;serif" w:hAnsi="Times New Roman;serif"/>
          <w:b w:val="false"/>
          <w:color w:val="000000"/>
          <w:sz w:val="20"/>
          <w:shd w:fill="FFFFFF" w:val="clear"/>
        </w:rPr>
        <w:t>We determined that the warrants that were a constituent part of (i) the private placement units issued in a private placement sale by GigCapital5 prior to the Merger and (ii) the private placement units issued upon conversion of working capital notes issued by GigCapital5 (the “</w:t>
      </w:r>
      <w:r>
        <w:rPr>
          <w:rFonts w:ascii="Times New Roman;serif" w:hAnsi="Times New Roman;serif"/>
          <w:b/>
          <w:i/>
          <w:color w:val="000000"/>
          <w:sz w:val="20"/>
          <w:shd w:fill="FFFFFF" w:val="clear"/>
        </w:rPr>
        <w:t>Working Capital Note Warrants</w:t>
      </w:r>
      <w:r>
        <w:rPr>
          <w:color w:val="000000"/>
          <w:shd w:fill="FFFFFF" w:val="clear"/>
        </w:rPr>
        <w:t>”</w:t>
      </w:r>
      <w:r>
        <w:rPr>
          <w:rFonts w:ascii="Times New Roman;serif" w:hAnsi="Times New Roman;serif"/>
          <w:b w:val="false"/>
          <w:color w:val="000000"/>
          <w:sz w:val="20"/>
          <w:shd w:fill="FFFFFF" w:val="clear"/>
        </w:rPr>
        <w:t>) prior to the Merger, which conversion occurred concurrent with the Merger (“</w:t>
      </w:r>
      <w:r>
        <w:rPr>
          <w:rFonts w:ascii="Times New Roman;serif" w:hAnsi="Times New Roman;serif"/>
          <w:b/>
          <w:i/>
          <w:color w:val="000000"/>
          <w:sz w:val="20"/>
          <w:shd w:fill="FFFFFF" w:val="clear"/>
        </w:rPr>
        <w:t>Private Warrants</w:t>
      </w:r>
      <w:r>
        <w:rPr>
          <w:color w:val="000000"/>
          <w:shd w:fill="FFFFFF" w:val="clear"/>
        </w:rPr>
        <w:t>”</w:t>
      </w:r>
      <w:r>
        <w:rPr>
          <w:rFonts w:ascii="Times New Roman;serif" w:hAnsi="Times New Roman;serif"/>
          <w:b w:val="false"/>
          <w:color w:val="000000"/>
          <w:sz w:val="20"/>
          <w:shd w:fill="FFFFFF" w:val="clear"/>
        </w:rPr>
        <w:t>), are subject to treatment as a liability, as the transfer of the warrants to anyone other than the purchasers or their permitted transferees would result in these warrants having substantially the same terms as the warrants included in the public units that were issued by GigCapital5 prior to the Merger (“</w:t>
      </w:r>
      <w:r>
        <w:rPr>
          <w:rFonts w:ascii="Times New Roman;serif" w:hAnsi="Times New Roman;serif"/>
          <w:b/>
          <w:i/>
          <w:color w:val="000000"/>
          <w:sz w:val="20"/>
          <w:shd w:fill="FFFFFF" w:val="clear"/>
        </w:rPr>
        <w:t>Public Warrants</w:t>
      </w:r>
      <w:r>
        <w:rPr>
          <w:color w:val="000000"/>
          <w:shd w:fill="FFFFFF" w:val="clear"/>
        </w:rPr>
        <w:t>”</w:t>
      </w:r>
      <w:r>
        <w:rPr>
          <w:rFonts w:ascii="Times New Roman;serif" w:hAnsi="Times New Roman;serif"/>
          <w:b w:val="false"/>
          <w:color w:val="000000"/>
          <w:sz w:val="20"/>
          <w:shd w:fill="FFFFFF" w:val="clear"/>
        </w:rPr>
        <w:t>). We determined that the fair value of each Private Warrant approximates the fair value of a Public Warrant. Accordingly, the Private Warrants are val</w:t>
      </w:r>
      <w:r>
        <w:rPr>
          <w:rFonts w:ascii="Times New Roman;serif" w:hAnsi="Times New Roman;serif"/>
          <w:b w:val="false"/>
          <w:color w:val="000000"/>
          <w:sz w:val="20"/>
        </w:rPr>
        <w:t xml:space="preserve">ued upon observable data and have been classified as Level 2 financial instruments. A total of 889,364 Private Warrants to purchase 296,445 shares </w:t>
      </w:r>
      <w:r>
        <w:rPr>
          <w:rFonts w:ascii="Times New Roman;serif" w:hAnsi="Times New Roman;serif"/>
          <w:b w:val="false"/>
          <w:color w:val="000000"/>
          <w:sz w:val="20"/>
          <w:shd w:fill="FFFFFF" w:val="clear"/>
        </w:rPr>
        <w:t xml:space="preserve">of common stock were outstanding as of </w:t>
      </w:r>
      <w:r>
        <w:rPr>
          <w:rFonts w:ascii="Times New Roman;serif" w:hAnsi="Times New Roman;serif"/>
          <w:b w:val="false"/>
          <w:color w:val="000000"/>
          <w:sz w:val="20"/>
        </w:rPr>
        <w:t>June 30, 2026 and December 31, 2025, at a</w:t>
      </w:r>
      <w:r>
        <w:rPr>
          <w:color w:val="000000"/>
          <w:shd w:fill="FFFFFF" w:val="clear"/>
        </w:rPr>
        <w:t xml:space="preserve"> </w:t>
      </w:r>
      <w:r>
        <w:rPr>
          <w:rFonts w:ascii="Times New Roman;serif" w:hAnsi="Times New Roman;serif"/>
          <w:b w:val="false"/>
          <w:color w:val="000000"/>
          <w:sz w:val="20"/>
          <w:shd w:fill="FFFFFF" w:val="clear"/>
        </w:rPr>
        <w:t xml:space="preserve">fair value of approximately </w:t>
      </w:r>
      <w:r>
        <w:rPr>
          <w:rFonts w:ascii="Times New Roman;serif" w:hAnsi="Times New Roman;serif"/>
          <w:b w:val="false"/>
          <w:color w:val="000000"/>
          <w:sz w:val="20"/>
        </w:rPr>
        <w:t>$0.210</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$0.116</w:t>
      </w:r>
      <w:r>
        <w:rPr>
          <w:color w:val="000000"/>
          <w:shd w:fill="FFFFFF" w:val="clear"/>
        </w:rPr>
        <w:t xml:space="preserve"> </w:t>
      </w:r>
      <w:r>
        <w:rPr>
          <w:rFonts w:ascii="Times New Roman;serif" w:hAnsi="Times New Roman;serif"/>
          <w:b w:val="false"/>
          <w:color w:val="000000"/>
          <w:sz w:val="20"/>
          <w:shd w:fill="FFFFFF" w:val="clear"/>
        </w:rPr>
        <w:t xml:space="preserve">per warrant, respectively. Refer to </w:t>
      </w:r>
      <w:r>
        <w:rPr>
          <w:rFonts w:ascii="Times New Roman;serif" w:hAnsi="Times New Roman;serif"/>
          <w:b w:val="false"/>
          <w:i/>
          <w:color w:val="000000"/>
          <w:sz w:val="20"/>
          <w:shd w:fill="FFFFFF" w:val="clear"/>
        </w:rPr>
        <w:t xml:space="preserve">Note 8 </w:t>
      </w:r>
      <w:r>
        <w:rPr>
          <w:rFonts w:ascii="Times New Roman;serif" w:hAnsi="Times New Roman;serif"/>
          <w:b w:val="false"/>
          <w:i/>
          <w:color w:val="000000"/>
          <w:sz w:val="20"/>
        </w:rPr>
        <w:t xml:space="preserve">- </w:t>
      </w:r>
      <w:r>
        <w:rPr>
          <w:rFonts w:ascii="Times New Roman;serif" w:hAnsi="Times New Roman;serif"/>
          <w:b w:val="false"/>
          <w:i/>
          <w:color w:val="000000"/>
          <w:sz w:val="20"/>
          <w:shd w:fill="FFFFFF" w:val="clear"/>
        </w:rPr>
        <w:t>Stockholders’ Equity</w:t>
      </w:r>
      <w:r>
        <w:rPr>
          <w:color w:val="000000"/>
          <w:shd w:fill="FFFFFF" w:val="clear"/>
        </w:rPr>
        <w:t xml:space="preserve"> </w:t>
      </w:r>
      <w:r>
        <w:rPr>
          <w:rFonts w:ascii="Times New Roman;serif" w:hAnsi="Times New Roman;serif"/>
          <w:b w:val="false"/>
          <w:color w:val="000000"/>
          <w:sz w:val="20"/>
          <w:shd w:fill="FFFFFF" w:val="clear"/>
        </w:rPr>
        <w:t>for more information.</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activity for the fair value of the warrant liability during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rPr>
        <w:t>June 30, 2026 and 2025</w:t>
      </w:r>
      <w:r>
        <w:rPr>
          <w:color w:val="000000"/>
          <w:shd w:fill="FFFFFF" w:val="clear"/>
        </w:rPr>
        <w:t xml:space="preserve"> </w:t>
      </w:r>
      <w:r>
        <w:rPr>
          <w:rFonts w:ascii="Times New Roman;serif" w:hAnsi="Times New Roman;serif"/>
          <w:b w:val="false"/>
          <w:color w:val="000000"/>
          <w:sz w:val="20"/>
          <w:shd w:fill="FFFFFF" w:val="clear"/>
        </w:rPr>
        <w:t>was as follows</w:t>
      </w:r>
      <w:r>
        <w:rPr>
          <w:color w:val="000000"/>
        </w:rPr>
        <w:t xml:space="preserve"> </w:t>
      </w:r>
      <w:r>
        <w:rPr>
          <w:rFonts w:ascii="Times New Roman;serif" w:hAnsi="Times New Roman;serif"/>
          <w:b w:val="false"/>
          <w:i/>
          <w:color w:val="000000"/>
          <w:sz w:val="20"/>
        </w:rPr>
        <w:t>(in thousands)</w:t>
      </w:r>
      <w:r>
        <w:rPr>
          <w:rFonts w:ascii="Times New Roman;serif" w:hAnsi="Times New Roman;serif"/>
          <w:b w:val="false"/>
          <w:color w:val="000000"/>
          <w:sz w:val="20"/>
          <w:shd w:fill="FFFFFF" w:val="clear"/>
        </w:rPr>
        <w:t>:</w:t>
      </w:r>
    </w:p>
    <w:tbl>
      <w:tblPr>
        <w:tblW w:w="5805" w:type="dxa"/>
        <w:jc w:val="center"/>
        <w:tblInd w:w="0" w:type="dxa"/>
        <w:tblLayout w:type="fixed"/>
        <w:tblCellMar>
          <w:top w:w="28" w:type="dxa"/>
          <w:left w:w="28" w:type="dxa"/>
          <w:bottom w:w="28" w:type="dxa"/>
          <w:right w:w="28" w:type="dxa"/>
        </w:tblCellMar>
      </w:tblPr>
      <w:tblGrid>
        <w:gridCol w:w="641"/>
        <w:gridCol w:w="563"/>
        <w:gridCol w:w="566"/>
        <w:gridCol w:w="220"/>
        <w:gridCol w:w="487"/>
        <w:gridCol w:w="113"/>
        <w:gridCol w:w="113"/>
        <w:gridCol w:w="113"/>
        <w:gridCol w:w="113"/>
        <w:gridCol w:w="220"/>
        <w:gridCol w:w="377"/>
        <w:gridCol w:w="113"/>
        <w:gridCol w:w="109"/>
        <w:gridCol w:w="109"/>
        <w:gridCol w:w="109"/>
        <w:gridCol w:w="211"/>
        <w:gridCol w:w="466"/>
        <w:gridCol w:w="109"/>
        <w:gridCol w:w="109"/>
        <w:gridCol w:w="109"/>
        <w:gridCol w:w="109"/>
        <w:gridCol w:w="211"/>
        <w:gridCol w:w="361"/>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Lynrock Lake Warrant</w:t>
      </w:r>
    </w:p>
    <w:p>
      <w:pPr>
        <w:pStyle w:val="TextBody"/>
        <w:bidi w:val="0"/>
        <w:spacing w:lineRule="auto" w:line="288" w:before="0" w:after="180"/>
        <w:jc w:val="left"/>
        <w:rPr/>
      </w:pPr>
      <w:r>
        <w:rPr>
          <w:rFonts w:ascii="Times New Roman;serif" w:hAnsi="Times New Roman;serif"/>
          <w:b w:val="false"/>
          <w:color w:val="000000"/>
          <w:sz w:val="20"/>
          <w:shd w:fill="FFFFFF" w:val="clear"/>
        </w:rPr>
        <w:t>In connection with the Lynrock Lake Term Loan, we issued to Lynrock Lake a warrant to purchase 20,333,623 shares of common stock at an exercise price of $1.20</w:t>
      </w:r>
      <w:r>
        <w:rPr>
          <w:color w:val="000000"/>
        </w:rPr>
        <w:t xml:space="preserve"> </w:t>
      </w:r>
      <w:r>
        <w:rPr>
          <w:rFonts w:ascii="Times New Roman;serif" w:hAnsi="Times New Roman;serif"/>
          <w:b w:val="false"/>
          <w:color w:val="000000"/>
          <w:sz w:val="20"/>
        </w:rPr>
        <w:t>per share (the “</w:t>
      </w:r>
      <w:r>
        <w:rPr>
          <w:rFonts w:ascii="Times New Roman;serif" w:hAnsi="Times New Roman;serif"/>
          <w:b/>
          <w:i/>
          <w:color w:val="000000"/>
          <w:sz w:val="20"/>
        </w:rPr>
        <w:t>Lynrock Lake Warrant</w:t>
      </w:r>
      <w:r>
        <w:rPr>
          <w:color w:val="000000"/>
        </w:rPr>
        <w:t>”</w:t>
      </w:r>
      <w:r>
        <w:rPr>
          <w:rFonts w:ascii="Times New Roman;serif" w:hAnsi="Times New Roman;serif"/>
          <w:b w:val="false"/>
          <w:color w:val="000000"/>
          <w:sz w:val="20"/>
        </w:rPr>
        <w:t xml:space="preserve">). The Lynrock Lake Warrant is also subject to anti-dilution adjustments to the exercise price and the number of shares which may be purchased upon exercise of the Lynrock Lake Warrant in the event that we issue shares of common stock (or derivative securities) at a price that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either less than the $1.0002 exercise price or the fair market value of a share of common stock from the immediately prior trading day. Upon the closing of the October 2025 Private Placement, the number of shares which may be purchased upon exercise of the Lynrock Lake Warrant and the per share exercise price were adjusted to 24,396,416 and $1.0002, respectively. Upon the closing of the May 2026 Public Offering, the number of shares which may be purchased upon exercise of the Lynrock Lake Warrant and the per share exercise price were adjusted to 25,313,508 and $0.9639, respectively. The Lynrock Lake Warrant is exercisable until February 26, 2035. Lynrock Lake may cashless exercise the Lynrock Lake Warrant. The fair value of the Lynrock Lake Warrant at issuance amounted to $16.5 million. </w:t>
      </w:r>
      <w:r>
        <w:rPr>
          <w:rFonts w:ascii="Times New Roman;serif" w:hAnsi="Times New Roman;serif"/>
          <w:b w:val="false"/>
          <w:color w:val="000000"/>
          <w:sz w:val="20"/>
          <w:shd w:fill="FFFFFF" w:val="clear"/>
        </w:rPr>
        <w:t xml:space="preserve">On June 11, 2025, the Lynrock Lake Warrant was amended to update the provisions that would trigger cash settlement such that, when such events occur, the holders of the warrants receive the same form of consideration as the underlying stockholders. As equity classification is permitted for an instrument that requires net-cash settlement if the holders of the contract’s underlying </w:t>
      </w:r>
      <w:r>
        <w:rPr>
          <w:rFonts w:ascii="Times New Roman;serif" w:hAnsi="Times New Roman;serif"/>
          <w:b w:val="false"/>
          <w:color w:val="000000"/>
          <w:sz w:val="20"/>
        </w:rPr>
        <w:t xml:space="preserve">shares receive the same form of consideration in transactions outside our control, consequently the warrants were revalued and then reclassified to additional paid-in capital on the consolidated balance sheet upon modification. We determined the fair value of the Lynrock Lake Warrant using the Black-Scholes pricing model through the modification. </w:t>
      </w: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shd w:fill="FFFFFF" w:val="clear"/>
        </w:rPr>
        <w:t>Note 5 - Long-Term Debt</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Note 8 - Stockholders’ Equity</w:t>
      </w:r>
      <w:r>
        <w:rPr>
          <w:color w:val="000000"/>
          <w:shd w:fill="FFFFFF" w:val="clear"/>
        </w:rPr>
        <w:t xml:space="preserve"> </w:t>
      </w:r>
      <w:r>
        <w:rPr>
          <w:rFonts w:ascii="Times New Roman;serif" w:hAnsi="Times New Roman;serif"/>
          <w:b w:val="false"/>
          <w:color w:val="000000"/>
          <w:sz w:val="20"/>
          <w:shd w:fill="FFFFFF" w:val="clear"/>
        </w:rPr>
        <w:t>for more information.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assumptions used in the valuation of the fair value of the Lynrock Lake Warrant as of issuance on February 26, 2025 and as of the modification on June 11, 2025 were as follows:</w:t>
      </w:r>
    </w:p>
    <w:tbl>
      <w:tblPr>
        <w:tblW w:w="6275" w:type="dxa"/>
        <w:jc w:val="center"/>
        <w:tblInd w:w="0" w:type="dxa"/>
        <w:tblLayout w:type="fixed"/>
        <w:tblCellMar>
          <w:top w:w="28" w:type="dxa"/>
          <w:left w:w="28" w:type="dxa"/>
          <w:bottom w:w="28" w:type="dxa"/>
          <w:right w:w="28" w:type="dxa"/>
        </w:tblCellMar>
      </w:tblPr>
      <w:tblGrid>
        <w:gridCol w:w="989"/>
        <w:gridCol w:w="869"/>
        <w:gridCol w:w="872"/>
        <w:gridCol w:w="357"/>
        <w:gridCol w:w="865"/>
        <w:gridCol w:w="458"/>
        <w:gridCol w:w="109"/>
        <w:gridCol w:w="109"/>
        <w:gridCol w:w="109"/>
        <w:gridCol w:w="109"/>
        <w:gridCol w:w="109"/>
        <w:gridCol w:w="268"/>
        <w:gridCol w:w="650"/>
        <w:gridCol w:w="402"/>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June 11, 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warrant terms (years)</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 of return</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annual dividend yield</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activity for the fair value of the Lynrock Lake Warrant during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rPr>
        <w:t xml:space="preserve">June 30, 2025 </w:t>
      </w:r>
      <w:r>
        <w:rPr>
          <w:rFonts w:ascii="Times New Roman;serif" w:hAnsi="Times New Roman;serif"/>
          <w:b w:val="false"/>
          <w:color w:val="000000"/>
          <w:sz w:val="20"/>
          <w:shd w:fill="FFFFFF" w:val="clear"/>
        </w:rPr>
        <w:t xml:space="preserve">was as follows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shd w:fill="FFFFFF" w:val="clear"/>
        </w:rPr>
        <w:t>:</w:t>
      </w:r>
    </w:p>
    <w:tbl>
      <w:tblPr>
        <w:tblW w:w="10205" w:type="dxa"/>
        <w:jc w:val="center"/>
        <w:tblInd w:w="0" w:type="dxa"/>
        <w:tblLayout w:type="fixed"/>
        <w:tblCellMar>
          <w:top w:w="28" w:type="dxa"/>
          <w:left w:w="28" w:type="dxa"/>
          <w:bottom w:w="28" w:type="dxa"/>
          <w:right w:w="28" w:type="dxa"/>
        </w:tblCellMar>
      </w:tblPr>
      <w:tblGrid>
        <w:gridCol w:w="1718"/>
        <w:gridCol w:w="1487"/>
        <w:gridCol w:w="1452"/>
        <w:gridCol w:w="547"/>
        <w:gridCol w:w="1872"/>
        <w:gridCol w:w="282"/>
        <w:gridCol w:w="109"/>
        <w:gridCol w:w="109"/>
        <w:gridCol w:w="109"/>
        <w:gridCol w:w="701"/>
        <w:gridCol w:w="1313"/>
        <w:gridCol w:w="506"/>
      </w:tblGrid>
      <w:tr>
        <w:trPr/>
        <w:tc>
          <w:tcPr>
            <w:tcW w:w="171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17,102 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Fair value at issuance</w:t>
            </w:r>
          </w:p>
        </w:tc>
        <w:tc>
          <w:tcPr>
            <w:tcW w:w="2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16,496 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Change in fair value</w:t>
            </w:r>
          </w:p>
        </w:tc>
        <w:tc>
          <w:tcPr>
            <w:tcW w:w="2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Reclassification of warrant liability upon warrant modification</w:t>
            </w:r>
          </w:p>
        </w:tc>
        <w:tc>
          <w:tcPr>
            <w:tcW w:w="2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(19,397)</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(19,397)</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Yorkville Warrant</w:t>
      </w:r>
    </w:p>
    <w:p>
      <w:pPr>
        <w:pStyle w:val="TextBody"/>
        <w:bidi w:val="0"/>
        <w:spacing w:lineRule="auto" w:line="288" w:before="0" w:after="180"/>
        <w:jc w:val="left"/>
        <w:rPr/>
      </w:pPr>
      <w:r>
        <w:rPr>
          <w:rFonts w:ascii="Times New Roman;serif" w:hAnsi="Times New Roman;serif"/>
          <w:b w:val="false"/>
          <w:color w:val="000000"/>
          <w:sz w:val="20"/>
        </w:rPr>
        <w:t>On February 26, 2025, we issued to YA II PN, LTD (“</w:t>
      </w:r>
      <w:r>
        <w:rPr>
          <w:rFonts w:ascii="Times New Roman;serif" w:hAnsi="Times New Roman;serif"/>
          <w:b/>
          <w:i/>
          <w:color w:val="000000"/>
          <w:sz w:val="20"/>
        </w:rPr>
        <w:t>Yorkville</w:t>
      </w:r>
      <w:r>
        <w:rPr>
          <w:color w:val="000000"/>
        </w:rPr>
        <w:t>”</w:t>
      </w:r>
      <w:r>
        <w:rPr>
          <w:rFonts w:ascii="Times New Roman;serif" w:hAnsi="Times New Roman;serif"/>
          <w:b w:val="false"/>
          <w:color w:val="000000"/>
          <w:sz w:val="20"/>
        </w:rPr>
        <w:t>) a warrant (the “</w:t>
      </w:r>
      <w:r>
        <w:rPr>
          <w:rFonts w:ascii="Times New Roman;serif" w:hAnsi="Times New Roman;serif"/>
          <w:b/>
          <w:i/>
          <w:color w:val="000000"/>
          <w:sz w:val="20"/>
        </w:rPr>
        <w:t>Yorkville Warrant</w:t>
      </w:r>
      <w:r>
        <w:rPr>
          <w:color w:val="000000"/>
        </w:rPr>
        <w:t>”</w:t>
      </w:r>
      <w:r>
        <w:rPr>
          <w:rFonts w:ascii="Times New Roman;serif" w:hAnsi="Times New Roman;serif"/>
          <w:b w:val="false"/>
          <w:color w:val="000000"/>
          <w:sz w:val="20"/>
        </w:rPr>
        <w:t>) to purchase 5,000,071 shares of common stock at an exercise price of $1.20 per share to fully settle and discharge our obligations under the promissory note issued to Yorkville (the “</w:t>
      </w:r>
      <w:r>
        <w:rPr>
          <w:rFonts w:ascii="Times New Roman;serif" w:hAnsi="Times New Roman;serif"/>
          <w:b/>
          <w:i/>
          <w:color w:val="000000"/>
          <w:sz w:val="20"/>
        </w:rPr>
        <w:t>Yorkville Note</w:t>
      </w:r>
      <w:r>
        <w:rPr>
          <w:color w:val="000000"/>
        </w:rPr>
        <w:t>”</w:t>
      </w:r>
      <w:r>
        <w:rPr>
          <w:rFonts w:ascii="Times New Roman;serif" w:hAnsi="Times New Roman;serif"/>
          <w:b w:val="false"/>
          <w:color w:val="000000"/>
          <w:sz w:val="20"/>
        </w:rPr>
        <w:t xml:space="preserve">) and extinguish the Yorkville Note as having been fully performed. The Yorkville Warrant was exercisable until February 26, 2030. The fair value of the Yorkville Warrant at issuance amounted to $3.0 million. </w:t>
      </w:r>
      <w:r>
        <w:rPr>
          <w:rFonts w:ascii="Times New Roman;serif" w:hAnsi="Times New Roman;serif"/>
          <w:b w:val="false"/>
          <w:color w:val="000000"/>
          <w:sz w:val="20"/>
          <w:shd w:fill="FFFFFF" w:val="clear"/>
        </w:rPr>
        <w:t>On June 11, 2025, the Yorkville Warrant was amended to update the provisions that would trigger cash settlement such that, when such events occur, the holders of the warrants receive the same form of consideration as the underlying stockholders. Consequently, upon modification, the warrants were revalued and then reclassified to additional paid-in capital on the condensed consolidated balance sh</w:t>
      </w:r>
      <w:r>
        <w:rPr>
          <w:rFonts w:ascii="Times New Roman;serif" w:hAnsi="Times New Roman;serif"/>
          <w:b w:val="false"/>
          <w:color w:val="000000"/>
          <w:sz w:val="20"/>
        </w:rPr>
        <w:t>eets. We</w:t>
      </w:r>
      <w:r>
        <w:rPr>
          <w:color w:val="000000"/>
          <w:shd w:fill="FFFFFF" w:val="clear"/>
        </w:rPr>
        <w:t xml:space="preserve"> </w:t>
      </w:r>
      <w:r>
        <w:rPr>
          <w:rFonts w:ascii="Times New Roman;serif" w:hAnsi="Times New Roman;serif"/>
          <w:b w:val="false"/>
          <w:color w:val="000000"/>
          <w:sz w:val="20"/>
          <w:shd w:fill="FFFFFF" w:val="clear"/>
        </w:rPr>
        <w:t xml:space="preserve">determined the fair value of the Yorkville Warrant using the Black-Scholes Model through the modification. </w:t>
      </w:r>
      <w:r>
        <w:rPr>
          <w:rFonts w:ascii="Times New Roman;serif" w:hAnsi="Times New Roman;serif"/>
          <w:b w:val="false"/>
          <w:color w:val="000000"/>
          <w:sz w:val="20"/>
        </w:rPr>
        <w:t xml:space="preserve">Refer to </w:t>
      </w:r>
      <w:r>
        <w:rPr>
          <w:rFonts w:ascii="Times New Roman;serif" w:hAnsi="Times New Roman;serif"/>
          <w:b w:val="false"/>
          <w:i/>
          <w:color w:val="000000"/>
          <w:sz w:val="20"/>
          <w:shd w:fill="FFFFFF" w:val="clear"/>
        </w:rPr>
        <w:t>Note 5 - Long-Term Debt</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rPr>
        <w:t>Note 8 - Stockholders’ Equity</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Significant assumptions used in the valuation of the fair value of the Yorkville Warrant as of issuance on </w:t>
      </w:r>
      <w:r>
        <w:rPr>
          <w:rFonts w:ascii="Times New Roman;serif" w:hAnsi="Times New Roman;serif"/>
          <w:b w:val="false"/>
          <w:color w:val="000000"/>
          <w:sz w:val="20"/>
        </w:rPr>
        <w:t>February 26, 2025</w:t>
      </w:r>
      <w:r>
        <w:rPr>
          <w:color w:val="000000"/>
          <w:shd w:fill="FFFFFF" w:val="clear"/>
        </w:rPr>
        <w:t xml:space="preserve"> </w:t>
      </w:r>
      <w:r>
        <w:rPr>
          <w:rFonts w:ascii="Times New Roman;serif" w:hAnsi="Times New Roman;serif"/>
          <w:b w:val="false"/>
          <w:color w:val="000000"/>
          <w:sz w:val="20"/>
          <w:shd w:fill="FFFFFF" w:val="clear"/>
        </w:rPr>
        <w:t>and as of the modification on June 11,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40"/>
        <w:jc w:val="left"/>
        <w:rPr/>
      </w:pPr>
      <w:r>
        <w:rPr/>
      </w:r>
    </w:p>
    <w:tbl>
      <w:tblPr>
        <w:tblW w:w="6057" w:type="dxa"/>
        <w:jc w:val="center"/>
        <w:tblInd w:w="0" w:type="dxa"/>
        <w:tblLayout w:type="fixed"/>
        <w:tblCellMar>
          <w:top w:w="28" w:type="dxa"/>
          <w:left w:w="28" w:type="dxa"/>
          <w:bottom w:w="28" w:type="dxa"/>
          <w:right w:w="28" w:type="dxa"/>
        </w:tblCellMar>
      </w:tblPr>
      <w:tblGrid>
        <w:gridCol w:w="989"/>
        <w:gridCol w:w="869"/>
        <w:gridCol w:w="872"/>
        <w:gridCol w:w="357"/>
        <w:gridCol w:w="865"/>
        <w:gridCol w:w="458"/>
        <w:gridCol w:w="109"/>
        <w:gridCol w:w="109"/>
        <w:gridCol w:w="109"/>
        <w:gridCol w:w="268"/>
        <w:gridCol w:w="650"/>
        <w:gridCol w:w="402"/>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11, 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warrant term (years)</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 of return</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annual dividend yield</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activity for the fair value of the Yorkville Warrant during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rPr>
        <w:t xml:space="preserve">June 30, 2025 </w:t>
      </w:r>
      <w:r>
        <w:rPr>
          <w:rFonts w:ascii="Times New Roman;serif" w:hAnsi="Times New Roman;serif"/>
          <w:b w:val="false"/>
          <w:color w:val="000000"/>
          <w:sz w:val="20"/>
          <w:shd w:fill="FFFFFF" w:val="clear"/>
        </w:rPr>
        <w:t xml:space="preserve">was as follows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shd w:fill="FFFFFF" w:val="clear"/>
        </w:rPr>
        <w:t>:</w:t>
      </w:r>
    </w:p>
    <w:tbl>
      <w:tblPr>
        <w:tblW w:w="10205" w:type="dxa"/>
        <w:jc w:val="center"/>
        <w:tblInd w:w="0" w:type="dxa"/>
        <w:tblLayout w:type="fixed"/>
        <w:tblCellMar>
          <w:top w:w="28" w:type="dxa"/>
          <w:left w:w="28" w:type="dxa"/>
          <w:bottom w:w="28" w:type="dxa"/>
          <w:right w:w="28" w:type="dxa"/>
        </w:tblCellMar>
      </w:tblPr>
      <w:tblGrid>
        <w:gridCol w:w="1724"/>
        <w:gridCol w:w="1493"/>
        <w:gridCol w:w="1459"/>
        <w:gridCol w:w="606"/>
        <w:gridCol w:w="1773"/>
        <w:gridCol w:w="313"/>
        <w:gridCol w:w="109"/>
        <w:gridCol w:w="109"/>
        <w:gridCol w:w="109"/>
        <w:gridCol w:w="684"/>
        <w:gridCol w:w="1319"/>
        <w:gridCol w:w="507"/>
      </w:tblGrid>
      <w:tr>
        <w:trPr/>
        <w:tc>
          <w:tcPr>
            <w:tcW w:w="1724"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4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4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Fair value at issuance</w:t>
            </w:r>
          </w:p>
        </w:tc>
        <w:tc>
          <w:tcPr>
            <w:tcW w:w="2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r>
      <w:tr>
        <w:trPr/>
        <w:tc>
          <w:tcPr>
            <w:tcW w:w="4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Change in fair value</w:t>
            </w:r>
          </w:p>
        </w:tc>
        <w:tc>
          <w:tcPr>
            <w:tcW w:w="2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Reclassification of warrant liability upon warrant modification</w:t>
            </w:r>
          </w:p>
        </w:tc>
        <w:tc>
          <w:tcPr>
            <w:tcW w:w="2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Earnout Liability</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fair value of the Merger Earnout Consideration Shares was calculated using a Monte Carlo simulation. The simulation used as significant inputs our management’s then-current assessment of placements of breast scanning systems in 2024 and 2025, likely expected values for revenue from 2024 through 2026, probabilities for regulatory approvals including FDA clearances, and probabilities of other triggering events related to the open angle scanner. Refer to </w:t>
      </w:r>
      <w:r>
        <w:rPr>
          <w:rFonts w:ascii="Times New Roman;serif" w:hAnsi="Times New Roman;serif"/>
          <w:b w:val="false"/>
          <w:i/>
          <w:color w:val="000000"/>
          <w:sz w:val="20"/>
          <w:shd w:fill="FFFFFF" w:val="clear"/>
        </w:rPr>
        <w:t>Note 2 - Business Combination</w:t>
      </w:r>
      <w:r>
        <w:rPr>
          <w:color w:val="000000"/>
          <w:shd w:fill="FFFFFF" w:val="clear"/>
        </w:rPr>
        <w:t xml:space="preserve"> </w:t>
      </w:r>
      <w:r>
        <w:rPr>
          <w:rFonts w:ascii="Times New Roman;serif" w:hAnsi="Times New Roman;serif"/>
          <w:b w:val="false"/>
          <w:color w:val="000000"/>
          <w:sz w:val="20"/>
          <w:shd w:fill="FFFFFF" w:val="clear"/>
        </w:rPr>
        <w:t>for more information.</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Significant assumptions used in the valuation of the fair value of the earnout liability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were as follows:</w:t>
      </w:r>
    </w:p>
    <w:tbl>
      <w:tblPr>
        <w:tblW w:w="6589" w:type="dxa"/>
        <w:jc w:val="center"/>
        <w:tblInd w:w="0" w:type="dxa"/>
        <w:tblLayout w:type="fixed"/>
        <w:tblCellMar>
          <w:top w:w="28" w:type="dxa"/>
          <w:left w:w="28" w:type="dxa"/>
          <w:bottom w:w="28" w:type="dxa"/>
          <w:right w:w="28" w:type="dxa"/>
        </w:tblCellMar>
      </w:tblPr>
      <w:tblGrid>
        <w:gridCol w:w="1086"/>
        <w:gridCol w:w="955"/>
        <w:gridCol w:w="958"/>
        <w:gridCol w:w="271"/>
        <w:gridCol w:w="656"/>
        <w:gridCol w:w="348"/>
        <w:gridCol w:w="109"/>
        <w:gridCol w:w="109"/>
        <w:gridCol w:w="109"/>
        <w:gridCol w:w="109"/>
        <w:gridCol w:w="109"/>
        <w:gridCol w:w="360"/>
        <w:gridCol w:w="871"/>
        <w:gridCol w:w="539"/>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of revenue</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applicable to revenue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premium</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debt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risk spread</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activity for the fair value of the earnout liability for the three and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months ended</w:t>
      </w:r>
      <w:r>
        <w:rPr>
          <w:color w:val="000000"/>
        </w:rPr>
        <w:t xml:space="preserve"> </w:t>
      </w:r>
      <w:r>
        <w:rPr>
          <w:rFonts w:ascii="Times New Roman;serif" w:hAnsi="Times New Roman;serif"/>
          <w:b w:val="false"/>
          <w:color w:val="000000"/>
          <w:sz w:val="20"/>
        </w:rPr>
        <w:t xml:space="preserve">June 30, 2026 and 2025 </w:t>
      </w:r>
      <w:r>
        <w:rPr>
          <w:rFonts w:ascii="Times New Roman;serif" w:hAnsi="Times New Roman;serif"/>
          <w:b w:val="false"/>
          <w:color w:val="000000"/>
          <w:sz w:val="20"/>
          <w:shd w:fill="FFFFFF" w:val="clear"/>
        </w:rPr>
        <w:t xml:space="preserve">was as follows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shd w:fill="FFFFFF" w:val="clear"/>
        </w:rPr>
        <w:t>:</w:t>
      </w:r>
    </w:p>
    <w:tbl>
      <w:tblPr>
        <w:tblW w:w="7143" w:type="dxa"/>
        <w:jc w:val="center"/>
        <w:tblInd w:w="0" w:type="dxa"/>
        <w:tblLayout w:type="fixed"/>
        <w:tblCellMar>
          <w:top w:w="28" w:type="dxa"/>
          <w:left w:w="28" w:type="dxa"/>
          <w:bottom w:w="28" w:type="dxa"/>
          <w:right w:w="28" w:type="dxa"/>
        </w:tblCellMar>
      </w:tblPr>
      <w:tblGrid>
        <w:gridCol w:w="641"/>
        <w:gridCol w:w="563"/>
        <w:gridCol w:w="566"/>
        <w:gridCol w:w="270"/>
        <w:gridCol w:w="789"/>
        <w:gridCol w:w="139"/>
        <w:gridCol w:w="139"/>
        <w:gridCol w:w="139"/>
        <w:gridCol w:w="139"/>
        <w:gridCol w:w="270"/>
        <w:gridCol w:w="597"/>
        <w:gridCol w:w="139"/>
        <w:gridCol w:w="109"/>
        <w:gridCol w:w="109"/>
        <w:gridCol w:w="109"/>
        <w:gridCol w:w="244"/>
        <w:gridCol w:w="715"/>
        <w:gridCol w:w="126"/>
        <w:gridCol w:w="126"/>
        <w:gridCol w:w="126"/>
        <w:gridCol w:w="126"/>
        <w:gridCol w:w="244"/>
        <w:gridCol w:w="540"/>
        <w:gridCol w:w="17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Derivative Liability</w:t>
      </w:r>
    </w:p>
    <w:p>
      <w:pPr>
        <w:pStyle w:val="TextBody"/>
        <w:bidi w:val="0"/>
        <w:spacing w:lineRule="auto" w:line="288" w:before="0" w:after="180"/>
        <w:jc w:val="left"/>
        <w:rPr/>
      </w:pPr>
      <w:r>
        <w:rPr>
          <w:rFonts w:ascii="Times New Roman;serif" w:hAnsi="Times New Roman;serif"/>
          <w:b w:val="false"/>
          <w:color w:val="000000"/>
          <w:sz w:val="20"/>
        </w:rPr>
        <w:t>In March 2024, we recorded a derivative liability related to the Pre-Paid Advance of $10.0 million from Yorkville on March 4, 2024 pursuant to the Standby Equity Purchase Agreement, dated November 15, 2023, between QT Imaging and Yorkville (the “</w:t>
      </w:r>
      <w:r>
        <w:rPr>
          <w:rFonts w:ascii="Times New Roman;serif" w:hAnsi="Times New Roman;serif"/>
          <w:b/>
          <w:i/>
          <w:color w:val="000000"/>
          <w:sz w:val="20"/>
        </w:rPr>
        <w:t>SEPA</w:t>
      </w:r>
      <w:r>
        <w:rPr>
          <w:color w:val="000000"/>
        </w:rPr>
        <w:t>”</w:t>
      </w:r>
      <w:r>
        <w:rPr>
          <w:rFonts w:ascii="Times New Roman;serif" w:hAnsi="Times New Roman;serif"/>
          <w:b w:val="false"/>
          <w:color w:val="000000"/>
          <w:sz w:val="20"/>
        </w:rPr>
        <w:t>). We and Yorkville entered into a Termination Agreement, dated February 26, 2025 (the “</w:t>
      </w:r>
      <w:r>
        <w:rPr>
          <w:rFonts w:ascii="Times New Roman;serif" w:hAnsi="Times New Roman;serif"/>
          <w:b/>
          <w:i/>
          <w:color w:val="000000"/>
          <w:sz w:val="20"/>
        </w:rPr>
        <w:t>Termination Agreement</w:t>
      </w:r>
      <w:r>
        <w:rPr>
          <w:color w:val="000000"/>
        </w:rPr>
        <w:t>”</w:t>
      </w:r>
      <w:r>
        <w:rPr>
          <w:rFonts w:ascii="Times New Roman;serif" w:hAnsi="Times New Roman;serif"/>
          <w:b w:val="false"/>
          <w:color w:val="000000"/>
          <w:sz w:val="20"/>
        </w:rPr>
        <w:t xml:space="preserve">), pursuant to which the parties acknowledged the termination of the SEPA dated November 15, 2023 and the Yorkville Note, effective as of February 26, 2025. As such, on the effective date of the Termination Agreement, the derivative liability related to the Pre-Paid Advance issued on March 4, 2024 pursuant to the SEPA was deemed to be extinguished. We recorded the change in fair value of the derivative liability within the unaudited condensed consolidated statements of operations and comprehensive loss as of the date immediately prior to the effective date of the Termination Agreement. Refer to </w:t>
      </w:r>
      <w:r>
        <w:rPr>
          <w:rFonts w:ascii="Times New Roman;serif" w:hAnsi="Times New Roman;serif"/>
          <w:b w:val="false"/>
          <w:i/>
          <w:color w:val="000000"/>
          <w:sz w:val="20"/>
        </w:rPr>
        <w:t>Note 5 - Long-Term Debt</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assumptions used in the valuation of the fair value of the derivative liability as of February 26, 2025 were as follows:</w:t>
      </w:r>
    </w:p>
    <w:tbl>
      <w:tblPr>
        <w:tblW w:w="4312" w:type="dxa"/>
        <w:jc w:val="center"/>
        <w:tblInd w:w="0" w:type="dxa"/>
        <w:tblLayout w:type="fixed"/>
        <w:tblCellMar>
          <w:top w:w="28" w:type="dxa"/>
          <w:left w:w="28" w:type="dxa"/>
          <w:bottom w:w="28" w:type="dxa"/>
          <w:right w:w="28" w:type="dxa"/>
        </w:tblCellMar>
      </w:tblPr>
      <w:tblGrid>
        <w:gridCol w:w="858"/>
        <w:gridCol w:w="754"/>
        <w:gridCol w:w="757"/>
        <w:gridCol w:w="357"/>
        <w:gridCol w:w="865"/>
        <w:gridCol w:w="458"/>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26,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discount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activity for the fair value of the derivative liability 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2025 </w:t>
      </w:r>
      <w:r>
        <w:rPr>
          <w:rFonts w:ascii="Times New Roman;serif" w:hAnsi="Times New Roman;serif"/>
          <w:b w:val="false"/>
          <w:color w:val="000000"/>
          <w:sz w:val="20"/>
          <w:shd w:fill="FFFFFF" w:val="clear"/>
        </w:rPr>
        <w:t xml:space="preserve">was as follows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shd w:fill="FFFFFF" w:val="clear"/>
        </w:rPr>
        <w:t>:</w:t>
      </w:r>
    </w:p>
    <w:tbl>
      <w:tblPr>
        <w:tblW w:w="6763" w:type="dxa"/>
        <w:jc w:val="center"/>
        <w:tblInd w:w="0" w:type="dxa"/>
        <w:tblLayout w:type="fixed"/>
        <w:tblCellMar>
          <w:top w:w="28" w:type="dxa"/>
          <w:left w:w="28" w:type="dxa"/>
          <w:bottom w:w="28" w:type="dxa"/>
          <w:right w:w="28" w:type="dxa"/>
        </w:tblCellMar>
      </w:tblPr>
      <w:tblGrid>
        <w:gridCol w:w="1402"/>
        <w:gridCol w:w="1230"/>
        <w:gridCol w:w="1237"/>
        <w:gridCol w:w="735"/>
        <w:gridCol w:w="1623"/>
        <w:gridCol w:w="536"/>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 upon Termination Agreement</w:t>
            </w:r>
          </w:p>
        </w:tc>
        <w:tc>
          <w:tcPr>
            <w:tcW w:w="2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2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The extinguishment of the derivative liability of $0.2 million was recorded in other (expense) income, net within the unaudited condensed consolidated statements of operations and comprehensive loss for the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4.Balance Sheet Details</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Inventory</w:t>
      </w:r>
    </w:p>
    <w:p>
      <w:pPr>
        <w:pStyle w:val="TextBody"/>
        <w:bidi w:val="0"/>
        <w:spacing w:lineRule="auto" w:line="288" w:before="0" w:after="180"/>
        <w:jc w:val="left"/>
        <w:rPr/>
      </w:pPr>
      <w:r>
        <w:rPr>
          <w:rFonts w:ascii="Times New Roman;serif" w:hAnsi="Times New Roman;serif"/>
          <w:b w:val="false"/>
          <w:color w:val="000000"/>
          <w:sz w:val="20"/>
        </w:rPr>
        <w:t xml:space="preserve">Inventory consisted of the following as of June 30, 2026 and December 31, 2025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rPr>
        <w:t>:</w:t>
      </w:r>
    </w:p>
    <w:tbl>
      <w:tblPr>
        <w:tblW w:w="4795" w:type="dxa"/>
        <w:jc w:val="center"/>
        <w:tblInd w:w="0" w:type="dxa"/>
        <w:tblLayout w:type="fixed"/>
        <w:tblCellMar>
          <w:top w:w="28" w:type="dxa"/>
          <w:left w:w="28" w:type="dxa"/>
          <w:bottom w:w="28" w:type="dxa"/>
          <w:right w:w="28" w:type="dxa"/>
        </w:tblCellMar>
      </w:tblPr>
      <w:tblGrid>
        <w:gridCol w:w="516"/>
        <w:gridCol w:w="453"/>
        <w:gridCol w:w="456"/>
        <w:gridCol w:w="287"/>
        <w:gridCol w:w="839"/>
        <w:gridCol w:w="148"/>
        <w:gridCol w:w="109"/>
        <w:gridCol w:w="109"/>
        <w:gridCol w:w="109"/>
        <w:gridCol w:w="380"/>
        <w:gridCol w:w="1110"/>
        <w:gridCol w:w="27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5,027 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Prepaid Expenses and Other Current Assets</w:t>
      </w:r>
    </w:p>
    <w:p>
      <w:pPr>
        <w:pStyle w:val="TextBody"/>
        <w:bidi w:val="0"/>
        <w:spacing w:lineRule="auto" w:line="288" w:before="0" w:after="180"/>
        <w:jc w:val="left"/>
        <w:rPr/>
      </w:pPr>
      <w:r>
        <w:rPr>
          <w:rFonts w:ascii="Times New Roman;serif" w:hAnsi="Times New Roman;serif"/>
          <w:b w:val="false"/>
          <w:color w:val="000000"/>
          <w:sz w:val="20"/>
        </w:rPr>
        <w:t xml:space="preserve">Prepaid expenses and other current assets consisted of the following as of June 30, 2026 and December 31, 2025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rPr>
        <w:t>:</w:t>
      </w:r>
    </w:p>
    <w:tbl>
      <w:tblPr>
        <w:tblW w:w="7299" w:type="dxa"/>
        <w:jc w:val="center"/>
        <w:tblInd w:w="0" w:type="dxa"/>
        <w:tblLayout w:type="fixed"/>
        <w:tblCellMar>
          <w:top w:w="28" w:type="dxa"/>
          <w:left w:w="28" w:type="dxa"/>
          <w:bottom w:w="28" w:type="dxa"/>
          <w:right w:w="28" w:type="dxa"/>
        </w:tblCellMar>
      </w:tblPr>
      <w:tblGrid>
        <w:gridCol w:w="1421"/>
        <w:gridCol w:w="1253"/>
        <w:gridCol w:w="1255"/>
        <w:gridCol w:w="287"/>
        <w:gridCol w:w="839"/>
        <w:gridCol w:w="148"/>
        <w:gridCol w:w="109"/>
        <w:gridCol w:w="109"/>
        <w:gridCol w:w="109"/>
        <w:gridCol w:w="448"/>
        <w:gridCol w:w="992"/>
        <w:gridCol w:w="329"/>
      </w:tblGrid>
      <w:tr>
        <w:trPr/>
        <w:tc>
          <w:tcPr>
            <w:tcW w:w="142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Property and Equipment, Net</w:t>
      </w:r>
    </w:p>
    <w:p>
      <w:pPr>
        <w:pStyle w:val="TextBody"/>
        <w:bidi w:val="0"/>
        <w:spacing w:lineRule="auto" w:line="288" w:before="0" w:after="180"/>
        <w:jc w:val="left"/>
        <w:rPr/>
      </w:pPr>
      <w:r>
        <w:rPr>
          <w:rFonts w:ascii="Times New Roman;serif" w:hAnsi="Times New Roman;serif"/>
          <w:b w:val="false"/>
          <w:color w:val="000000"/>
          <w:sz w:val="20"/>
        </w:rPr>
        <w:t xml:space="preserve">Property and equipment, net consisted of the following as of June 30, 2026 and December 31, 2025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rPr>
        <w:t>:</w:t>
      </w:r>
    </w:p>
    <w:tbl>
      <w:tblPr>
        <w:tblW w:w="8826" w:type="dxa"/>
        <w:jc w:val="center"/>
        <w:tblInd w:w="0" w:type="dxa"/>
        <w:tblLayout w:type="fixed"/>
        <w:tblCellMar>
          <w:top w:w="28" w:type="dxa"/>
          <w:left w:w="28" w:type="dxa"/>
          <w:bottom w:w="28" w:type="dxa"/>
          <w:right w:w="28" w:type="dxa"/>
        </w:tblCellMar>
      </w:tblPr>
      <w:tblGrid>
        <w:gridCol w:w="1485"/>
        <w:gridCol w:w="1306"/>
        <w:gridCol w:w="1319"/>
        <w:gridCol w:w="339"/>
        <w:gridCol w:w="339"/>
        <w:gridCol w:w="341"/>
        <w:gridCol w:w="109"/>
        <w:gridCol w:w="109"/>
        <w:gridCol w:w="109"/>
        <w:gridCol w:w="287"/>
        <w:gridCol w:w="839"/>
        <w:gridCol w:w="148"/>
        <w:gridCol w:w="109"/>
        <w:gridCol w:w="109"/>
        <w:gridCol w:w="109"/>
        <w:gridCol w:w="380"/>
        <w:gridCol w:w="1110"/>
        <w:gridCol w:w="279"/>
      </w:tblGrid>
      <w:tr>
        <w:trPr/>
        <w:tc>
          <w:tcPr>
            <w:tcW w:w="148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Scanners</w:t>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lab equipment</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(3,818)</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was $21 thousand and $38 thousand for the three months ended June 30, 2026 and 2025, respectively, and $41 thousand and $76 thousand for the six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Accrued Expenses and Other Current Liabilities</w:t>
      </w:r>
    </w:p>
    <w:p>
      <w:pPr>
        <w:pStyle w:val="TextBody"/>
        <w:bidi w:val="0"/>
        <w:spacing w:lineRule="auto" w:line="288" w:before="0" w:after="180"/>
        <w:jc w:val="left"/>
        <w:rPr/>
      </w:pPr>
      <w:r>
        <w:rPr>
          <w:rFonts w:ascii="Times New Roman;serif" w:hAnsi="Times New Roman;serif"/>
          <w:b w:val="false"/>
          <w:color w:val="000000"/>
          <w:sz w:val="20"/>
        </w:rPr>
        <w:t xml:space="preserve">Accrued expenses and other current liabilities consisted of the following as of June 30, 2026 and December 31, 2025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rPr>
        <w:t>:</w:t>
      </w:r>
    </w:p>
    <w:tbl>
      <w:tblPr>
        <w:tblW w:w="7629" w:type="dxa"/>
        <w:jc w:val="center"/>
        <w:tblInd w:w="0" w:type="dxa"/>
        <w:tblLayout w:type="fixed"/>
        <w:tblCellMar>
          <w:top w:w="28" w:type="dxa"/>
          <w:left w:w="28" w:type="dxa"/>
          <w:bottom w:w="28" w:type="dxa"/>
          <w:right w:w="28" w:type="dxa"/>
        </w:tblCellMar>
      </w:tblPr>
      <w:tblGrid>
        <w:gridCol w:w="1539"/>
        <w:gridCol w:w="1355"/>
        <w:gridCol w:w="1365"/>
        <w:gridCol w:w="287"/>
        <w:gridCol w:w="839"/>
        <w:gridCol w:w="148"/>
        <w:gridCol w:w="109"/>
        <w:gridCol w:w="109"/>
        <w:gridCol w:w="109"/>
        <w:gridCol w:w="380"/>
        <w:gridCol w:w="1110"/>
        <w:gridCol w:w="279"/>
      </w:tblGrid>
      <w:tr>
        <w:trPr/>
        <w:tc>
          <w:tcPr>
            <w:tcW w:w="153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legal</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personnel costs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5.Long-Term Debt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Yorkville Pre-Paid Advance</w:t>
      </w:r>
    </w:p>
    <w:p>
      <w:pPr>
        <w:pStyle w:val="TextBody"/>
        <w:bidi w:val="0"/>
        <w:spacing w:lineRule="auto" w:line="288" w:before="0" w:after="180"/>
        <w:jc w:val="left"/>
        <w:rPr/>
      </w:pPr>
      <w:r>
        <w:rPr>
          <w:rFonts w:ascii="Times New Roman;serif" w:hAnsi="Times New Roman;serif"/>
          <w:b w:val="false"/>
          <w:color w:val="000000"/>
          <w:sz w:val="20"/>
        </w:rPr>
        <w:t>On January 9, 2025, we and Yorkville entered into the Third Omnibus Amendment to the Yorkville Note, (the “</w:t>
      </w:r>
      <w:r>
        <w:rPr>
          <w:rFonts w:ascii="Times New Roman;serif" w:hAnsi="Times New Roman;serif"/>
          <w:b/>
          <w:i/>
          <w:color w:val="000000"/>
          <w:sz w:val="20"/>
        </w:rPr>
        <w:t>Third Amendment</w:t>
      </w:r>
      <w:r>
        <w:rPr>
          <w:color w:val="000000"/>
        </w:rPr>
        <w:t>”</w:t>
      </w:r>
      <w:r>
        <w:rPr>
          <w:rFonts w:ascii="Times New Roman;serif" w:hAnsi="Times New Roman;serif"/>
          <w:b w:val="false"/>
          <w:color w:val="000000"/>
          <w:sz w:val="20"/>
        </w:rPr>
        <w:t>), pursuant to which, we and Yorkville agreed that for $1.5 million of the then current outstanding balance due under the Yorkville Note (principal and unpaid accrued interest), the fixed price for conversion will be modified to $1.752 per share, and for the remainder of the balance, the fixed price will not be changed but will remain $13.84185 per share as provided for in the Yorkville Note when we issued it on March 4, 2024. Further, the Third Amendment removed our obligation to make monthly payments to Yorkville, previously owing due to the occurrence of the Trigger Event, through the maturity date of the Yorkville Note of March 31, 2026. In exchange for this relief, the aggregate purchase price owed to us from the first Advance that occurs pursuant to the terms of the SEPA (the “</w:t>
      </w:r>
      <w:r>
        <w:rPr>
          <w:rFonts w:ascii="Times New Roman;serif" w:hAnsi="Times New Roman;serif"/>
          <w:b/>
          <w:i/>
          <w:color w:val="000000"/>
          <w:sz w:val="20"/>
        </w:rPr>
        <w:t>Advance Proceeds</w:t>
      </w:r>
      <w:r>
        <w:rPr>
          <w:color w:val="000000"/>
        </w:rPr>
        <w:t>”</w:t>
      </w:r>
      <w:r>
        <w:rPr>
          <w:rFonts w:ascii="Times New Roman;serif" w:hAnsi="Times New Roman;serif"/>
          <w:b w:val="false"/>
          <w:color w:val="000000"/>
          <w:sz w:val="20"/>
        </w:rPr>
        <w:t>) will be paid by Yorkville offsetting the amount of the Advance Proceeds against an equal amount outstanding under the Yorkville Note (first towards accrued and unpaid interest, and then towards outstanding principal and the corresponding payment premium in respect of such principal amount, if applicable), and that for any subsequent Advances pursuant to the terms of the SEPA, Yorkville will pay half of such Advance Proceeds directly to us and the other half of such Advance Proceeds will be paid by Yorkville offsetting the amount of the Advance Proceeds against an equal amount outstanding under the Yorkville Note (first towards accrued and unpaid interest, and then towards outstanding principal and the corresponding payment premium in respect of such principal amount, if applicable). On January 9, 2025, we delivered our first Advance Notice as defined under the SEPA for the sale of 295,000 shares of common stock. This resulted in the reduction of an additional $0.2 million in principal of the Yorkville Note.</w:t>
      </w:r>
    </w:p>
    <w:p>
      <w:pPr>
        <w:pStyle w:val="TextBody"/>
        <w:bidi w:val="0"/>
        <w:spacing w:lineRule="auto" w:line="288" w:before="0" w:after="180"/>
        <w:jc w:val="left"/>
        <w:rPr/>
      </w:pPr>
      <w:r>
        <w:rPr>
          <w:rFonts w:ascii="Times New Roman;serif" w:hAnsi="Times New Roman;serif"/>
          <w:b w:val="false"/>
          <w:color w:val="000000"/>
          <w:sz w:val="20"/>
        </w:rPr>
        <w:t xml:space="preserve">On February 26, 2025, we and Yorkville entered into a Termination Agreement, pursuant to which the parties acknowledged the termination of the SEPA effective February 26, 2025. On February 26, 2025, we used a portion of the proceeds of the Lynrock Lake Term Loan to pay Yorkville an amount equal to $3.0 million in cash and issued to Yorkville the Yorkville Warrant to purchase 5,000,071 shares of our common stock at an exercise price of $1.20 per share to fully settle and discharge our obligations under the Yorkville Note and extinguish the Yorkville Note as having been fully performed. As a result of the extinguishment of the Yorkville Note, we recorded an expense of $1.9 million in other expense, net within the unaudited condensed consolidated statements of operations and comprehensive loss for the six months ended June 30, 2025. The Yorkville Warrant was exercisable until February 26, 2030. The fair value of the Yorkville Warrant at issuance amounted to $3.0 million. </w:t>
      </w:r>
      <w:r>
        <w:rPr>
          <w:rFonts w:ascii="Times New Roman;serif" w:hAnsi="Times New Roman;serif"/>
          <w:b w:val="false"/>
          <w:color w:val="000000"/>
          <w:sz w:val="20"/>
          <w:shd w:fill="FFFFFF" w:val="clear"/>
        </w:rPr>
        <w:t>On June 11, 2025, the Yorkville Warrant was amended to update the provisions that would trigger cash settlement such that, when such events occur, the holders of the warrants receive the same form of consideration as the underlying stockholders. Consequently, upon modification, the warrants were revalued and then reclassified to additional paid-in capital on the consolidated balance sh</w:t>
      </w:r>
      <w:r>
        <w:rPr>
          <w:rFonts w:ascii="Times New Roman;serif" w:hAnsi="Times New Roman;serif"/>
          <w:b w:val="false"/>
          <w:color w:val="000000"/>
          <w:sz w:val="20"/>
        </w:rPr>
        <w:t>eets. We</w:t>
      </w:r>
      <w:r>
        <w:rPr>
          <w:color w:val="000000"/>
          <w:shd w:fill="FFFFFF" w:val="clear"/>
        </w:rPr>
        <w:t xml:space="preserve"> </w:t>
      </w:r>
      <w:r>
        <w:rPr>
          <w:rFonts w:ascii="Times New Roman;serif" w:hAnsi="Times New Roman;serif"/>
          <w:b w:val="false"/>
          <w:color w:val="000000"/>
          <w:sz w:val="20"/>
          <w:shd w:fill="FFFFFF" w:val="clear"/>
        </w:rPr>
        <w:t xml:space="preserve">determined the fair value of the Yorkville Warrant using the Black-Scholes Model through the modification. Refer to </w:t>
      </w:r>
      <w:r>
        <w:rPr>
          <w:rFonts w:ascii="Times New Roman;serif" w:hAnsi="Times New Roman;serif"/>
          <w:b w:val="false"/>
          <w:i/>
          <w:color w:val="000000"/>
          <w:sz w:val="20"/>
          <w:shd w:fill="FFFFFF" w:val="clear"/>
        </w:rPr>
        <w:t>Note 3 - Fair Value Measurements</w:t>
      </w:r>
      <w:r>
        <w:rPr>
          <w:color w:val="000000"/>
          <w:shd w:fill="FFFFFF" w:val="clear"/>
        </w:rPr>
        <w:t xml:space="preserve"> </w:t>
      </w:r>
      <w:r>
        <w:rPr>
          <w:rFonts w:ascii="Times New Roman;serif" w:hAnsi="Times New Roman;serif"/>
          <w:b w:val="false"/>
          <w:color w:val="000000"/>
          <w:sz w:val="20"/>
          <w:shd w:fill="FFFFFF" w:val="clear"/>
        </w:rPr>
        <w:t xml:space="preserve">for more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was no amount outstanding for the Yorkville Note. Interest expense, including amortization of debt issuance costs, for the six months ended June 30, 2025 was $0.5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Cable Car Note</w:t>
      </w:r>
    </w:p>
    <w:p>
      <w:pPr>
        <w:pStyle w:val="TextBody"/>
        <w:bidi w:val="0"/>
        <w:spacing w:lineRule="auto" w:line="288" w:before="0" w:after="180"/>
        <w:jc w:val="left"/>
        <w:rPr/>
      </w:pPr>
      <w:r>
        <w:rPr>
          <w:rFonts w:ascii="Times New Roman;serif" w:hAnsi="Times New Roman;serif"/>
          <w:b w:val="false"/>
          <w:color w:val="000000"/>
          <w:sz w:val="20"/>
        </w:rPr>
        <w:t>On January 9, 2025, we and Funicular Funds, LP (“</w:t>
      </w:r>
      <w:r>
        <w:rPr>
          <w:rFonts w:ascii="Times New Roman;serif" w:hAnsi="Times New Roman;serif"/>
          <w:b/>
          <w:i/>
          <w:color w:val="000000"/>
          <w:sz w:val="20"/>
        </w:rPr>
        <w:t>Cable Car</w:t>
      </w:r>
      <w:r>
        <w:rPr>
          <w:color w:val="000000"/>
        </w:rPr>
        <w:t>”</w:t>
      </w:r>
      <w:r>
        <w:rPr>
          <w:rFonts w:ascii="Times New Roman;serif" w:hAnsi="Times New Roman;serif"/>
          <w:b w:val="false"/>
          <w:color w:val="000000"/>
          <w:sz w:val="20"/>
        </w:rPr>
        <w:t>) entered into an Omnibus Amendment (the “</w:t>
      </w:r>
      <w:r>
        <w:rPr>
          <w:rFonts w:ascii="Times New Roman;serif" w:hAnsi="Times New Roman;serif"/>
          <w:b/>
          <w:i/>
          <w:color w:val="000000"/>
          <w:sz w:val="20"/>
        </w:rPr>
        <w:t>Cable Car Amendment</w:t>
      </w:r>
      <w:r>
        <w:rPr>
          <w:color w:val="000000"/>
        </w:rPr>
        <w:t>”</w:t>
      </w:r>
      <w:r>
        <w:rPr>
          <w:rFonts w:ascii="Times New Roman;serif" w:hAnsi="Times New Roman;serif"/>
          <w:b w:val="false"/>
          <w:color w:val="000000"/>
          <w:sz w:val="20"/>
        </w:rPr>
        <w:t>) to amend certain terms of the secured note purchase agreement by and between QT Imaging and Cable Car (the “</w:t>
      </w:r>
      <w:r>
        <w:rPr>
          <w:rFonts w:ascii="Times New Roman;serif" w:hAnsi="Times New Roman;serif"/>
          <w:b/>
          <w:i/>
          <w:color w:val="000000"/>
          <w:sz w:val="20"/>
        </w:rPr>
        <w:t>Cable Car Note</w:t>
      </w:r>
      <w:r>
        <w:rPr>
          <w:color w:val="000000"/>
        </w:rPr>
        <w:t>”</w:t>
      </w:r>
      <w:r>
        <w:rPr>
          <w:rFonts w:ascii="Times New Roman;serif" w:hAnsi="Times New Roman;serif"/>
          <w:b w:val="false"/>
          <w:color w:val="000000"/>
          <w:sz w:val="20"/>
        </w:rPr>
        <w:t>), including a reduction of the conversion price for the Cable Car Note to $1.752 per share. Further, the Cable Car Amendment extended the maturity date for the Cable Car Note to March 31, 2026, in exchange for an extension fee (the “</w:t>
      </w:r>
      <w:r>
        <w:rPr>
          <w:rFonts w:ascii="Times New Roman;serif" w:hAnsi="Times New Roman;serif"/>
          <w:b/>
          <w:i/>
          <w:color w:val="000000"/>
          <w:sz w:val="20"/>
        </w:rPr>
        <w:t>Extension Fee</w:t>
      </w:r>
      <w:r>
        <w:rPr>
          <w:color w:val="000000"/>
        </w:rPr>
        <w:t>”</w:t>
      </w:r>
      <w:r>
        <w:rPr>
          <w:rFonts w:ascii="Times New Roman;serif" w:hAnsi="Times New Roman;serif"/>
          <w:b w:val="false"/>
          <w:color w:val="000000"/>
          <w:sz w:val="20"/>
        </w:rPr>
        <w:t>) of $0.1 million to Cable Car, with such fee being added to the amount due and payable on such maturity date, unless the Cable Car Note is earlier converted pursuant to its terms, in which event the Extension Fee will also be converted. No interest will accrue or be due on the Extension Fee. Pursuant to the Cable Car Amendment, interest will accrue on the outstanding principal balance of the Cable Car Note at an annual rate equal to 6%, with interest being calculated based on a 365-day year and the actual number of days elapsed, to the extent permitted by applicable law. Interest will be due and payable on the maturity date for the Cable Car Note, unless the Cable Car Note is earlier converted pursuant to its terms, in which event such accrued and unpaid interest will also be converted. We recorded the Extension Fee of $0.1 million in other expense, net within the unaudited condensed consolidated statements of operations and comprehensive loss for the six months ended June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February 26, 2025, we used a portion of the proceeds of the Lynrock Lake Term Loan to pay Cable Car an amount equal to the full principal, interest and fees amount of approximately $1.6 million in cash to fully settle and discharge our obligations under the Cable Car Note and extinguish the Cable Car Note as having been fully performed. As a result of the extinguishment of the Cable Car Note, we recorded an expense of $0.1 million in other expense, net within the unaudited condensed consolidated statements of operations and comprehensive loss for the six months ended June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was no amount outstanding for the Cable Car Note. Interest expense, including amortization of debt issuance costs, for the six months ended June 30, 2025 was $36 thousand.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Lynrock Lake Term Loan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2025, we entered into the Lynrock Lake Credit Agreement that provides the Lynrock Lake Term Loan with Lynrock Lake. The Lynrock Lake Credit Agreement is secured by a first priority lien on substantially all of our assets and provides for a term loan in the aggregate principal amount of $10.1 million at an interest rate of 10.0% per annum, compounded quarterly.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Lynrock Lake Term Loan will be repaid on the maturity date in an amount equal to the aggregate principal amount outstanding, together with all accrued and unpaid interest and any outstanding and payable fees.</w:t>
      </w:r>
    </w:p>
    <w:p>
      <w:pPr>
        <w:pStyle w:val="TextBody"/>
        <w:bidi w:val="0"/>
        <w:spacing w:lineRule="auto" w:line="288" w:before="0" w:after="180"/>
        <w:jc w:val="left"/>
        <w:rPr/>
      </w:pPr>
      <w:r>
        <w:rPr>
          <w:rFonts w:ascii="Times New Roman;serif" w:hAnsi="Times New Roman;serif"/>
          <w:b w:val="false"/>
          <w:color w:val="000000"/>
          <w:sz w:val="20"/>
        </w:rPr>
        <w:t>Subject to the payment of the Make-Whole Amount (as defined in the Lynrock Lake Credit Agreement), we may at any time prior to the maturity date optionally prepay the term loan, in full or in part, upon irrevocable written notice of three business days prior to the proposed prepayment; provided that if such prepayment is to be funded with the proceeds of a refinancing or disposition, such notice of prepayment may be revoked if the financing or disposition is not consummated; provided further, that any such prepayment made in connection with, or in anticipation of, a Change of Control (as defined in the Lynrock Lake Credit Agreement) will also be subject to a prepayment premium equal to 20% of the amount of principal being prepaid (the “</w:t>
      </w:r>
      <w:r>
        <w:rPr>
          <w:rFonts w:ascii="Times New Roman;serif" w:hAnsi="Times New Roman;serif"/>
          <w:b/>
          <w:i/>
          <w:color w:val="000000"/>
          <w:sz w:val="20"/>
        </w:rPr>
        <w:t>Prepayment Premium</w:t>
      </w:r>
      <w:r>
        <w:rPr>
          <w:color w:val="000000"/>
        </w:rPr>
        <w:t>”</w:t>
      </w:r>
      <w:r>
        <w:rPr>
          <w:rFonts w:ascii="Times New Roman;serif" w:hAnsi="Times New Roman;serif"/>
          <w:b w:val="false"/>
          <w:color w:val="000000"/>
          <w:sz w:val="2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payment of the Make-Whole Amount (as defined in the Lynrock Lake Credit Agreement), at the option of Lynrock Lake, we will make mandatory repayments of the term loan upon the following occurrences:</w:t>
      </w:r>
    </w:p>
    <w:p>
      <w:pPr>
        <w:pStyle w:val="TextBody"/>
        <w:bidi w:val="0"/>
        <w:spacing w:lineRule="auto" w:line="288" w:before="0" w:after="180"/>
        <w:ind w:left="0" w:right="0" w:hanging="180"/>
        <w:jc w:val="left"/>
        <w:rPr>
          <w:color w:val="000000"/>
        </w:rPr>
      </w:pPr>
      <w:r>
        <w:rPr>
          <w:color w:val="000000"/>
        </w:rPr>
        <w:t>•     </w:t>
      </w:r>
      <w:r>
        <w:rPr>
          <w:rFonts w:ascii="Times New Roman;serif" w:hAnsi="Times New Roman;serif"/>
          <w:b w:val="false"/>
          <w:color w:val="000000"/>
          <w:sz w:val="20"/>
        </w:rPr>
        <w:t>If on any date we or any of our subsidiaries will receive any cash proceeds from any Extraordinary Receipt (as defined in the Lynrock Lake Credit Agreement) in an amount equal to or exceeding $0.3 million in the aggregate, we will prepay the term loan within five business days of receipt of such cash proceeds, in an amount equal to 100% of the cash proceeds of such Extraordinary Receipt (as defined in the Lynrock Lake Credit Agreement);</w:t>
      </w:r>
    </w:p>
    <w:p>
      <w:pPr>
        <w:pStyle w:val="TextBody"/>
        <w:bidi w:val="0"/>
        <w:spacing w:lineRule="auto" w:line="288" w:before="0" w:after="180"/>
        <w:ind w:left="0" w:right="0" w:hanging="180"/>
        <w:jc w:val="left"/>
        <w:rPr>
          <w:color w:val="000000"/>
        </w:rPr>
      </w:pPr>
      <w:r>
        <w:rPr>
          <w:color w:val="000000"/>
        </w:rPr>
        <w:t>•    </w:t>
      </w:r>
      <w:r>
        <w:rPr>
          <w:rFonts w:ascii="Times New Roman;serif" w:hAnsi="Times New Roman;serif"/>
          <w:b w:val="false"/>
          <w:color w:val="000000"/>
          <w:sz w:val="20"/>
        </w:rPr>
        <w:t>If any indebtedness will be incurred by us or any subsidiary thereof (excluding any indebtedness that the Lynrock Lake Credit Agreement permits us to incur), an amount equal to 100% of the net cash proceeds thereof will be applied on the date of incurrence or receipt toward the prepayment of the term loan;</w:t>
      </w:r>
    </w:p>
    <w:p>
      <w:pPr>
        <w:pStyle w:val="TextBody"/>
        <w:bidi w:val="0"/>
        <w:spacing w:lineRule="auto" w:line="288" w:before="0" w:after="180"/>
        <w:ind w:left="0" w:right="0" w:hanging="180"/>
        <w:jc w:val="left"/>
        <w:rPr>
          <w:color w:val="000000"/>
        </w:rPr>
      </w:pPr>
      <w:r>
        <w:rPr>
          <w:color w:val="000000"/>
        </w:rPr>
        <w:t>•     </w:t>
      </w:r>
      <w:r>
        <w:rPr>
          <w:rFonts w:ascii="Times New Roman;serif" w:hAnsi="Times New Roman;serif"/>
          <w:b w:val="false"/>
          <w:color w:val="000000"/>
          <w:sz w:val="20"/>
        </w:rPr>
        <w:t xml:space="preserve">If on any date we or any of our subsidiaries will receive net cash proceeds in an amount equal to or exceeding (i) $0.3 million in any single transaction or series of related transactions or (ii) $0.3 million in the aggregate for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transactions during the term of the Lynrock Lake Credit Agreement from any Asset Sale (as defined in the Lynrock Lake Credit Agreement) or Recovery Event (as defined in the Lynrock Lake Credit Agreement) then we or such subsidiary will prepay the term loan, on or prior to the date which is five business days after the date of the realization or receipt by us or subsidiary in an amount equal to 100% of such proceeds; and</w:t>
      </w:r>
    </w:p>
    <w:p>
      <w:pPr>
        <w:pStyle w:val="TextBody"/>
        <w:bidi w:val="0"/>
        <w:spacing w:lineRule="auto" w:line="288" w:before="0" w:after="180"/>
        <w:ind w:left="0" w:right="0" w:hanging="180"/>
        <w:jc w:val="left"/>
        <w:rPr>
          <w:color w:val="000000"/>
        </w:rPr>
      </w:pPr>
      <w:r>
        <w:rPr>
          <w:color w:val="000000"/>
        </w:rPr>
        <w:t>•     </w:t>
      </w:r>
      <w:r>
        <w:rPr>
          <w:rFonts w:ascii="Times New Roman;serif" w:hAnsi="Times New Roman;serif"/>
          <w:b w:val="false"/>
          <w:color w:val="000000"/>
          <w:sz w:val="20"/>
        </w:rPr>
        <w:t>Subject to the payment of the Prepayment Premium in addition to the Make-Whole Amount (as defined in the Lynrock Lake Credit Agreement), in the event that a Change of Control (as defined in the Lynrock Lake Credit Agreement) will occur, we will prepay all of the outstanding term loan, on or prior to the date which is two business days after the date of such Change of Control (as defined in the Lynrock Lake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are no requirements to make any prepayment in the event that we sell any of our capital stock. In addition, at the option of Lynrock Lake, we will also make mandatory repayments of the term loan on a monthly basis, no later than five business days after the end of each month (provided that such date for payment is prior to the maturity date), if we or our subsidiaries receive payment of accounts receivable on or after January 1, 2026, in an amount equal to 15% of the aggregate amount of payments of accounts receivable actually received during such prior month, net of any cost of collection incurred not in the ordinary course of business. No Make-Whole Amount (as defined in the Lynrock Lake Credit Agreement) or Prepayment Premium is due or payable on any such mandatory prepayment as a result of receipt of accounts receivable on or after January 1, 2026. As of June 30, 2026, Lynrock Lake has not elected the repayment option in the amount equal to 15% of the aggregate amount of payments of accounts receivable actually received on or after January 1, 2026.</w:t>
      </w:r>
    </w:p>
    <w:p>
      <w:pPr>
        <w:pStyle w:val="TextBody"/>
        <w:bidi w:val="0"/>
        <w:spacing w:lineRule="auto" w:line="288" w:before="0" w:after="180"/>
        <w:jc w:val="left"/>
        <w:rPr/>
      </w:pPr>
      <w:r>
        <w:rPr>
          <w:rFonts w:ascii="Times New Roman;serif" w:hAnsi="Times New Roman;serif"/>
          <w:b w:val="false"/>
          <w:color w:val="000000"/>
          <w:sz w:val="20"/>
          <w:shd w:fill="FFFFFF" w:val="clear"/>
        </w:rPr>
        <w:t>In connection with the Lynrock Lake Term Loan, we issued to Lynrock Lake the Lynrock Lake Warrant to purchase 20,333,623 shares of common stock at an exercise price of $1.20</w:t>
      </w:r>
      <w:r>
        <w:rPr>
          <w:color w:val="000000"/>
        </w:rPr>
        <w:t xml:space="preserve"> </w:t>
      </w:r>
      <w:r>
        <w:rPr>
          <w:rFonts w:ascii="Times New Roman;serif" w:hAnsi="Times New Roman;serif"/>
          <w:b w:val="false"/>
          <w:color w:val="000000"/>
          <w:sz w:val="20"/>
        </w:rPr>
        <w:t xml:space="preserve">per share. The Lynrock Lake Warrant is also subject to anti-dilution adjustments to the exercise price and the number of shares which may be purchased upon exercise of the Lynrock Lake Warrant in the event that we issue shares of common stock (or derivative securities) at a price that is either less than the $1.0002 exercise price or the fair market value of a share of common stock from the immediately prior trading day. Upon the closing of the October 2025 Private Placement, the number of shares which may be purchased upon exercise of the Lynrock Lake Warrant and the per share exercise price were adjusted to 24,396,416 and $1.0002, respectively. Upon the closing of the May 2026 Public Offering, the number of shares which may be purchased upon exercise of the Lynrock Lake Warrant and the per share exercise price were adjusted to 25,313,508 and $0.9639, respectively. Lynrock Lake may cashless exercise the Lynrock Lake Warrant. The Lynrock Lake Warrant is exercisable until February 26, 2035. The fair value of the Lynrock Lake Warrant at issuance amounted to $16.5 million. </w:t>
      </w:r>
      <w:r>
        <w:rPr>
          <w:rFonts w:ascii="Times New Roman;serif" w:hAnsi="Times New Roman;serif"/>
          <w:b w:val="false"/>
          <w:color w:val="000000"/>
          <w:sz w:val="20"/>
          <w:shd w:fill="FFFFFF" w:val="clear"/>
        </w:rPr>
        <w:t xml:space="preserve">On June 11, 2025, the Lynrock Lake Warrant was amended to update the provisions that would trigger cash settlement such that, when such events occur, the holders of the warrants receive the same form of consideration as the underlying stockholders. As equity classification is permitted for an instrument that requires net-cash settlement if the holders of the contract’s underlying </w:t>
      </w:r>
      <w:r>
        <w:rPr>
          <w:rFonts w:ascii="Times New Roman;serif" w:hAnsi="Times New Roman;serif"/>
          <w:b w:val="false"/>
          <w:color w:val="000000"/>
          <w:sz w:val="20"/>
        </w:rPr>
        <w:t xml:space="preserve">shares receive the same form of consideration in transactions outside our control, consequently the warrants were revalued and then reclassified to additional paid-in capital on the consolidated balance sheet upon modification. We determined the fair value of the Lynrock Lake Warrant using the Black-Scholes pricing model through the modification. </w:t>
      </w: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shd w:fill="FFFFFF" w:val="clear"/>
        </w:rPr>
        <w:t>Note 3 - Fair Value Measurements</w:t>
      </w:r>
      <w:r>
        <w:rPr>
          <w:color w:val="000000"/>
          <w:shd w:fill="FFFFFF" w:val="clear"/>
        </w:rPr>
        <w:t xml:space="preserve"> </w:t>
      </w:r>
      <w:r>
        <w:rPr>
          <w:rFonts w:ascii="Times New Roman;serif" w:hAnsi="Times New Roman;serif"/>
          <w:b w:val="false"/>
          <w:color w:val="000000"/>
          <w:sz w:val="20"/>
          <w:shd w:fill="FFFFFF" w:val="clear"/>
        </w:rPr>
        <w:t>for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Upon issuance of the Lynrock Lake Term Loan, we recorded a loss of $6.6 million, including debt issuance costs of $0.2 million, in other expense, net within the unaudited condensed consolidated statements of operations and comprehensive loss for the six months ended June 30, 2025. </w:t>
      </w:r>
    </w:p>
    <w:p>
      <w:pPr>
        <w:pStyle w:val="TextBody"/>
        <w:bidi w:val="0"/>
        <w:spacing w:lineRule="auto" w:line="288" w:before="0" w:after="180"/>
        <w:jc w:val="left"/>
        <w:rPr/>
      </w:pPr>
      <w:r>
        <w:rPr>
          <w:rFonts w:ascii="Times New Roman;serif" w:hAnsi="Times New Roman;serif"/>
          <w:b w:val="false"/>
          <w:color w:val="000000"/>
          <w:sz w:val="20"/>
        </w:rPr>
        <w:t>On August 26, 2025, we and Lynrock Lake entered into the Lynrock Lake First Amended Credit Agreement to add an additional tranche of $5.0 million (“</w:t>
      </w:r>
      <w:r>
        <w:rPr>
          <w:rFonts w:ascii="Times New Roman;serif" w:hAnsi="Times New Roman;serif"/>
          <w:b/>
          <w:i/>
          <w:color w:val="000000"/>
          <w:sz w:val="20"/>
        </w:rPr>
        <w:t>Tranche B</w:t>
      </w:r>
      <w:r>
        <w:rPr>
          <w:color w:val="000000"/>
        </w:rPr>
        <w:t>”</w:t>
      </w:r>
      <w:r>
        <w:rPr>
          <w:rFonts w:ascii="Times New Roman;serif" w:hAnsi="Times New Roman;serif"/>
          <w:b w:val="false"/>
          <w:color w:val="000000"/>
          <w:sz w:val="20"/>
        </w:rPr>
        <w:t>) to the loan and increase the aggregate principal amount of the Lynrock Lake Term Loan to $15.1 million. The proceeds of Tranche B were used to repurchase the Yorkville Warrant. Tranche B was subject to the Tranche B Premium equal to 6% multiplied by the sum of (i) the principal of Tranche B being repaid plus (ii) all related accrued and unpaid interest. Subject to the payment of the Make-Whole Amount, if we received Net Cash Proceeds (as defined in the Lynrock Lake Credit Agreement) from any sale or issuance of our common stock, then we will, at the option of Lynrock Lake, prepay, or cause to be prepaid, Tranche B on or prior to the date which is thirty days after the date of the receipt by us of such Net Cash Proceeds in an amount equal to the lesser of (i) 100% of such Net Cash Proceeds or (ii) the principal amount of Tranche B on such date of prepayment, together with all accrued and unpaid interest thereon and any outstanding fees or premium, if any, payable in accordance with the Lynrock Lake Term Loan. Additionally, in connection with any mandatory prepayment of Tranche B on or prior to December 31, 2025, such mandatory prepayment will be subject to the payment of the Tranche B Premium instead of the Make-Whole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October 6, 2025, we repaid the $5.0 million under Tranche B of the Lynrock Lake Term Loan, plus accrued interest and the Tranche B Premium, with a portion of the proceeds from the October 2025 Private Placement.</w:t>
      </w:r>
    </w:p>
    <w:p>
      <w:pPr>
        <w:pStyle w:val="TextBody"/>
        <w:bidi w:val="0"/>
        <w:spacing w:lineRule="auto" w:line="288" w:before="0" w:after="180"/>
        <w:jc w:val="left"/>
        <w:rPr/>
      </w:pPr>
      <w:r>
        <w:rPr>
          <w:rFonts w:ascii="Times New Roman;serif" w:hAnsi="Times New Roman;serif"/>
          <w:b w:val="false"/>
          <w:color w:val="000000"/>
          <w:sz w:val="20"/>
        </w:rPr>
        <w:t>On May 12, 2026, we and Lynrock Lake entered into the Lynrock Lake Second Amended Credit Agreement</w:t>
      </w:r>
      <w:r>
        <w:rPr>
          <w:color w:val="000000"/>
        </w:rPr>
        <w:t xml:space="preserve"> </w:t>
      </w:r>
      <w:r>
        <w:rPr>
          <w:rFonts w:ascii="Times New Roman;serif" w:hAnsi="Times New Roman;serif"/>
          <w:b w:val="false"/>
          <w:color w:val="000000"/>
          <w:sz w:val="20"/>
        </w:rPr>
        <w:t>to extend the maturity date of the Lynrock Lake Term Loan from March 31, 2027 to March 31, 2029, and to increase the interest rate from 10% to 12% per annum. The modification of the Lynrock Lake Term Loan was accounted for as an extinguishment of debt. Accordingly, we derecognized the existing term loan and recognized a new debt instrument. During the three and six months ended June 30, 2026, we recognized a loss on debt extinguishment and modification of $8.3 million primarily related to the write-off of unamortized debt discount, which is included in loss on debt extinguishment and modification in the unaudited condensed consolidated statements of operations and comprehensive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outstanding amount of the Lynrock Lake Term Loan was $11.4 million and accrued interest was $0.2 million within other liabilities on the condensed consolidated balance sheet. Interest expense, including amortization of debt issuance costs, was $0.8 million and $0.3 million for the three months ended June 30, 2026 and 2025, respectively, and $1.7 million and $0.4 million for the six months ended June 30, 2026 and 2025, respectively.</w:t>
      </w:r>
    </w:p>
    <w:p>
      <w:pPr>
        <w:pStyle w:val="TextBody"/>
        <w:bidi w:val="0"/>
        <w:spacing w:lineRule="auto" w:line="288" w:before="0" w:after="180"/>
        <w:jc w:val="left"/>
        <w:rPr/>
      </w:pPr>
      <w:r>
        <w:rPr>
          <w:rFonts w:ascii="Times New Roman;serif" w:hAnsi="Times New Roman;serif"/>
          <w:b w:val="false"/>
          <w:color w:val="000000"/>
          <w:sz w:val="20"/>
        </w:rPr>
        <w:t xml:space="preserve">Future principal payments on the long-term debt as of June 30, 2026 are as follows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rPr>
        <w:t>:</w:t>
      </w:r>
    </w:p>
    <w:tbl>
      <w:tblPr>
        <w:tblW w:w="3366" w:type="dxa"/>
        <w:jc w:val="center"/>
        <w:tblInd w:w="0" w:type="dxa"/>
        <w:tblLayout w:type="fixed"/>
        <w:tblCellMar>
          <w:top w:w="28" w:type="dxa"/>
          <w:left w:w="28" w:type="dxa"/>
          <w:bottom w:w="28" w:type="dxa"/>
          <w:right w:w="28" w:type="dxa"/>
        </w:tblCellMar>
      </w:tblPr>
      <w:tblGrid>
        <w:gridCol w:w="825"/>
        <w:gridCol w:w="725"/>
        <w:gridCol w:w="730"/>
        <w:gridCol w:w="211"/>
        <w:gridCol w:w="72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February 2026, we obtained waivers from Lynrock Lake in connection with debt covenant non-compliance related to the first three quarters of 2025. We were in compliance with the debt covenant covered by the Lynrock Lake Term Loan for the fourth quarter of 2025 and first six months of 2026. The Lynrock Lake Term Loan has been classified as a noncurrent liability on the unaudited condensed consolidated balance sheets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6.Leases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lease our operating facilities in Novato, California, under a non-cancelable operating lease through May 31, 2027. There are no options or rights to extend the term of this lease.</w:t>
      </w:r>
    </w:p>
    <w:p>
      <w:pPr>
        <w:pStyle w:val="TextBody"/>
        <w:bidi w:val="0"/>
        <w:spacing w:lineRule="auto" w:line="288" w:before="0" w:after="180"/>
        <w:jc w:val="left"/>
        <w:rPr/>
      </w:pPr>
      <w:r>
        <w:rPr>
          <w:rFonts w:ascii="Times New Roman;serif" w:hAnsi="Times New Roman;serif"/>
          <w:b w:val="false"/>
          <w:color w:val="000000"/>
          <w:sz w:val="20"/>
        </w:rPr>
        <w:t>The following table reflects our operating lease right-of-use (“</w:t>
      </w:r>
      <w:r>
        <w:rPr>
          <w:rFonts w:ascii="Times New Roman;serif" w:hAnsi="Times New Roman;serif"/>
          <w:b/>
          <w:i/>
          <w:color w:val="000000"/>
          <w:sz w:val="20"/>
        </w:rPr>
        <w:t>ROU”</w:t>
      </w:r>
      <w:r>
        <w:rPr>
          <w:rFonts w:ascii="Times New Roman;serif" w:hAnsi="Times New Roman;serif"/>
          <w:b w:val="false"/>
          <w:color w:val="000000"/>
          <w:sz w:val="20"/>
        </w:rPr>
        <w:t xml:space="preserve">) assets, net and operating lease liabilities as of June 30, 2026 and December 31, 2025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rPr>
        <w:t>:</w:t>
      </w:r>
    </w:p>
    <w:tbl>
      <w:tblPr>
        <w:tblW w:w="6549" w:type="dxa"/>
        <w:jc w:val="center"/>
        <w:tblInd w:w="0" w:type="dxa"/>
        <w:tblLayout w:type="fixed"/>
        <w:tblCellMar>
          <w:top w:w="28" w:type="dxa"/>
          <w:left w:w="28" w:type="dxa"/>
          <w:bottom w:w="28" w:type="dxa"/>
          <w:right w:w="28" w:type="dxa"/>
        </w:tblCellMar>
      </w:tblPr>
      <w:tblGrid>
        <w:gridCol w:w="1148"/>
        <w:gridCol w:w="1010"/>
        <w:gridCol w:w="1021"/>
        <w:gridCol w:w="342"/>
        <w:gridCol w:w="756"/>
        <w:gridCol w:w="176"/>
        <w:gridCol w:w="109"/>
        <w:gridCol w:w="109"/>
        <w:gridCol w:w="109"/>
        <w:gridCol w:w="448"/>
        <w:gridCol w:w="992"/>
        <w:gridCol w:w="329"/>
      </w:tblGrid>
      <w:tr>
        <w:trPr/>
        <w:tc>
          <w:tcPr>
            <w:tcW w:w="114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net</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 xml:space="preserve">The following table presents supplemental cash flow information related to our operating leases for the three and six months ended June 30, 2026 and 2025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rPr>
        <w:t>:</w:t>
      </w:r>
    </w:p>
    <w:tbl>
      <w:tblPr>
        <w:tblW w:w="9285" w:type="dxa"/>
        <w:jc w:val="center"/>
        <w:tblInd w:w="0" w:type="dxa"/>
        <w:tblLayout w:type="fixed"/>
        <w:tblCellMar>
          <w:top w:w="28" w:type="dxa"/>
          <w:left w:w="28" w:type="dxa"/>
          <w:bottom w:w="28" w:type="dxa"/>
          <w:right w:w="28" w:type="dxa"/>
        </w:tblCellMar>
      </w:tblPr>
      <w:tblGrid>
        <w:gridCol w:w="1298"/>
        <w:gridCol w:w="1140"/>
        <w:gridCol w:w="1147"/>
        <w:gridCol w:w="109"/>
        <w:gridCol w:w="109"/>
        <w:gridCol w:w="109"/>
        <w:gridCol w:w="291"/>
        <w:gridCol w:w="644"/>
        <w:gridCol w:w="150"/>
        <w:gridCol w:w="150"/>
        <w:gridCol w:w="150"/>
        <w:gridCol w:w="150"/>
        <w:gridCol w:w="291"/>
        <w:gridCol w:w="644"/>
        <w:gridCol w:w="150"/>
        <w:gridCol w:w="109"/>
        <w:gridCol w:w="109"/>
        <w:gridCol w:w="109"/>
        <w:gridCol w:w="263"/>
        <w:gridCol w:w="582"/>
        <w:gridCol w:w="136"/>
        <w:gridCol w:w="136"/>
        <w:gridCol w:w="136"/>
        <w:gridCol w:w="136"/>
        <w:gridCol w:w="263"/>
        <w:gridCol w:w="582"/>
        <w:gridCol w:w="192"/>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As of June 30, 2026, the maturity of operating lease liabilities was as follows </w:t>
      </w:r>
      <w:r>
        <w:rPr>
          <w:rFonts w:ascii="Times New Roman;serif" w:hAnsi="Times New Roman;serif"/>
          <w:b w:val="false"/>
          <w:i/>
          <w:color w:val="000000"/>
          <w:sz w:val="20"/>
          <w:shd w:fill="FFFFFF" w:val="clear"/>
        </w:rPr>
        <w:t>(in thousands)</w:t>
      </w:r>
      <w:r>
        <w:rPr>
          <w:rFonts w:ascii="Times New Roman;serif" w:hAnsi="Times New Roman;serif"/>
          <w:b w:val="false"/>
          <w:color w:val="000000"/>
          <w:sz w:val="20"/>
        </w:rPr>
        <w:t>:</w:t>
      </w:r>
    </w:p>
    <w:tbl>
      <w:tblPr>
        <w:tblW w:w="3912" w:type="dxa"/>
        <w:jc w:val="center"/>
        <w:tblInd w:w="0" w:type="dxa"/>
        <w:tblLayout w:type="fixed"/>
        <w:tblCellMar>
          <w:top w:w="28" w:type="dxa"/>
          <w:left w:w="28" w:type="dxa"/>
          <w:bottom w:w="28" w:type="dxa"/>
          <w:right w:w="28" w:type="dxa"/>
        </w:tblCellMar>
      </w:tblPr>
      <w:tblGrid>
        <w:gridCol w:w="863"/>
        <w:gridCol w:w="758"/>
        <w:gridCol w:w="763"/>
        <w:gridCol w:w="211"/>
        <w:gridCol w:w="466"/>
        <w:gridCol w:w="851"/>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ind w:left="0" w:right="0" w:firstLine="720"/>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851"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weighted-average remaining lease term was 0.9 years and the weighted-average discount rate was 8%. As of December 31, 2025, the weighted-average remaining lease term was 1.4 years and the weighted-average discount rate was 8%.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lease expenses for each of the three months ended June 30, 2026 and 2025 was $0.1 million, of which $6 thousand was related to leases with a term of less than 12 months. Operating lease expenses for the six months ended June 30, 2026 and 2025 was $0.2 million, of which $12 thousand and $11 thousand, respectively, was related to leases with a term of less than 12 months.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June 10, 2026, we entered into a lease agreement with MKDP Redwood, LLC, to lease a facility of approximately 21,942 sq. ft. in Petaluma, California. The lease term is approximately four years commencing in the third quarter of 2026 and ending on September 15, 2030, with an option to extend an additional sixty months. Total base rent under this lease is approximately $1.8 million. A ROU asset and an operating lease liability will be recorded upon the lease commencement date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7.Contingencies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occasional lawsuits, investigations, and claims arising out of the normal conduct of business. As of the date the unaudited condensed consolidated financial statements were available to be issued, management is not aware of any pending claims that will have a material impact on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8.Stockholders’ Equity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Common Stock Reserved for Future Issuance</w:t>
      </w:r>
    </w:p>
    <w:p>
      <w:pPr>
        <w:pStyle w:val="TextBody"/>
        <w:bidi w:val="0"/>
        <w:spacing w:lineRule="auto" w:line="288" w:before="0" w:after="180"/>
        <w:jc w:val="left"/>
        <w:rPr/>
      </w:pPr>
      <w:r>
        <w:rPr>
          <w:rFonts w:ascii="Times New Roman;serif" w:hAnsi="Times New Roman;serif"/>
          <w:b w:val="false"/>
          <w:color w:val="000000"/>
          <w:sz w:val="20"/>
        </w:rPr>
        <w:t xml:space="preserve">Common stock reserved for future issuance as of June 30, 2026 was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7514" w:type="dxa"/>
        <w:jc w:val="center"/>
        <w:tblInd w:w="0" w:type="dxa"/>
        <w:tblLayout w:type="fixed"/>
        <w:tblCellMar>
          <w:top w:w="28" w:type="dxa"/>
          <w:left w:w="28" w:type="dxa"/>
          <w:bottom w:w="28" w:type="dxa"/>
          <w:right w:w="28" w:type="dxa"/>
        </w:tblCellMar>
      </w:tblPr>
      <w:tblGrid>
        <w:gridCol w:w="2239"/>
        <w:gridCol w:w="1970"/>
        <w:gridCol w:w="1986"/>
        <w:gridCol w:w="384"/>
        <w:gridCol w:w="384"/>
        <w:gridCol w:w="551"/>
      </w:tblGrid>
      <w:tr>
        <w:trPr/>
        <w:tc>
          <w:tcPr>
            <w:tcW w:w="2239"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warrants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under the 2024 Incentive Plan</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Restricted stock units (“</w:t>
            </w:r>
            <w:r>
              <w:rPr>
                <w:rFonts w:ascii="Times New Roman;serif" w:hAnsi="Times New Roman;serif"/>
                <w:b/>
                <w:i/>
                <w:color w:val="000000"/>
                <w:sz w:val="20"/>
              </w:rPr>
              <w:t>RSUs</w:t>
            </w:r>
            <w:r>
              <w:rPr>
                <w:color w:val="000000"/>
              </w:rPr>
              <w:t>”</w:t>
            </w:r>
            <w:r>
              <w:rPr>
                <w:rFonts w:ascii="Times New Roman;serif" w:hAnsi="Times New Roman;serif"/>
                <w:b w:val="false"/>
                <w:color w:val="000000"/>
                <w:sz w:val="20"/>
              </w:rPr>
              <w:t>) outstanding under the 2024 Incentive Plan</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Awards available under the 2024 Incentive Plan</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under the Inducement Equity Incentive Plan</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 under the Inducement Equity Incentive Plan</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merger earnout consideration shares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shares from convertible notes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44,513 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Warrants (Public Warrants, Private Warrants, Working Capital Note Warrants, PIPE Warrants, Lynrock Lake Warrant, and Yorkville Warrant)</w:t>
      </w:r>
    </w:p>
    <w:p>
      <w:pPr>
        <w:pStyle w:val="TextBody"/>
        <w:bidi w:val="0"/>
        <w:spacing w:lineRule="auto" w:line="288" w:before="0" w:after="180"/>
        <w:jc w:val="left"/>
        <w:rPr/>
      </w:pPr>
      <w:r>
        <w:rPr>
          <w:rFonts w:ascii="Times New Roman;serif" w:hAnsi="Times New Roman;serif"/>
          <w:b w:val="false"/>
          <w:color w:val="000000"/>
          <w:sz w:val="20"/>
        </w:rPr>
        <w:t xml:space="preserve">As of June 30, 2026 and December 31, 2025, there were </w:t>
      </w:r>
      <w:r>
        <w:rPr>
          <w:rFonts w:ascii="Times New Roman;serif" w:hAnsi="Times New Roman;serif"/>
          <w:b w:val="false"/>
          <w:color w:val="000000"/>
          <w:sz w:val="20"/>
          <w:shd w:fill="FFFFFF" w:val="clear"/>
        </w:rPr>
        <w:t>Public Warrants, Private Warrants, and Working Capital Note Warrants to purchase</w:t>
      </w:r>
      <w:r>
        <w:rPr>
          <w:color w:val="000000"/>
        </w:rPr>
        <w:t xml:space="preserve"> </w:t>
      </w:r>
      <w:r>
        <w:rPr>
          <w:rFonts w:ascii="Times New Roman;serif" w:hAnsi="Times New Roman;serif"/>
          <w:b w:val="false"/>
          <w:color w:val="000000"/>
          <w:sz w:val="20"/>
        </w:rPr>
        <w:t xml:space="preserve">7,882,807 shares of common stock </w:t>
      </w:r>
      <w:r>
        <w:rPr>
          <w:rFonts w:ascii="Times New Roman;serif" w:hAnsi="Times New Roman;serif"/>
          <w:b w:val="false"/>
          <w:color w:val="000000"/>
          <w:sz w:val="20"/>
          <w:shd w:fill="FFFFFF" w:val="clear"/>
        </w:rPr>
        <w:t>(collectively, the “</w:t>
      </w:r>
      <w:r>
        <w:rPr>
          <w:rFonts w:ascii="Times New Roman;serif" w:hAnsi="Times New Roman;serif"/>
          <w:b/>
          <w:i/>
          <w:color w:val="000000"/>
          <w:sz w:val="20"/>
          <w:shd w:fill="FFFFFF" w:val="clear"/>
        </w:rPr>
        <w:t>PubCo Warrants</w:t>
      </w:r>
      <w:r>
        <w:rPr>
          <w:color w:val="000000"/>
          <w:shd w:fill="FFFFFF" w:val="clear"/>
        </w:rPr>
        <w:t>”</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outstanding with an exercise price of $6.90 per warrant and expiring on March 4, 2029, </w:t>
      </w:r>
      <w:r>
        <w:rPr>
          <w:rFonts w:ascii="Times New Roman;serif" w:hAnsi="Times New Roman;serif"/>
          <w:b w:val="false"/>
          <w:color w:val="000000"/>
          <w:sz w:val="20"/>
          <w:shd w:fill="FFFFFF" w:val="clear"/>
        </w:rPr>
        <w:t>pursuant to the terms of the warrant agreement governing such warrants (the “</w:t>
      </w:r>
      <w:r>
        <w:rPr>
          <w:rFonts w:ascii="Times New Roman;serif" w:hAnsi="Times New Roman;serif"/>
          <w:b/>
          <w:i/>
          <w:color w:val="000000"/>
          <w:sz w:val="20"/>
          <w:shd w:fill="FFFFFF" w:val="clear"/>
        </w:rPr>
        <w:t>Warrant Agreement”).</w:t>
      </w:r>
    </w:p>
    <w:p>
      <w:pPr>
        <w:pStyle w:val="TextBody"/>
        <w:bidi w:val="0"/>
        <w:spacing w:lineRule="auto" w:line="288" w:before="0" w:after="180"/>
        <w:jc w:val="left"/>
        <w:rPr/>
      </w:pPr>
      <w:r>
        <w:rPr>
          <w:rFonts w:ascii="Times New Roman;serif" w:hAnsi="Times New Roman;serif"/>
          <w:b w:val="false"/>
          <w:color w:val="000000"/>
          <w:sz w:val="20"/>
        </w:rPr>
        <w:t>On April 9, 2025, we entered into the First Securities Purchase Agreement between us, on the one hand, and Dr. Avi Katz, the Chairman of our Board of Directors, and Dr. Raluca Dinu, the Chief Executive Officer and a member of our Board of Directors, on the other hand (the “</w:t>
      </w:r>
      <w:r>
        <w:rPr>
          <w:rFonts w:ascii="Times New Roman;serif" w:hAnsi="Times New Roman;serif"/>
          <w:b/>
          <w:i/>
          <w:color w:val="000000"/>
          <w:sz w:val="20"/>
        </w:rPr>
        <w:t>April 2025 Private Placement</w:t>
      </w:r>
      <w:r>
        <w:rPr>
          <w:color w:val="000000"/>
        </w:rPr>
        <w:t>”</w:t>
      </w:r>
      <w:r>
        <w:rPr>
          <w:rFonts w:ascii="Times New Roman;serif" w:hAnsi="Times New Roman;serif"/>
          <w:b w:val="false"/>
          <w:color w:val="000000"/>
          <w:sz w:val="20"/>
        </w:rPr>
        <w:t xml:space="preserve">). On April 24, 2025, at the closing of the April 2025 Private Placement, we issued (i) 261,644 shares of common stock at a per share purchase price of $1.911, which represented 110% of the volume weighted trading price for the common stock on April 9, 2025; and (ii) warrants with a term of ten years from the initial exercise date to purchase up to an additional 523,286 shares of common stock with a per share exercise price of $2.16. The aggregate gross proceeds to us from the April 2025 Private Placement was approximately $0.5 million, before deducting the offering expenses payable by us, which expenses consisted solely of legal fees. We used the net proceeds from the offering for working capital purposes. </w:t>
      </w:r>
    </w:p>
    <w:p>
      <w:pPr>
        <w:pStyle w:val="TextBody"/>
        <w:bidi w:val="0"/>
        <w:spacing w:lineRule="auto" w:line="288" w:before="0" w:after="180"/>
        <w:jc w:val="left"/>
        <w:rPr/>
      </w:pPr>
      <w:r>
        <w:rPr>
          <w:rFonts w:ascii="Times New Roman;serif" w:hAnsi="Times New Roman;serif"/>
          <w:b w:val="false"/>
          <w:color w:val="000000"/>
          <w:sz w:val="20"/>
        </w:rPr>
        <w:t>On May 12, 2025, we entered into the Second Securities Purchase Agreement” (the “</w:t>
      </w:r>
      <w:r>
        <w:rPr>
          <w:rFonts w:ascii="Times New Roman;serif" w:hAnsi="Times New Roman;serif"/>
          <w:b/>
          <w:i/>
          <w:color w:val="000000"/>
          <w:sz w:val="20"/>
        </w:rPr>
        <w:t>May 2025 Private Placement</w:t>
      </w:r>
      <w:r>
        <w:rPr>
          <w:color w:val="000000"/>
        </w:rPr>
        <w:t>”</w:t>
      </w:r>
      <w:r>
        <w:rPr>
          <w:rFonts w:ascii="Times New Roman;serif" w:hAnsi="Times New Roman;serif"/>
          <w:b w:val="false"/>
          <w:color w:val="000000"/>
          <w:sz w:val="20"/>
        </w:rPr>
        <w:t>) in an amount of approximately $0.2 million, pursuant to which we issued 68,447 shares of common stock plus a PIPE Warrant to purchase 68,447 shares of common stock. The May 2025 Private Placement provides a per share purchase price of $2.922, which represents 110% of the five-day volume weighted trading price for the common stock through May 9, 2025, and the per share exercise price of the warrant is $3.36. We used the net proceeds from the offering for working capital purposes.</w:t>
      </w:r>
    </w:p>
    <w:p>
      <w:pPr>
        <w:pStyle w:val="TextBody"/>
        <w:bidi w:val="0"/>
        <w:spacing w:lineRule="auto" w:line="288" w:before="0" w:after="180"/>
        <w:jc w:val="left"/>
        <w:rPr/>
      </w:pPr>
      <w:r>
        <w:rPr>
          <w:rFonts w:ascii="Times New Roman;serif" w:hAnsi="Times New Roman;serif"/>
          <w:b w:val="false"/>
          <w:color w:val="000000"/>
          <w:sz w:val="20"/>
        </w:rPr>
        <w:t>On September 30, 2025, we entered into the Third Securities Purchase Agreement, by and between us and certain accredited investors and qualified institutional buyers (the “</w:t>
      </w:r>
      <w:r>
        <w:rPr>
          <w:rFonts w:ascii="Times New Roman;serif" w:hAnsi="Times New Roman;serif"/>
          <w:b/>
          <w:i/>
          <w:color w:val="000000"/>
          <w:sz w:val="20"/>
        </w:rPr>
        <w:t>October 2025 Private Placement”).</w:t>
      </w:r>
      <w:r>
        <w:rPr>
          <w:color w:val="000000"/>
        </w:rPr>
        <w:t xml:space="preserve"> </w:t>
      </w:r>
      <w:r>
        <w:rPr>
          <w:rFonts w:ascii="Times New Roman;serif" w:hAnsi="Times New Roman;serif"/>
          <w:b w:val="false"/>
          <w:color w:val="000000"/>
          <w:sz w:val="20"/>
        </w:rPr>
        <w:t>At the closing of the October 2025 Private Placement on October 3, 2025, we issued (i) 2,232,243 shares of our common stock, par value $0.0001 per share; (ii) Subscription PIPE Warrants with a term of five years from the initial exercise date to purchase up to an additional 4,040,272 shares of common stock; and (iii) 5,424,083 pre</w:t>
        <w:noBreakHyphen/>
        <w:t xml:space="preserve">funded PIPE Warrants to purchase up to an additional 1,808,055 shares of common stock, exercisable any time after its issuance (the “ </w:t>
      </w:r>
      <w:r>
        <w:rPr>
          <w:rFonts w:ascii="Times New Roman;serif" w:hAnsi="Times New Roman;serif"/>
          <w:b/>
          <w:i/>
          <w:color w:val="000000"/>
          <w:sz w:val="20"/>
        </w:rPr>
        <w:t>October 2025 Pre-Funded Warrants,</w:t>
      </w:r>
      <w:r>
        <w:rPr>
          <w:color w:val="000000"/>
        </w:rPr>
        <w:t xml:space="preserve">” </w:t>
      </w:r>
      <w:r>
        <w:rPr>
          <w:rFonts w:ascii="Times New Roman;serif" w:hAnsi="Times New Roman;serif"/>
          <w:b w:val="false"/>
          <w:color w:val="000000"/>
          <w:sz w:val="20"/>
        </w:rPr>
        <w:t>and together with the May 2026 Pre-Funded Warrants, the “</w:t>
      </w:r>
      <w:r>
        <w:rPr>
          <w:rFonts w:ascii="Times New Roman;serif" w:hAnsi="Times New Roman;serif"/>
          <w:b/>
          <w:i/>
          <w:color w:val="000000"/>
          <w:sz w:val="20"/>
        </w:rPr>
        <w:t>Pre-Funded Warrants</w:t>
      </w:r>
      <w:r>
        <w:rPr>
          <w:color w:val="000000"/>
        </w:rPr>
        <w:t>”</w:t>
      </w:r>
      <w:r>
        <w:rPr>
          <w:rFonts w:ascii="Times New Roman;serif" w:hAnsi="Times New Roman;serif"/>
          <w:b w:val="false"/>
          <w:color w:val="000000"/>
          <w:sz w:val="20"/>
        </w:rPr>
        <w:t>). The purchase price of each share of common stock was $4.50 and the purchase price for each October 2025 Pre</w:t>
        <w:noBreakHyphen/>
        <w:t xml:space="preserve">Funded Warrant was $4.4997. Both of these amounts were paid by the Purchasers at the closing of the October 2025 Private Placement. The aggregate gross proceeds to us from the October 2025 Private Placement was approximately $18.2 million, before deducting the offering expenses payable by us, which expenses consist solely of legal fees and the amounts provided for pursuant to a placement agency agreement The per share exercise price of each Subscription PIPE Warrant is $4.50 and the per share exercise price of each October 2025 Pre-Funded Warrant is $0.0003. We used the net proceeds from the offering for working capital purposes and to repay Tranche B of the Lynrock Lake Term Loan. </w:t>
      </w:r>
    </w:p>
    <w:p>
      <w:pPr>
        <w:pStyle w:val="TextBody"/>
        <w:bidi w:val="0"/>
        <w:spacing w:lineRule="auto" w:line="288" w:before="0" w:after="180"/>
        <w:jc w:val="left"/>
        <w:rPr/>
      </w:pPr>
      <w:r>
        <w:rPr>
          <w:rFonts w:ascii="Times New Roman;serif" w:hAnsi="Times New Roman;serif"/>
          <w:b w:val="false"/>
          <w:color w:val="000000"/>
          <w:sz w:val="20"/>
        </w:rPr>
        <w:t>On January 22, 2026, we entered into the Fourth Securities Purchase Agreement where we received approximate</w:t>
      </w:r>
      <w:r>
        <w:rPr>
          <w:rFonts w:ascii="Times New Roman;serif" w:hAnsi="Times New Roman;serif"/>
          <w:b w:val="false"/>
          <w:color w:val="000000"/>
          <w:sz w:val="20"/>
          <w:shd w:fill="FFFFFF" w:val="clear"/>
        </w:rPr>
        <w:t>ly $0.2 million</w:t>
      </w:r>
      <w:r>
        <w:rPr>
          <w:color w:val="000000"/>
        </w:rPr>
        <w:t xml:space="preserve"> </w:t>
      </w:r>
      <w:r>
        <w:rPr>
          <w:rFonts w:ascii="Times New Roman;serif" w:hAnsi="Times New Roman;serif"/>
          <w:b w:val="false"/>
          <w:color w:val="000000"/>
          <w:sz w:val="20"/>
        </w:rPr>
        <w:t>from Dr. Avi Katz, the Chairman of our Board of Directors (the “</w:t>
      </w:r>
      <w:r>
        <w:rPr>
          <w:rFonts w:ascii="Times New Roman;serif" w:hAnsi="Times New Roman;serif"/>
          <w:b/>
          <w:i/>
          <w:color w:val="000000"/>
          <w:sz w:val="20"/>
        </w:rPr>
        <w:t>January 2026 Private Placement</w:t>
      </w:r>
      <w:r>
        <w:rPr>
          <w:color w:val="000000"/>
        </w:rPr>
        <w:t>”</w:t>
      </w:r>
      <w:r>
        <w:rPr>
          <w:rFonts w:ascii="Times New Roman;serif" w:hAnsi="Times New Roman;serif"/>
          <w:b w:val="false"/>
          <w:color w:val="000000"/>
          <w:sz w:val="20"/>
        </w:rPr>
        <w:t>), in exchange for the issuance of (i) 24,107 shares of common stock at a per share purchase price of $6.43, which represented 110% of the 5-day volume weighted trading price for the common stock on January 22, 2026; and (ii) warrants with a term of ten years from the initial exercise date to purchase up to an additional 48,214 shares of common stock with a per share exercise price of $6.43. We used the net proceeds from the offering for working capital purposes.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18, 2026, we completed the May 2026 Public Offering of 1,200,000 shares of our common stock, par value $0.0001 per share, at $5.00 per share, and 800,000 May 2026 Pre-Funded Warrants at $4.9999 each, less underwriting discounts and commissions. Net proceeds from the May 2026 Public Offering were approximately $8.9 million, after deducting underwriting discounts and commissions and offering expenses payable by us. The May 2026 Pre-Funded Warrants are exercisable for one share of common stock at an exercise price of $0.0001 per share and may be exercised at any time until exercised in full.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18, 2026, October 2025 Pre-Funded Warrants covering 500,000 shares of common stock were exercised.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total PIPE Warrants and Pre-Funded Warrants, covering common stock of 8,246,588 shares and 7,898,374 shares were outstanding. On July 1, 2026, 867,621 October 2025 Pre-Funded Warrants were exercised.</w:t>
      </w:r>
    </w:p>
    <w:p>
      <w:pPr>
        <w:pStyle w:val="TextBody"/>
        <w:bidi w:val="0"/>
        <w:spacing w:lineRule="auto" w:line="288" w:before="0" w:after="180"/>
        <w:jc w:val="left"/>
        <w:rPr/>
      </w:pPr>
      <w:r>
        <w:rPr>
          <w:rFonts w:ascii="Times New Roman;serif" w:hAnsi="Times New Roman;serif"/>
          <w:b w:val="false"/>
          <w:color w:val="000000"/>
          <w:sz w:val="20"/>
        </w:rPr>
        <w:t xml:space="preserve">In connection with the Lynrock Lake Term Loan, on February 26, 2025, we issued to Lynrock Lake, pursuant to the terms of the Lynrock Lake Warrant, a warrant to purchase 20,333,623 shares of common stock at an exercise price of $1.20 per share. Upon the closing of the October 2025 Private Placement, the number of shares which may be purchased upon exercise of the Lynrock Lake Warrant and the per share exercise price were adjusted to 24,396,416 and $1.0002, respectively. Upon the closing of the May 2026 Public Offering, the number of shares which may be purchased upon exercise of the Lynrock Lake Warrant and the per share exercise price were adjusted to 25,313,508 and $0.9639, respectively. As of June 30, 2026 and December 31, 2025, the Lynrock Lake Warrant to purchase 25,313,508 and 24,396,416 shares of common stock was outstanding, respectively. </w:t>
      </w: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shd w:fill="FFFFFF" w:val="clear"/>
        </w:rPr>
        <w:t xml:space="preserve">Note 3 - Fair Value Measurements </w:t>
      </w:r>
      <w:r>
        <w:rPr>
          <w:rFonts w:ascii="Times New Roman;serif" w:hAnsi="Times New Roman;serif"/>
          <w:b w:val="false"/>
          <w:color w:val="000000"/>
          <w:sz w:val="20"/>
          <w:shd w:fill="FFFFFF" w:val="clear"/>
        </w:rPr>
        <w:t>and</w:t>
      </w:r>
      <w:r>
        <w:rPr>
          <w:color w:val="000000"/>
          <w:shd w:fill="FFFFFF" w:val="clear"/>
        </w:rPr>
        <w:t xml:space="preserve"> </w:t>
      </w:r>
      <w:r>
        <w:rPr>
          <w:rFonts w:ascii="Times New Roman;serif" w:hAnsi="Times New Roman;serif"/>
          <w:b w:val="false"/>
          <w:i/>
          <w:color w:val="000000"/>
          <w:sz w:val="20"/>
          <w:shd w:fill="FFFFFF" w:val="clear"/>
        </w:rPr>
        <w:t>Note 5 - Long-Term Debt</w:t>
      </w:r>
      <w:r>
        <w:rPr>
          <w:color w:val="000000"/>
          <w:shd w:fill="FFFFFF" w:val="clear"/>
        </w:rPr>
        <w:t xml:space="preserve"> </w:t>
      </w:r>
      <w:r>
        <w:rPr>
          <w:rFonts w:ascii="Times New Roman;serif" w:hAnsi="Times New Roman;serif"/>
          <w:b w:val="false"/>
          <w:color w:val="000000"/>
          <w:sz w:val="20"/>
          <w:shd w:fill="FFFFFF" w:val="clear"/>
        </w:rPr>
        <w:t>for more information.</w:t>
      </w:r>
    </w:p>
    <w:p>
      <w:pPr>
        <w:pStyle w:val="TextBody"/>
        <w:bidi w:val="0"/>
        <w:spacing w:lineRule="auto" w:line="288" w:before="0" w:after="180"/>
        <w:jc w:val="left"/>
        <w:rPr/>
      </w:pPr>
      <w:r>
        <w:rPr>
          <w:rFonts w:ascii="Times New Roman;serif" w:hAnsi="Times New Roman;serif"/>
          <w:b w:val="false"/>
          <w:color w:val="000000"/>
          <w:sz w:val="20"/>
        </w:rPr>
        <w:t xml:space="preserve">On February 26, 2025, we issued to Yorkville a warrant to purchase 5,000,071 shares of our common stock at an exercise price of $1.20 per share pursuant to the Yorkville Warrant. On August 26, 2025, we repurchased the Yorkville Warrant for an aggregate price of $5.0 million. </w:t>
      </w: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shd w:fill="FFFFFF" w:val="clear"/>
        </w:rPr>
        <w:t xml:space="preserve">Note 3 - Fair Value Measurements </w:t>
      </w:r>
      <w:r>
        <w:rPr>
          <w:rFonts w:ascii="Times New Roman;serif" w:hAnsi="Times New Roman;serif"/>
          <w:b w:val="false"/>
          <w:color w:val="000000"/>
          <w:sz w:val="20"/>
          <w:shd w:fill="FFFFFF" w:val="clear"/>
        </w:rPr>
        <w:t>and</w:t>
      </w:r>
      <w:r>
        <w:rPr>
          <w:color w:val="000000"/>
          <w:shd w:fill="FFFFFF" w:val="clear"/>
        </w:rPr>
        <w:t xml:space="preserve"> </w:t>
      </w:r>
      <w:r>
        <w:rPr>
          <w:rFonts w:ascii="Times New Roman;serif" w:hAnsi="Times New Roman;serif"/>
          <w:b w:val="false"/>
          <w:i/>
          <w:color w:val="000000"/>
          <w:sz w:val="20"/>
          <w:shd w:fill="FFFFFF" w:val="clear"/>
        </w:rPr>
        <w:t>Note 5 - Long-Term Debt</w:t>
      </w:r>
      <w:r>
        <w:rPr>
          <w:color w:val="000000"/>
          <w:shd w:fill="FFFFFF" w:val="clear"/>
        </w:rPr>
        <w:t xml:space="preserve"> </w:t>
      </w:r>
      <w:r>
        <w:rPr>
          <w:rFonts w:ascii="Times New Roman;serif" w:hAnsi="Times New Roman;serif"/>
          <w:b w:val="false"/>
          <w:color w:val="000000"/>
          <w:sz w:val="20"/>
          <w:shd w:fill="FFFFFF" w:val="clear"/>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9.Stock Incentive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Inducement Equity Incentive Plan</w:t>
      </w:r>
    </w:p>
    <w:p>
      <w:pPr>
        <w:pStyle w:val="TextBody"/>
        <w:bidi w:val="0"/>
        <w:spacing w:lineRule="auto" w:line="288" w:before="0" w:after="180"/>
        <w:jc w:val="left"/>
        <w:rPr/>
      </w:pPr>
      <w:r>
        <w:rPr>
          <w:rFonts w:ascii="Times New Roman;serif" w:hAnsi="Times New Roman;serif"/>
          <w:b w:val="false"/>
          <w:color w:val="000000"/>
          <w:sz w:val="20"/>
        </w:rPr>
        <w:t>The following table summarizes information regarding stock option and RSU activity in the Inducement Equity Incentive Plan (the “</w:t>
      </w:r>
      <w:r>
        <w:rPr>
          <w:rFonts w:ascii="Times New Roman;serif" w:hAnsi="Times New Roman;serif"/>
          <w:b/>
          <w:i/>
          <w:color w:val="000000"/>
          <w:sz w:val="20"/>
        </w:rPr>
        <w:t>Inducement EIP</w:t>
      </w:r>
      <w:r>
        <w:rPr>
          <w:color w:val="000000"/>
        </w:rPr>
        <w:t>”</w:t>
      </w:r>
      <w:r>
        <w:rPr>
          <w:rFonts w:ascii="Times New Roman;serif" w:hAnsi="Times New Roman;serif"/>
          <w:b w:val="false"/>
          <w:color w:val="000000"/>
          <w:sz w:val="20"/>
        </w:rPr>
        <w:t xml:space="preserve">) during the six months ended June 30, 2026 </w:t>
      </w:r>
      <w:r>
        <w:rPr>
          <w:rFonts w:ascii="Times New Roman;serif" w:hAnsi="Times New Roman;serif"/>
          <w:b w:val="false"/>
          <w:i/>
          <w:color w:val="000000"/>
          <w:sz w:val="20"/>
        </w:rPr>
        <w:t>(in thousands, except per share data and weighted average contractual life)</w:t>
      </w: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929"/>
        <w:gridCol w:w="814"/>
        <w:gridCol w:w="788"/>
        <w:gridCol w:w="603"/>
        <w:gridCol w:w="603"/>
        <w:gridCol w:w="606"/>
        <w:gridCol w:w="109"/>
        <w:gridCol w:w="109"/>
        <w:gridCol w:w="109"/>
        <w:gridCol w:w="307"/>
        <w:gridCol w:w="747"/>
        <w:gridCol w:w="160"/>
        <w:gridCol w:w="109"/>
        <w:gridCol w:w="109"/>
        <w:gridCol w:w="109"/>
        <w:gridCol w:w="565"/>
        <w:gridCol w:w="565"/>
        <w:gridCol w:w="566"/>
        <w:gridCol w:w="109"/>
        <w:gridCol w:w="109"/>
        <w:gridCol w:w="109"/>
        <w:gridCol w:w="537"/>
        <w:gridCol w:w="1035"/>
        <w:gridCol w:w="399"/>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Stock Options</w:t>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Average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Contractual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January 1, 2026</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2026</w:t>
            </w:r>
          </w:p>
        </w:tc>
        <w:tc>
          <w:tcPr>
            <w:tcW w:w="120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83"/>
        <w:gridCol w:w="772"/>
        <w:gridCol w:w="782"/>
        <w:gridCol w:w="320"/>
        <w:gridCol w:w="320"/>
        <w:gridCol w:w="322"/>
        <w:gridCol w:w="109"/>
        <w:gridCol w:w="109"/>
        <w:gridCol w:w="109"/>
        <w:gridCol w:w="562"/>
        <w:gridCol w:w="1366"/>
        <w:gridCol w:w="293"/>
        <w:gridCol w:w="109"/>
        <w:gridCol w:w="109"/>
        <w:gridCol w:w="109"/>
        <w:gridCol w:w="565"/>
        <w:gridCol w:w="565"/>
        <w:gridCol w:w="566"/>
        <w:gridCol w:w="109"/>
        <w:gridCol w:w="109"/>
        <w:gridCol w:w="109"/>
        <w:gridCol w:w="483"/>
        <w:gridCol w:w="1065"/>
        <w:gridCol w:w="360"/>
      </w:tblGrid>
      <w:tr>
        <w:trPr/>
        <w:tc>
          <w:tcPr>
            <w:tcW w:w="88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RSUs</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Number of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Average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Contractual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January 1, 2026</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8"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8"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2026</w:t>
            </w:r>
          </w:p>
        </w:tc>
        <w:tc>
          <w:tcPr>
            <w:tcW w:w="96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2024 Equity Incentive Plan</w:t>
      </w:r>
    </w:p>
    <w:p>
      <w:pPr>
        <w:pStyle w:val="TextBody"/>
        <w:bidi w:val="0"/>
        <w:spacing w:lineRule="auto" w:line="288" w:before="0" w:after="180"/>
        <w:jc w:val="left"/>
        <w:rPr/>
      </w:pPr>
      <w:r>
        <w:rPr>
          <w:rFonts w:ascii="Times New Roman;serif" w:hAnsi="Times New Roman;serif"/>
          <w:b w:val="false"/>
          <w:color w:val="000000"/>
          <w:sz w:val="20"/>
        </w:rPr>
        <w:t>On January 1, 2026, we increased the number of authorized shares of common stock pursuant to the 2024 Equity Incentive Plan (the “</w:t>
      </w:r>
      <w:r>
        <w:rPr>
          <w:rFonts w:ascii="Times New Roman;serif" w:hAnsi="Times New Roman;serif"/>
          <w:b/>
          <w:i/>
          <w:color w:val="000000"/>
          <w:sz w:val="20"/>
        </w:rPr>
        <w:t>2024 EIP</w:t>
      </w:r>
      <w:r>
        <w:rPr>
          <w:color w:val="000000"/>
        </w:rPr>
        <w:t>”</w:t>
      </w:r>
      <w:r>
        <w:rPr>
          <w:rFonts w:ascii="Times New Roman;serif" w:hAnsi="Times New Roman;serif"/>
          <w:b w:val="false"/>
          <w:color w:val="000000"/>
          <w:sz w:val="20"/>
        </w:rPr>
        <w:t xml:space="preserve">) by 595,110 shares. </w:t>
      </w:r>
    </w:p>
    <w:p>
      <w:pPr>
        <w:pStyle w:val="TextBody"/>
        <w:bidi w:val="0"/>
        <w:spacing w:lineRule="auto" w:line="288" w:before="0" w:after="180"/>
        <w:jc w:val="left"/>
        <w:rPr/>
      </w:pPr>
      <w:r>
        <w:rPr>
          <w:rFonts w:ascii="Times New Roman;serif" w:hAnsi="Times New Roman;serif"/>
          <w:b w:val="false"/>
          <w:color w:val="000000"/>
          <w:sz w:val="20"/>
        </w:rPr>
        <w:t xml:space="preserve">The following table summarizes information regarding stock option and RSU activity in the 2024 EIP during the six months ended June 30, 2026 </w:t>
      </w:r>
      <w:r>
        <w:rPr>
          <w:rFonts w:ascii="Times New Roman;serif" w:hAnsi="Times New Roman;serif"/>
          <w:b w:val="false"/>
          <w:i/>
          <w:color w:val="000000"/>
          <w:sz w:val="20"/>
        </w:rPr>
        <w:t>(in thousands, except per share data and weighted average contractual life)</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40"/>
        <w:jc w:val="left"/>
        <w:rPr/>
      </w:pPr>
      <w:r>
        <w:rPr/>
      </w:r>
    </w:p>
    <w:tbl>
      <w:tblPr>
        <w:tblW w:w="10205" w:type="dxa"/>
        <w:jc w:val="center"/>
        <w:tblInd w:w="0" w:type="dxa"/>
        <w:tblLayout w:type="fixed"/>
        <w:tblCellMar>
          <w:top w:w="28" w:type="dxa"/>
          <w:left w:w="28" w:type="dxa"/>
          <w:bottom w:w="28" w:type="dxa"/>
          <w:right w:w="28" w:type="dxa"/>
        </w:tblCellMar>
      </w:tblPr>
      <w:tblGrid>
        <w:gridCol w:w="1037"/>
        <w:gridCol w:w="904"/>
        <w:gridCol w:w="897"/>
        <w:gridCol w:w="414"/>
        <w:gridCol w:w="403"/>
        <w:gridCol w:w="405"/>
        <w:gridCol w:w="109"/>
        <w:gridCol w:w="109"/>
        <w:gridCol w:w="109"/>
        <w:gridCol w:w="326"/>
        <w:gridCol w:w="793"/>
        <w:gridCol w:w="170"/>
        <w:gridCol w:w="109"/>
        <w:gridCol w:w="109"/>
        <w:gridCol w:w="109"/>
        <w:gridCol w:w="565"/>
        <w:gridCol w:w="565"/>
        <w:gridCol w:w="566"/>
        <w:gridCol w:w="109"/>
        <w:gridCol w:w="109"/>
        <w:gridCol w:w="109"/>
        <w:gridCol w:w="465"/>
        <w:gridCol w:w="1364"/>
        <w:gridCol w:w="350"/>
      </w:tblGrid>
      <w:tr>
        <w:trPr/>
        <w:tc>
          <w:tcPr>
            <w:tcW w:w="103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Stock Options</w:t>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w:t>
              <w:b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 xml:space="preserve">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January 1, 2026</w:t>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3,996 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Granted</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Exercised</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8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4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2026</w:t>
            </w:r>
          </w:p>
        </w:tc>
        <w:tc>
          <w:tcPr>
            <w:tcW w:w="8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4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r>
      <w:tr>
        <w:trPr/>
        <w:tc>
          <w:tcPr>
            <w:tcW w:w="283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55"/>
        <w:gridCol w:w="747"/>
        <w:gridCol w:w="758"/>
        <w:gridCol w:w="317"/>
        <w:gridCol w:w="317"/>
        <w:gridCol w:w="319"/>
        <w:gridCol w:w="109"/>
        <w:gridCol w:w="109"/>
        <w:gridCol w:w="109"/>
        <w:gridCol w:w="542"/>
        <w:gridCol w:w="1317"/>
        <w:gridCol w:w="282"/>
        <w:gridCol w:w="109"/>
        <w:gridCol w:w="109"/>
        <w:gridCol w:w="109"/>
        <w:gridCol w:w="565"/>
        <w:gridCol w:w="565"/>
        <w:gridCol w:w="566"/>
        <w:gridCol w:w="109"/>
        <w:gridCol w:w="109"/>
        <w:gridCol w:w="109"/>
        <w:gridCol w:w="109"/>
        <w:gridCol w:w="109"/>
        <w:gridCol w:w="396"/>
        <w:gridCol w:w="1161"/>
        <w:gridCol w:w="299"/>
      </w:tblGrid>
      <w:tr>
        <w:trPr/>
        <w:tc>
          <w:tcPr>
            <w:tcW w:w="85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RSUs</w:t>
            </w:r>
          </w:p>
        </w:tc>
        <w:tc>
          <w:tcPr>
            <w:tcW w:w="9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Number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Average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Weighted-Average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Remaining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Contractual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January 1, 2026</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Released</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63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2026</w:t>
            </w:r>
          </w:p>
        </w:tc>
        <w:tc>
          <w:tcPr>
            <w:tcW w:w="63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3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 options were granted during the three months ended June 30,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determination of the fair value of options granted under the Inducement EIP and the 2024 EIP during the six months ended June 30, 2026 was computed using the Black-Scholes option pricing model with the following weighted-average assumptions:</w:t>
      </w:r>
    </w:p>
    <w:tbl>
      <w:tblPr>
        <w:tblW w:w="6241" w:type="dxa"/>
        <w:jc w:val="center"/>
        <w:tblInd w:w="0" w:type="dxa"/>
        <w:tblLayout w:type="fixed"/>
        <w:tblCellMar>
          <w:top w:w="28" w:type="dxa"/>
          <w:left w:w="28" w:type="dxa"/>
          <w:bottom w:w="28" w:type="dxa"/>
          <w:right w:w="28" w:type="dxa"/>
        </w:tblCellMar>
      </w:tblPr>
      <w:tblGrid>
        <w:gridCol w:w="1183"/>
        <w:gridCol w:w="1038"/>
        <w:gridCol w:w="1048"/>
        <w:gridCol w:w="217"/>
        <w:gridCol w:w="527"/>
        <w:gridCol w:w="279"/>
        <w:gridCol w:w="112"/>
        <w:gridCol w:w="112"/>
        <w:gridCol w:w="112"/>
        <w:gridCol w:w="217"/>
        <w:gridCol w:w="527"/>
        <w:gridCol w:w="279"/>
        <w:gridCol w:w="109"/>
        <w:gridCol w:w="109"/>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per share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option term (years)</w:t>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 of return</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annual dividend yield</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jc w:val="left"/>
        <w:rPr/>
      </w:pPr>
      <w:r>
        <w:rPr>
          <w:rFonts w:ascii="Times New Roman;serif" w:hAnsi="Times New Roman;serif"/>
          <w:b w:val="false"/>
          <w:color w:val="000000"/>
          <w:sz w:val="20"/>
        </w:rPr>
        <w:t xml:space="preserve">The following table shows stock-based compensation expense by functional area in the unaudited condensed consolidated statements of operations and comprehensive loss for the three and six months ended June 30, 2026 and 2025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8821" w:type="dxa"/>
        <w:jc w:val="center"/>
        <w:tblInd w:w="0" w:type="dxa"/>
        <w:tblLayout w:type="fixed"/>
        <w:tblCellMar>
          <w:top w:w="28" w:type="dxa"/>
          <w:left w:w="28" w:type="dxa"/>
          <w:bottom w:w="28" w:type="dxa"/>
          <w:right w:w="28" w:type="dxa"/>
        </w:tblCellMar>
      </w:tblPr>
      <w:tblGrid>
        <w:gridCol w:w="1251"/>
        <w:gridCol w:w="1096"/>
        <w:gridCol w:w="1102"/>
        <w:gridCol w:w="291"/>
        <w:gridCol w:w="644"/>
        <w:gridCol w:w="150"/>
        <w:gridCol w:w="150"/>
        <w:gridCol w:w="150"/>
        <w:gridCol w:w="150"/>
        <w:gridCol w:w="291"/>
        <w:gridCol w:w="644"/>
        <w:gridCol w:w="150"/>
        <w:gridCol w:w="109"/>
        <w:gridCol w:w="109"/>
        <w:gridCol w:w="109"/>
        <w:gridCol w:w="244"/>
        <w:gridCol w:w="715"/>
        <w:gridCol w:w="126"/>
        <w:gridCol w:w="126"/>
        <w:gridCol w:w="126"/>
        <w:gridCol w:w="126"/>
        <w:gridCol w:w="244"/>
        <w:gridCol w:w="540"/>
        <w:gridCol w:w="178"/>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capitalized to inventory for the three and six months ended June 30, 2026 and 2025 was insignificant.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total unrecognized compensation cost related to all nonvested stock options and RSUs was $5.8 million and the weighted-average period over which it is expected to be recognized is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10.    Revenue</w:t>
      </w:r>
    </w:p>
    <w:p>
      <w:pPr>
        <w:pStyle w:val="TextBody"/>
        <w:bidi w:val="0"/>
        <w:spacing w:lineRule="auto" w:line="288" w:before="0" w:after="180"/>
        <w:jc w:val="left"/>
        <w:rPr/>
      </w:pPr>
      <w:r>
        <w:rPr>
          <w:rFonts w:ascii="Times New Roman;serif" w:hAnsi="Times New Roman;serif"/>
          <w:b w:val="false"/>
          <w:color w:val="000000"/>
          <w:sz w:val="20"/>
        </w:rPr>
        <w:t xml:space="preserve">Revenue recognized during the three and six months ended June 30, 2026 and 2025 was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947" w:type="dxa"/>
        <w:jc w:val="center"/>
        <w:tblInd w:w="0" w:type="dxa"/>
        <w:tblLayout w:type="fixed"/>
        <w:tblCellMar>
          <w:top w:w="28" w:type="dxa"/>
          <w:left w:w="28" w:type="dxa"/>
          <w:bottom w:w="28" w:type="dxa"/>
          <w:right w:w="28" w:type="dxa"/>
        </w:tblCellMar>
      </w:tblPr>
      <w:tblGrid>
        <w:gridCol w:w="450"/>
        <w:gridCol w:w="395"/>
        <w:gridCol w:w="400"/>
        <w:gridCol w:w="109"/>
        <w:gridCol w:w="109"/>
        <w:gridCol w:w="109"/>
        <w:gridCol w:w="251"/>
        <w:gridCol w:w="735"/>
        <w:gridCol w:w="130"/>
        <w:gridCol w:w="130"/>
        <w:gridCol w:w="130"/>
        <w:gridCol w:w="130"/>
        <w:gridCol w:w="251"/>
        <w:gridCol w:w="735"/>
        <w:gridCol w:w="130"/>
        <w:gridCol w:w="109"/>
        <w:gridCol w:w="109"/>
        <w:gridCol w:w="109"/>
        <w:gridCol w:w="218"/>
        <w:gridCol w:w="746"/>
        <w:gridCol w:w="112"/>
        <w:gridCol w:w="112"/>
        <w:gridCol w:w="112"/>
        <w:gridCol w:w="112"/>
        <w:gridCol w:w="218"/>
        <w:gridCol w:w="637"/>
        <w:gridCol w:w="159"/>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 xml:space="preserve">Revenue recognized by geography during the three and six months ended June 30, 2026 and 2025 was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620" w:type="dxa"/>
        <w:jc w:val="center"/>
        <w:tblInd w:w="0" w:type="dxa"/>
        <w:tblLayout w:type="fixed"/>
        <w:tblCellMar>
          <w:top w:w="28" w:type="dxa"/>
          <w:left w:w="28" w:type="dxa"/>
          <w:bottom w:w="28" w:type="dxa"/>
          <w:right w:w="28" w:type="dxa"/>
        </w:tblCellMar>
      </w:tblPr>
      <w:tblGrid>
        <w:gridCol w:w="452"/>
        <w:gridCol w:w="395"/>
        <w:gridCol w:w="398"/>
        <w:gridCol w:w="251"/>
        <w:gridCol w:w="735"/>
        <w:gridCol w:w="130"/>
        <w:gridCol w:w="130"/>
        <w:gridCol w:w="130"/>
        <w:gridCol w:w="130"/>
        <w:gridCol w:w="251"/>
        <w:gridCol w:w="735"/>
        <w:gridCol w:w="130"/>
        <w:gridCol w:w="109"/>
        <w:gridCol w:w="109"/>
        <w:gridCol w:w="109"/>
        <w:gridCol w:w="218"/>
        <w:gridCol w:w="746"/>
        <w:gridCol w:w="112"/>
        <w:gridCol w:w="112"/>
        <w:gridCol w:w="112"/>
        <w:gridCol w:w="112"/>
        <w:gridCol w:w="218"/>
        <w:gridCol w:w="637"/>
        <w:gridCol w:w="159"/>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Substantially all of the revenue recognized by us during the three and six months ended June 30, 2026 and 2025 was recognized at a point in time upon shipment. We had no contract assets as of June 30, 2026 and December 31, 2025. We had contract liabilities of $38 thousand as of June 30, 2026, all of which is expected to be recognized as revenue in the next twelve months. We had contract liabilities of $7 thousand as of December 31, 2025. Contract liabilities are included in accrued expenses and other current liabilities on the unaudited condensed consolidated balance sheets. Revenue recognized during the six months ended June 30, 2026 that was previously included in contract liabilities as of December 31, 2025 was $7 thousand.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One customer represented 10% or more of our accounts receivable balance and our total revenue as follows:</w:t>
      </w:r>
    </w:p>
    <w:tbl>
      <w:tblPr>
        <w:tblW w:w="9145" w:type="dxa"/>
        <w:jc w:val="center"/>
        <w:tblInd w:w="0" w:type="dxa"/>
        <w:tblLayout w:type="fixed"/>
        <w:tblCellMar>
          <w:top w:w="28" w:type="dxa"/>
          <w:left w:w="28" w:type="dxa"/>
          <w:bottom w:w="28" w:type="dxa"/>
          <w:right w:w="28" w:type="dxa"/>
        </w:tblCellMar>
      </w:tblPr>
      <w:tblGrid>
        <w:gridCol w:w="190"/>
        <w:gridCol w:w="167"/>
        <w:gridCol w:w="169"/>
        <w:gridCol w:w="284"/>
        <w:gridCol w:w="284"/>
        <w:gridCol w:w="707"/>
        <w:gridCol w:w="154"/>
        <w:gridCol w:w="154"/>
        <w:gridCol w:w="154"/>
        <w:gridCol w:w="384"/>
        <w:gridCol w:w="384"/>
        <w:gridCol w:w="957"/>
        <w:gridCol w:w="109"/>
        <w:gridCol w:w="109"/>
        <w:gridCol w:w="109"/>
        <w:gridCol w:w="266"/>
        <w:gridCol w:w="200"/>
        <w:gridCol w:w="389"/>
        <w:gridCol w:w="156"/>
        <w:gridCol w:w="156"/>
        <w:gridCol w:w="156"/>
        <w:gridCol w:w="206"/>
        <w:gridCol w:w="156"/>
        <w:gridCol w:w="389"/>
        <w:gridCol w:w="109"/>
        <w:gridCol w:w="109"/>
        <w:gridCol w:w="109"/>
        <w:gridCol w:w="196"/>
        <w:gridCol w:w="196"/>
        <w:gridCol w:w="488"/>
        <w:gridCol w:w="196"/>
        <w:gridCol w:w="196"/>
        <w:gridCol w:w="196"/>
        <w:gridCol w:w="196"/>
        <w:gridCol w:w="196"/>
        <w:gridCol w:w="569"/>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Revenue</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NXC</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52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52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52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Consistent with our conclusion as of December 31, 2025, we continue to believe that it is not more likely than not that the deferred tax assets will be realized and we therefore maintained a full valuation allowance against the deferred tax assets as of June 30, 2026. As a result, the estimated annual effective tax rate for 2026 is expected to be 0% because our forecasted losses are expected to generate no income tax benefit. Furthermore, there were no discrete tax items for the quarter ended June 30,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income tax expense was $2 thousand and $3 thousand for each of the three and six months ended June 30, 2026 and 2025, primarily for our state income taxes.</w:t>
      </w:r>
    </w:p>
    <w:p>
      <w:pPr>
        <w:pStyle w:val="TextBody"/>
        <w:bidi w:val="0"/>
        <w:spacing w:lineRule="auto" w:line="288" w:before="0" w:after="180"/>
        <w:jc w:val="left"/>
        <w:rPr/>
      </w:pPr>
      <w:r>
        <w:rPr>
          <w:rFonts w:ascii="Times New Roman;serif" w:hAnsi="Times New Roman;serif"/>
          <w:b w:val="false"/>
          <w:color w:val="000000"/>
          <w:sz w:val="20"/>
        </w:rPr>
        <w:t>On July 4, 2025, the One Big Beautiful Bill Act (“</w:t>
      </w:r>
      <w:r>
        <w:rPr>
          <w:rFonts w:ascii="Times New Roman;serif" w:hAnsi="Times New Roman;serif"/>
          <w:b/>
          <w:i/>
          <w:color w:val="000000"/>
          <w:sz w:val="20"/>
        </w:rPr>
        <w:t>OBBBA</w:t>
      </w:r>
      <w:r>
        <w:rPr>
          <w:color w:val="000000"/>
        </w:rPr>
        <w:t>”</w:t>
      </w:r>
      <w:r>
        <w:rPr>
          <w:rFonts w:ascii="Times New Roman;serif" w:hAnsi="Times New Roman;serif"/>
          <w:b w:val="false"/>
          <w:color w:val="000000"/>
          <w:sz w:val="20"/>
        </w:rPr>
        <w:t>) was enacted into law. Among its provisions, OBBBA introduced Section 174, which allows for the immediate expensing of domestic research and experimental expenditures, reversing the amortization requirement enacted under the Tax Cuts and Jobs Act of 2017. Taxpayers may elect to expense such costs either entirely in the year incurred or ratably over a two-year period. We will elect to expense over a two-year period. As we have historically been in a loss position, the election to deduct domestic research and experimental expenditures will not have any impact to our financial results for the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12.    Net Loss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common share equivalents outstanding for the period determined using the treasury-stock and if-converted methods. For the purposes of the diluted net loss per share calculation, common stock equivalents are considered to be potentially dilutive securities. </w:t>
      </w:r>
    </w:p>
    <w:p>
      <w:pPr>
        <w:pStyle w:val="TextBody"/>
        <w:bidi w:val="0"/>
        <w:spacing w:lineRule="auto" w:line="288" w:before="0" w:after="180"/>
        <w:jc w:val="left"/>
        <w:rPr/>
      </w:pPr>
      <w:r>
        <w:rPr>
          <w:rFonts w:ascii="Times New Roman;serif" w:hAnsi="Times New Roman;serif"/>
          <w:b w:val="false"/>
          <w:color w:val="000000"/>
          <w:sz w:val="20"/>
        </w:rPr>
        <w:t xml:space="preserve">Reconciliation of net loss per share for the six months ended June 30, 2026 and 2025 was as follows </w:t>
      </w:r>
      <w:r>
        <w:rPr>
          <w:rFonts w:ascii="Times New Roman;serif" w:hAnsi="Times New Roman;serif"/>
          <w:b w:val="false"/>
          <w:i/>
          <w:color w:val="000000"/>
          <w:sz w:val="20"/>
        </w:rPr>
        <w:t>(in thousands, except per share data)</w:t>
      </w: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808"/>
        <w:gridCol w:w="1500"/>
        <w:gridCol w:w="1507"/>
        <w:gridCol w:w="219"/>
        <w:gridCol w:w="804"/>
        <w:gridCol w:w="113"/>
        <w:gridCol w:w="113"/>
        <w:gridCol w:w="113"/>
        <w:gridCol w:w="113"/>
        <w:gridCol w:w="219"/>
        <w:gridCol w:w="695"/>
        <w:gridCol w:w="113"/>
        <w:gridCol w:w="109"/>
        <w:gridCol w:w="109"/>
        <w:gridCol w:w="109"/>
        <w:gridCol w:w="211"/>
        <w:gridCol w:w="771"/>
        <w:gridCol w:w="109"/>
        <w:gridCol w:w="109"/>
        <w:gridCol w:w="109"/>
        <w:gridCol w:w="109"/>
        <w:gridCol w:w="211"/>
        <w:gridCol w:w="771"/>
        <w:gridCol w:w="161"/>
      </w:tblGrid>
      <w:tr>
        <w:trPr/>
        <w:tc>
          <w:tcPr>
            <w:tcW w:w="1808"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 attributable to common stockholders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number of common shares used in computing net loss per share </w:t>
            </w:r>
            <w:r>
              <w:rPr>
                <w:rFonts w:ascii="Times New Roman;serif" w:hAnsi="Times New Roman;serif"/>
                <w:b w:val="false"/>
                <w:color w:val="000000"/>
                <w:sz w:val="13"/>
              </w:rPr>
              <w:t>(1)</w:t>
            </w:r>
          </w:p>
        </w:tc>
        <w:tc>
          <w:tcPr>
            <w:tcW w:w="11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per share - basic and diluted </w:t>
            </w:r>
            <w:r>
              <w:rPr>
                <w:rFonts w:ascii="Times New Roman;serif" w:hAnsi="Times New Roman;serif"/>
                <w:b w:val="false"/>
                <w:color w:val="000000"/>
                <w:sz w:val="13"/>
              </w:rPr>
              <w:t>(1)</w:t>
            </w:r>
          </w:p>
        </w:tc>
        <w:tc>
          <w:tcPr>
            <w:tcW w:w="2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 xml:space="preserve">The following securities were excluded from the calculation of net loss per share because the inclusion would be anti-dilutive as of June 30, 2026 and 2025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399" w:type="dxa"/>
        <w:jc w:val="center"/>
        <w:tblInd w:w="0" w:type="dxa"/>
        <w:tblLayout w:type="fixed"/>
        <w:tblCellMar>
          <w:top w:w="28" w:type="dxa"/>
          <w:left w:w="28" w:type="dxa"/>
          <w:bottom w:w="28" w:type="dxa"/>
          <w:right w:w="28" w:type="dxa"/>
        </w:tblCellMar>
      </w:tblPr>
      <w:tblGrid>
        <w:gridCol w:w="1259"/>
        <w:gridCol w:w="1106"/>
        <w:gridCol w:w="1114"/>
        <w:gridCol w:w="424"/>
        <w:gridCol w:w="424"/>
        <w:gridCol w:w="426"/>
        <w:gridCol w:w="109"/>
        <w:gridCol w:w="109"/>
        <w:gridCol w:w="109"/>
        <w:gridCol w:w="384"/>
        <w:gridCol w:w="384"/>
        <w:gridCol w:w="551"/>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stock warrants </w:t>
            </w:r>
            <w:r>
              <w:rPr>
                <w:rFonts w:ascii="Times New Roman;serif" w:hAnsi="Times New Roman;serif"/>
                <w:b w:val="false"/>
                <w:color w:val="000000"/>
                <w:sz w:val="13"/>
              </w:rPr>
              <w:t>(1)(2)</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39,335 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35,347 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Merger earnout consideration shares </w:t>
            </w:r>
            <w:r>
              <w:rPr>
                <w:rFonts w:ascii="Times New Roman;serif" w:hAnsi="Times New Roman;serif"/>
                <w:b w:val="false"/>
                <w:color w:val="000000"/>
                <w:sz w:val="13"/>
              </w:rPr>
              <w:t>(1)</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Potential shares from convertible notes </w:t>
            </w:r>
            <w:r>
              <w:rPr>
                <w:rFonts w:ascii="Times New Roman;serif" w:hAnsi="Times New Roman;serif"/>
                <w:b w:val="false"/>
                <w:color w:val="000000"/>
                <w:sz w:val="13"/>
              </w:rPr>
              <w:t>(1)</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Options outstanding </w:t>
            </w:r>
            <w:r>
              <w:rPr>
                <w:rFonts w:ascii="Times New Roman;serif" w:hAnsi="Times New Roman;serif"/>
                <w:b w:val="false"/>
                <w:color w:val="000000"/>
                <w:sz w:val="13"/>
              </w:rPr>
              <w:t>(1)</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42,266 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38,540 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270"/>
        <w:jc w:val="left"/>
        <w:rPr>
          <w:rFonts w:ascii="Times New Roman;serif" w:hAnsi="Times New Roman;serif"/>
          <w:b w:val="false"/>
          <w:i/>
          <w:color w:val="000000"/>
          <w:sz w:val="18"/>
        </w:rPr>
      </w:pPr>
      <w:r>
        <w:rPr>
          <w:rFonts w:ascii="Times New Roman;serif" w:hAnsi="Times New Roman;serif"/>
          <w:b w:val="false"/>
          <w:i/>
          <w:color w:val="000000"/>
          <w:sz w:val="18"/>
        </w:rPr>
        <w:t>(1)Amounts as of June 30, 2025 differ from those published in prior unaudited condensed consolidated financial statements as they were retrospectively adjusted as a result of the Reverse Stock Split (refer to Note 1 - The Company and Summary of Significant Accounting Policies). Specifically, the number of potential common shares outstanding during the periods before the Reverse Stock Split are divided by the exchange ratio of 3:1, such that each three shares of potential common stock were combined and reconstituted into one share of potential common stock effective October 23,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ind w:left="0" w:right="0" w:hanging="270"/>
        <w:jc w:val="left"/>
        <w:rPr>
          <w:rFonts w:ascii="Times New Roman;serif" w:hAnsi="Times New Roman;serif"/>
          <w:b w:val="false"/>
          <w:i/>
          <w:color w:val="000000"/>
          <w:sz w:val="18"/>
        </w:rPr>
      </w:pPr>
      <w:r>
        <w:rPr>
          <w:rFonts w:ascii="Times New Roman;serif" w:hAnsi="Times New Roman;serif"/>
          <w:b w:val="false"/>
          <w:i/>
          <w:color w:val="000000"/>
          <w:sz w:val="18"/>
        </w:rPr>
        <w:t>(2)Warrants issuable for little or no cash consideration are considered outstanding common shares and included in the computation of basic net loss per share. As such, for the six months ended June 30, 2026, we included pre-funded common stock warrants in our computation of net loss per share and thus excluded them from the table above. (See Note 8 – Stockholders’ Equity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13.    Related Party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Convertible Notes Payable</w:t>
      </w:r>
    </w:p>
    <w:p>
      <w:pPr>
        <w:pStyle w:val="TextBody"/>
        <w:bidi w:val="0"/>
        <w:spacing w:lineRule="auto" w:line="288" w:before="0" w:after="180"/>
        <w:jc w:val="left"/>
        <w:rPr/>
      </w:pPr>
      <w:r>
        <w:rPr>
          <w:rFonts w:ascii="Times New Roman;serif" w:hAnsi="Times New Roman;serif"/>
          <w:b w:val="false"/>
          <w:color w:val="000000"/>
          <w:sz w:val="20"/>
        </w:rPr>
        <w:t>Our three convertible notes to three of our stockholders for advances up to $3.5 million in principal issued in July 2020 (the “</w:t>
      </w:r>
      <w:r>
        <w:rPr>
          <w:rFonts w:ascii="Times New Roman;serif" w:hAnsi="Times New Roman;serif"/>
          <w:b/>
          <w:i/>
          <w:color w:val="000000"/>
          <w:sz w:val="20"/>
        </w:rPr>
        <w:t>2020 Notes</w:t>
      </w:r>
      <w:r>
        <w:rPr>
          <w:color w:val="000000"/>
        </w:rPr>
        <w:t>”</w:t>
      </w:r>
      <w:r>
        <w:rPr>
          <w:rFonts w:ascii="Times New Roman;serif" w:hAnsi="Times New Roman;serif"/>
          <w:b w:val="false"/>
          <w:color w:val="000000"/>
          <w:sz w:val="20"/>
        </w:rPr>
        <w:t>) bear annual interest of 5% on any amounts drawn. The additional note issued in March 2022 as part of the 2020 Notes, has an annual interest rate of 8%. All principal and interest payments were initially due on or before July 1, 2025. In connection with the issuance of the Lynrock Lake Term Loan on February 26, 2025, the maturity date on these convertible notes payable was extended to October 21, 2027.</w:t>
      </w:r>
    </w:p>
    <w:p>
      <w:pPr>
        <w:pStyle w:val="TextBody"/>
        <w:bidi w:val="0"/>
        <w:spacing w:lineRule="auto" w:line="288" w:before="0" w:after="180"/>
        <w:jc w:val="left"/>
        <w:rPr/>
      </w:pPr>
      <w:r>
        <w:rPr>
          <w:rFonts w:ascii="Times New Roman;serif" w:hAnsi="Times New Roman;serif"/>
          <w:b w:val="false"/>
          <w:color w:val="000000"/>
          <w:sz w:val="20"/>
        </w:rPr>
        <w:t>As of June 30, 2026, an aggregate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91,344</w:t>
      </w:r>
      <w:r>
        <w:rPr>
          <w:color w:val="000000"/>
          <w:shd w:fill="FFFFFF" w:val="clear"/>
        </w:rPr>
        <w:t xml:space="preserve"> </w:t>
      </w:r>
      <w:r>
        <w:rPr>
          <w:rFonts w:ascii="Times New Roman;serif" w:hAnsi="Times New Roman;serif"/>
          <w:b w:val="false"/>
          <w:color w:val="000000"/>
          <w:sz w:val="20"/>
          <w:shd w:fill="FFFFFF" w:val="clear"/>
        </w:rPr>
        <w:t>s</w:t>
      </w:r>
      <w:r>
        <w:rPr>
          <w:rFonts w:ascii="Times New Roman;serif" w:hAnsi="Times New Roman;serif"/>
          <w:b w:val="false"/>
          <w:color w:val="000000"/>
          <w:sz w:val="20"/>
        </w:rPr>
        <w:t>hares of common stock would be issued if the entire principal and interest under the 2020 Notes was converted.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the outstanding amount of the 2020 Notes was $3.2 million, and accrued interest was $0.8 million and $0.7 million,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Working Capital Note</w:t>
      </w:r>
    </w:p>
    <w:p>
      <w:pPr>
        <w:pStyle w:val="TextBody"/>
        <w:bidi w:val="0"/>
        <w:spacing w:lineRule="auto" w:line="288" w:before="0" w:after="180"/>
        <w:jc w:val="left"/>
        <w:rPr/>
      </w:pPr>
      <w:r>
        <w:rPr>
          <w:rFonts w:ascii="Times New Roman;serif" w:hAnsi="Times New Roman;serif"/>
          <w:b w:val="false"/>
          <w:color w:val="000000"/>
          <w:sz w:val="20"/>
        </w:rPr>
        <w:t>As of June 30, 2026 and December 31, 2025, a promissory note (the “</w:t>
      </w:r>
      <w:r>
        <w:rPr>
          <w:rFonts w:ascii="Times New Roman;serif" w:hAnsi="Times New Roman;serif"/>
          <w:b/>
          <w:i/>
          <w:color w:val="000000"/>
          <w:sz w:val="20"/>
        </w:rPr>
        <w:t>Working Capital Note</w:t>
      </w:r>
      <w:r>
        <w:rPr>
          <w:color w:val="000000"/>
        </w:rPr>
        <w:t>”</w:t>
      </w:r>
      <w:r>
        <w:rPr>
          <w:rFonts w:ascii="Times New Roman;serif" w:hAnsi="Times New Roman;serif"/>
          <w:b w:val="false"/>
          <w:color w:val="000000"/>
          <w:sz w:val="20"/>
        </w:rPr>
        <w:t xml:space="preserve">) issued to a stockholder was outstanding in the aggregate principal amount of $0.7 million. The Working Capital Note is interest-free and matures on October 1, 2027. Refer to </w:t>
      </w:r>
      <w:r>
        <w:rPr>
          <w:rFonts w:ascii="Times New Roman;serif" w:hAnsi="Times New Roman;serif"/>
          <w:b w:val="false"/>
          <w:i/>
          <w:color w:val="000000"/>
          <w:sz w:val="20"/>
        </w:rPr>
        <w:t>Note 5 - Long-Term Debt</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Private Placements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April 24, 2025, we completed the April 2025 Private Placement for net proceeds of $0.5 million from Dr. Avi Katz, the Chairman of our Board of Directors, and Dr. Raluca Dinu, the Chief Executive Officer and a member of our Board of Directors, in exchange for a total of 261,644 shares of our common stock and warrants to purchase 523,286 shares of common stock that are issuable upon exercise.</w:t>
      </w:r>
    </w:p>
    <w:p>
      <w:pPr>
        <w:pStyle w:val="TextBody"/>
        <w:bidi w:val="0"/>
        <w:spacing w:lineRule="auto" w:line="288" w:before="0" w:after="180"/>
        <w:jc w:val="left"/>
        <w:rPr/>
      </w:pPr>
      <w:r>
        <w:rPr>
          <w:rFonts w:ascii="Times New Roman;serif" w:hAnsi="Times New Roman;serif"/>
          <w:b w:val="false"/>
          <w:color w:val="000000"/>
          <w:sz w:val="20"/>
        </w:rPr>
        <w:t>On January 22, 2026, we completed the January 2026 Private Placement, for gross proceeds of approximate</w:t>
      </w:r>
      <w:r>
        <w:rPr>
          <w:rFonts w:ascii="Times New Roman;serif" w:hAnsi="Times New Roman;serif"/>
          <w:b w:val="false"/>
          <w:color w:val="000000"/>
          <w:sz w:val="20"/>
          <w:shd w:fill="FFFFFF" w:val="clear"/>
        </w:rPr>
        <w:t>ly $0.2 million</w:t>
      </w:r>
      <w:r>
        <w:rPr>
          <w:color w:val="000000"/>
        </w:rPr>
        <w:t xml:space="preserve"> </w:t>
      </w:r>
      <w:r>
        <w:rPr>
          <w:rFonts w:ascii="Times New Roman;serif" w:hAnsi="Times New Roman;serif"/>
          <w:b w:val="false"/>
          <w:color w:val="000000"/>
          <w:sz w:val="20"/>
        </w:rPr>
        <w:t>from Dr. Avi Katz, the Chairman of our Board of Directors, in exchange for the issuance of 24,107 shares of common stock plus warrants with a term of ten years from the initial exercise date to purchase up to an additional 48,214 shares of common stock with a per share exercise price of $6.43.</w:t>
      </w:r>
    </w:p>
    <w:p>
      <w:pPr>
        <w:pStyle w:val="TextBody"/>
        <w:bidi w:val="0"/>
        <w:spacing w:lineRule="auto" w:line="288" w:before="0" w:after="180"/>
        <w:jc w:val="left"/>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8 - Stockholders’ Equity</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Sublease Agreement</w:t>
      </w:r>
    </w:p>
    <w:p>
      <w:pPr>
        <w:pStyle w:val="TextBody"/>
        <w:bidi w:val="0"/>
        <w:spacing w:lineRule="auto" w:line="288" w:before="0" w:after="180"/>
        <w:jc w:val="left"/>
        <w:rPr/>
      </w:pPr>
      <w:r>
        <w:rPr>
          <w:rFonts w:ascii="Times New Roman;serif" w:hAnsi="Times New Roman;serif"/>
          <w:b w:val="false"/>
          <w:color w:val="000000"/>
          <w:sz w:val="20"/>
        </w:rPr>
        <w:t>On January 23, 2025, we entered into a Sublease Agreement (the “</w:t>
      </w:r>
      <w:r>
        <w:rPr>
          <w:rFonts w:ascii="Times New Roman;serif" w:hAnsi="Times New Roman;serif"/>
          <w:b/>
          <w:i/>
          <w:color w:val="000000"/>
          <w:sz w:val="20"/>
        </w:rPr>
        <w:t>Sublease</w:t>
      </w:r>
      <w:r>
        <w:rPr>
          <w:color w:val="000000"/>
        </w:rPr>
        <w:t>”</w:t>
      </w:r>
      <w:r>
        <w:rPr>
          <w:rFonts w:ascii="Times New Roman;serif" w:hAnsi="Times New Roman;serif"/>
          <w:b w:val="false"/>
          <w:color w:val="000000"/>
          <w:sz w:val="20"/>
        </w:rPr>
        <w:t>) with a related party, pursuant to which the Sublessee will sublease certain space, currently leased from Hamilton Landing Novato LLC by us pursuant to the “</w:t>
      </w:r>
      <w:r>
        <w:rPr>
          <w:rFonts w:ascii="Times New Roman;serif" w:hAnsi="Times New Roman;serif"/>
          <w:b/>
          <w:i/>
          <w:color w:val="000000"/>
          <w:sz w:val="20"/>
        </w:rPr>
        <w:t>Prime Lease</w:t>
      </w:r>
      <w:r>
        <w:rPr>
          <w:color w:val="000000"/>
        </w:rPr>
        <w:t xml:space="preserve">” </w:t>
      </w:r>
      <w:r>
        <w:rPr>
          <w:rFonts w:ascii="Times New Roman;serif" w:hAnsi="Times New Roman;serif"/>
          <w:b w:val="false"/>
          <w:color w:val="000000"/>
          <w:sz w:val="20"/>
        </w:rPr>
        <w:t>(as defined in the Sublease), to the Sublessee for use in our operations, on a full-time and exclusive basis. The Sublessee will pay to us a rental fee for the Subleased Space as defined in the Sublease in an amount equal to $6 thousand per month through May 31, 2027. The term of the Sublease is one year unless terminated and will auto-renew on a month-to-month basis thereafter, unless otherwise terminated. The Sublease will expire automatically upon the termination of the Prime Lease, which is set to terminate in April 2027. We recorded sublease income of $18 thousand and $17 thousand in our unaudited condensed consolidated statements of operations and comprehensive loss for the three months ended June 30, 2026 and 2025, respectively, and $35 thousand and $34 thousand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0" w:after="180"/>
        <w:jc w:val="left"/>
        <w:rPr/>
      </w:pPr>
      <w:r>
        <w:rPr>
          <w:rFonts w:ascii="Times New Roman;serif" w:hAnsi="Times New Roman;serif"/>
          <w:b w:val="false"/>
          <w:color w:val="000000"/>
          <w:sz w:val="20"/>
        </w:rPr>
        <w:t>We have one operating and reportable segment, which is engaged in the development and commercialization of our Breast Acoustic CT Scanner. Our Chief Executive Officer has been determined to be the chief operating decision maker (“</w:t>
      </w:r>
      <w:r>
        <w:rPr>
          <w:rFonts w:ascii="Times New Roman;serif" w:hAnsi="Times New Roman;serif"/>
          <w:b/>
          <w:i/>
          <w:color w:val="000000"/>
          <w:sz w:val="20"/>
        </w:rPr>
        <w:t>CODM</w:t>
      </w:r>
      <w:r>
        <w:rPr>
          <w:color w:val="000000"/>
        </w:rPr>
        <w:t>”</w:t>
      </w:r>
      <w:r>
        <w:rPr>
          <w:rFonts w:ascii="Times New Roman;serif" w:hAnsi="Times New Roman;serif"/>
          <w:b w:val="false"/>
          <w:color w:val="000000"/>
          <w:sz w:val="20"/>
        </w:rPr>
        <w:t xml:space="preserve">). The CODM assesses performance, makes operating decisions and decides how to allocate resources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loss that is reported on the unaudited consolidated statements of operations and comprehensive loss. The measure of segment assets is reported on the unaudited condensed consolidated balance sheets as total consolidated assets.</w:t>
      </w:r>
    </w:p>
    <w:p>
      <w:pPr>
        <w:pStyle w:val="TextBody"/>
        <w:bidi w:val="0"/>
        <w:spacing w:lineRule="auto" w:line="288" w:before="0" w:after="180"/>
        <w:jc w:val="left"/>
        <w:rPr/>
      </w:pPr>
      <w:r>
        <w:rPr>
          <w:rFonts w:ascii="Times New Roman;serif" w:hAnsi="Times New Roman;serif"/>
          <w:b w:val="false"/>
          <w:color w:val="000000"/>
          <w:sz w:val="20"/>
        </w:rPr>
        <w:t xml:space="preserve">The following table presents information about reported segment revenue, significant segment expenses, and segment net loss for the three and six months ended June 30, 2026 and 2025 </w:t>
      </w:r>
      <w:r>
        <w:rPr>
          <w:rFonts w:ascii="Times New Roman;serif" w:hAnsi="Times New Roman;serif"/>
          <w:b w:val="false"/>
          <w:i/>
          <w:color w:val="000000"/>
          <w:sz w:val="20"/>
        </w:rPr>
        <w:t>(in thousands)</w:t>
      </w:r>
      <w:r>
        <w:rPr>
          <w:rFonts w:ascii="Times New Roman;serif" w:hAnsi="Times New Roman;serif"/>
          <w:b w:val="false"/>
          <w:color w:val="000000"/>
          <w:sz w:val="20"/>
        </w:rPr>
        <w:t xml:space="preserve">: </w:t>
      </w:r>
    </w:p>
    <w:tbl>
      <w:tblPr>
        <w:tblW w:w="9601" w:type="dxa"/>
        <w:jc w:val="left"/>
        <w:tblInd w:w="0" w:type="dxa"/>
        <w:tblLayout w:type="fixed"/>
        <w:tblCellMar>
          <w:top w:w="28" w:type="dxa"/>
          <w:left w:w="28" w:type="dxa"/>
          <w:bottom w:w="28" w:type="dxa"/>
          <w:right w:w="28" w:type="dxa"/>
        </w:tblCellMar>
      </w:tblPr>
      <w:tblGrid>
        <w:gridCol w:w="1504"/>
        <w:gridCol w:w="1323"/>
        <w:gridCol w:w="1328"/>
        <w:gridCol w:w="225"/>
        <w:gridCol w:w="851"/>
        <w:gridCol w:w="116"/>
        <w:gridCol w:w="116"/>
        <w:gridCol w:w="116"/>
        <w:gridCol w:w="116"/>
        <w:gridCol w:w="225"/>
        <w:gridCol w:w="739"/>
        <w:gridCol w:w="116"/>
        <w:gridCol w:w="109"/>
        <w:gridCol w:w="109"/>
        <w:gridCol w:w="109"/>
        <w:gridCol w:w="211"/>
        <w:gridCol w:w="796"/>
        <w:gridCol w:w="109"/>
        <w:gridCol w:w="109"/>
        <w:gridCol w:w="109"/>
        <w:gridCol w:w="109"/>
        <w:gridCol w:w="211"/>
        <w:gridCol w:w="691"/>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Selling, general and administrative </w:t>
            </w:r>
            <w:r>
              <w:rPr>
                <w:rFonts w:ascii="Times New Roman;serif" w:hAnsi="Times New Roman;serif"/>
                <w:b w:val="false"/>
                <w:color w:val="000000"/>
                <w:sz w:val="13"/>
              </w:rPr>
              <w:t>(1)</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expense (income),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Change in fair value of warrant liability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Change in fair value of derivative liability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Change in fair value of earnout liability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debt extinguishment and modification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expense,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expense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Consolidated net loss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270"/>
        <w:jc w:val="left"/>
        <w:rPr/>
      </w:pPr>
      <w:r>
        <w:rPr>
          <w:rFonts w:ascii="Times New Roman;serif" w:hAnsi="Times New Roman;serif"/>
          <w:b w:val="false"/>
          <w:i/>
          <w:color w:val="000000"/>
          <w:sz w:val="20"/>
        </w:rPr>
        <w:t>(1)    Includes total salaries, bonuses, employee benefits and stock-based compensation of $3.3 million and $1.8 million for the three months ended June 30, 2026 and 2025, respectively, and $6.2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$3.4 million</w:t>
      </w:r>
      <w:r>
        <w:rPr>
          <w:color w:val="000000"/>
        </w:rPr>
        <w:t xml:space="preserve"> </w:t>
      </w:r>
      <w:r>
        <w:rPr>
          <w:rFonts w:ascii="Times New Roman;serif" w:hAnsi="Times New Roman;serif"/>
          <w:b w:val="false"/>
          <w:i/>
          <w:color w:val="000000"/>
          <w:sz w:val="20"/>
        </w:rPr>
        <w:t>for the six months ended June 30, 2026 and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of our long-lived assets are located in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July 28, 2026, we increased the number of authorized shares of common stock pursuant to the 2024 EIP by 550,900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left"/>
        <w:rPr/>
      </w:pPr>
      <w:r>
        <w:rPr>
          <w:rFonts w:ascii="Times New Roman;serif" w:hAnsi="Times New Roman;serif"/>
          <w:b w:val="false"/>
          <w:color w:val="000000"/>
          <w:sz w:val="20"/>
        </w:rPr>
        <w:t>Unless otherwise indicated or the context otherwise requires, references in this Quarterly Report on Form 10-Q (this “</w:t>
      </w:r>
      <w:r>
        <w:rPr>
          <w:rFonts w:ascii="Times New Roman;serif" w:hAnsi="Times New Roman;serif"/>
          <w:b/>
          <w:i/>
          <w:color w:val="000000"/>
          <w:sz w:val="20"/>
        </w:rPr>
        <w:t>Quarterly Report</w:t>
      </w:r>
      <w:r>
        <w:rPr>
          <w:color w:val="000000"/>
        </w:rPr>
        <w:t>”</w:t>
      </w:r>
      <w:r>
        <w:rPr>
          <w:rFonts w:ascii="Times New Roman;serif" w:hAnsi="Times New Roman;serif"/>
          <w:b w:val="false"/>
          <w:color w:val="000000"/>
          <w:sz w:val="20"/>
        </w:rPr>
        <w:t>) to “</w:t>
      </w:r>
      <w:r>
        <w:rPr>
          <w:rFonts w:ascii="Times New Roman;serif" w:hAnsi="Times New Roman;serif"/>
          <w:b w:val="false"/>
          <w:i/>
          <w:color w:val="000000"/>
          <w:sz w:val="20"/>
        </w:rPr>
        <w:t>we</w:t>
      </w:r>
      <w:r>
        <w:rPr>
          <w:rFonts w:ascii="Times New Roman;serif" w:hAnsi="Times New Roman;serif"/>
          <w:b w:val="false"/>
          <w:color w:val="000000"/>
          <w:sz w:val="20"/>
        </w:rPr>
        <w:t>,” “</w:t>
      </w:r>
      <w:r>
        <w:rPr>
          <w:rFonts w:ascii="Times New Roman;serif" w:hAnsi="Times New Roman;serif"/>
          <w:b w:val="false"/>
          <w:i/>
          <w:color w:val="000000"/>
          <w:sz w:val="20"/>
        </w:rPr>
        <w:t>our</w:t>
      </w:r>
      <w:r>
        <w:rPr>
          <w:rFonts w:ascii="Times New Roman;serif" w:hAnsi="Times New Roman;serif"/>
          <w:b w:val="false"/>
          <w:color w:val="000000"/>
          <w:sz w:val="20"/>
        </w:rPr>
        <w:t>,” “</w:t>
      </w:r>
      <w:r>
        <w:rPr>
          <w:rFonts w:ascii="Times New Roman;serif" w:hAnsi="Times New Roman;serif"/>
          <w:b w:val="false"/>
          <w:i/>
          <w:color w:val="000000"/>
          <w:sz w:val="20"/>
        </w:rPr>
        <w:t>us</w:t>
      </w:r>
      <w:r>
        <w:rPr>
          <w:rFonts w:ascii="Times New Roman;serif" w:hAnsi="Times New Roman;serif"/>
          <w:b w:val="false"/>
          <w:color w:val="000000"/>
          <w:sz w:val="20"/>
        </w:rPr>
        <w:t>,” “</w:t>
      </w:r>
      <w:r>
        <w:rPr>
          <w:rFonts w:ascii="Times New Roman;serif" w:hAnsi="Times New Roman;serif"/>
          <w:b w:val="false"/>
          <w:i/>
          <w:color w:val="000000"/>
          <w:sz w:val="20"/>
        </w:rPr>
        <w:t>QT Imaging</w:t>
      </w:r>
      <w:r>
        <w:rPr>
          <w:rFonts w:ascii="Times New Roman;serif" w:hAnsi="Times New Roman;serif"/>
          <w:b w:val="false"/>
          <w:color w:val="000000"/>
          <w:sz w:val="20"/>
        </w:rPr>
        <w:t>,” “</w:t>
      </w:r>
      <w:r>
        <w:rPr>
          <w:rFonts w:ascii="Times New Roman;serif" w:hAnsi="Times New Roman;serif"/>
          <w:b w:val="false"/>
          <w:i/>
          <w:color w:val="000000"/>
          <w:sz w:val="20"/>
        </w:rPr>
        <w:t>QT Imaging Holdings</w:t>
      </w:r>
      <w:r>
        <w:rPr>
          <w:rFonts w:ascii="Times New Roman;serif" w:hAnsi="Times New Roman;serif"/>
          <w:b w:val="false"/>
          <w:color w:val="000000"/>
          <w:sz w:val="20"/>
        </w:rPr>
        <w:t>,” or the “</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color w:val="000000"/>
          <w:sz w:val="20"/>
        </w:rPr>
        <w:t>and other similar terms refer to QT Imaging Holdings, Inc. and its consolidated subsidiaries. The following discussion and analysis provides information which management believes is relevant to an assessment and understanding of our consolidated results of operations and financial condition. You should read the following discussion and analysis of our financial condition and results of operations in conjunction with the unaudited condensed consolidated financial statements and notes thereto contained in this Quarterly Report.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jc w:val="left"/>
        <w:rPr/>
      </w:pPr>
      <w:r>
        <w:rPr>
          <w:rFonts w:ascii="Times New Roman;serif" w:hAnsi="Times New Roman;serif"/>
          <w:b w:val="false"/>
          <w:color w:val="000000"/>
          <w:sz w:val="20"/>
        </w:rPr>
        <w:t>This Quarterly Report includes “forward-looking statements” within the meaning of Section 27A of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 Section 21E of the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xml:space="preserve">),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regarding our financial position, business strategy, and the plans and objectives of management for future operations, are forward-looking statements. Words such as “expect,” “believe,” “anticipate,” “intend,” “estimate,” “seek,” “may,” “might,” “plan,” “possible,” “potential,” “should, “would,” and similar words and expressions are intended to identify such forward-looking statements. Such forward</w:t>
        <w:noBreakHyphen/>
        <w:t xml:space="preserve">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section in Part II, Item 1A. of this Quarterly Report,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our Annual Report, and in any more recent filings with the SEC. Our securities filings can be accessed on the EDGAR section of the SEC’s website at www.sec.gov. Except as expressly required by applicable securities law, we disclaim any intention or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medical device company founded in 2012 and engaged in the research, development, and commercialization of innovative body imaging systems using low energy sound. We believe that medical imaging is critical to the detection, diagnosis, and treatment of disease, and that it should be safe, affordable, and accessible. Our goal is to improve global health outcomes through the development and commercialization of imaging devices that address critical healthcare challenges with accuracy and precision.</w:t>
      </w:r>
    </w:p>
    <w:p>
      <w:pPr>
        <w:pStyle w:val="TextBody"/>
        <w:bidi w:val="0"/>
        <w:spacing w:lineRule="auto" w:line="288" w:before="0" w:after="180"/>
        <w:jc w:val="left"/>
        <w:rPr/>
      </w:pPr>
      <w:r>
        <w:rPr>
          <w:rFonts w:ascii="Times New Roman;serif" w:hAnsi="Times New Roman;serif"/>
          <w:b w:val="false"/>
          <w:color w:val="000000"/>
          <w:sz w:val="20"/>
        </w:rPr>
        <w:t>With the support of nearly $18.0 million in financial support from the U.S. National Institutes of Health (“</w:t>
      </w:r>
      <w:r>
        <w:rPr>
          <w:rFonts w:ascii="Times New Roman;serif" w:hAnsi="Times New Roman;serif"/>
          <w:b/>
          <w:i/>
          <w:color w:val="000000"/>
          <w:sz w:val="20"/>
        </w:rPr>
        <w:t>NIH</w:t>
      </w:r>
      <w:r>
        <w:rPr>
          <w:color w:val="000000"/>
        </w:rPr>
        <w:t>”</w:t>
      </w:r>
      <w:r>
        <w:rPr>
          <w:rFonts w:ascii="Times New Roman;serif" w:hAnsi="Times New Roman;serif"/>
          <w:b w:val="false"/>
          <w:color w:val="000000"/>
          <w:sz w:val="20"/>
        </w:rPr>
        <w:t>), we developed a novel, comprehensive body imaging technology that has high resolution, high sensitivity, high specificity, high positive and negative predictive values, and is safe and inexpensive. The technology is based on ultra-low frequency transmitted sound and uses a one-of-a-kind novel sound back-scatter design and inverse-scattering reconstruction to create its images.</w:t>
      </w:r>
    </w:p>
    <w:p>
      <w:pPr>
        <w:pStyle w:val="TextBody"/>
        <w:bidi w:val="0"/>
        <w:spacing w:lineRule="auto" w:line="288" w:before="0" w:after="180"/>
        <w:jc w:val="left"/>
        <w:rPr/>
      </w:pPr>
      <w:r>
        <w:rPr>
          <w:rFonts w:ascii="Times New Roman;serif" w:hAnsi="Times New Roman;serif"/>
          <w:b w:val="false"/>
          <w:color w:val="000000"/>
          <w:sz w:val="20"/>
        </w:rPr>
        <w:t>Our current Breast Acoustic CT Scanner is a Class II device subject to premarket notification and clearance under Section 510(k) of the Federal Food, Drug, and Cosmetic Act (“</w:t>
      </w:r>
      <w:r>
        <w:rPr>
          <w:rFonts w:ascii="Times New Roman;serif" w:hAnsi="Times New Roman;serif"/>
          <w:b/>
          <w:i/>
          <w:color w:val="000000"/>
          <w:sz w:val="20"/>
        </w:rPr>
        <w:t>FDCA</w:t>
      </w:r>
      <w:r>
        <w:rPr>
          <w:color w:val="000000"/>
        </w:rPr>
        <w:t>”</w:t>
      </w:r>
      <w:r>
        <w:rPr>
          <w:rFonts w:ascii="Times New Roman;serif" w:hAnsi="Times New Roman;serif"/>
          <w:b w:val="false"/>
          <w:color w:val="000000"/>
          <w:sz w:val="20"/>
        </w:rPr>
        <w:t xml:space="preserve">). On August 23, 2016, we submitted a Section 510(K) Summary of Safety and Effectiveness application for the Breast Acoustic CT Scanner in accordance with 21 CFR 807.92 under 510(K) Number K162372. As part of meeting the general requirements for basic safety and essential performance of the Breast Acoustic CT Scanner (formerly, QT Ultrasound Breast Scanner) pursuant to AAMI ES60601-1:2005/(R)2012 and A1:2012 Medical electrical equipment, testing was conducted by Intertek, an independent testing laboratory, located in Menlo Park, CA. Intertek also conducted applicable testing pursuant to IEC 60601-1-6 Edition 3.1 2013-10-Medical electrical equipment Part 1-6 General requirements for safety - Collateral Standard: Usability. In addition, we conducted, and Intertek witnessed, all applicable testing pertaining to the requirements for the safety of ultrasonic medical diagnostic and monitoring equipment and to demonstrate compliance with the </w:t>
      </w:r>
      <w:r>
        <w:rPr>
          <w:rFonts w:ascii="Times New Roman;serif" w:hAnsi="Times New Roman;serif"/>
          <w:b w:val="false"/>
          <w:i/>
          <w:color w:val="000000"/>
          <w:sz w:val="20"/>
        </w:rPr>
        <w:t>Acoustic Output Measurement Standard for Diagnostic Ultrasound Equipment</w:t>
      </w:r>
      <w:r>
        <w:rPr>
          <w:rFonts w:ascii="Times New Roman;serif" w:hAnsi="Times New Roman;serif"/>
          <w:b w:val="false"/>
          <w:color w:val="000000"/>
          <w:sz w:val="20"/>
        </w:rPr>
        <w:t>. This test on acoustic output was pursuant to IEC 60601-2-37 Edition 2.0.2007 Medical electrical equipment - Part 2-37: Particular requirements for the basic safety and essential performance of ultrasonic medical diagnostic and monitoring equipment. Finally, system verification testing was conducted to ensure that the Breast Acoustic CT Scanner met all design and other requirements including but not limited to that no new issues of safety or effectiveness compared to the predicate device, SoftVue System manufactured by Delphinus Medical Technologies, were raised.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Since our inception, we have devoted substantially all our financial resources to acquiring and developing the base technology for our body imaging systems, conducting research and development activities, securing related intellectual property rights, and for managing corporate operations and growth. On June 6, 2017, the FDA, in response to QT Imaging’s Section 510(K) Summary of Safety and Effectiveness premarket notification, determined that the Breast Acoustic CT Scanner is substantially equivalent to the predicate device. Our use of the words “safe,” “safety,” “effectiveness,” and “efficacy” in relation to the Breast Acoustic CT Scanner in this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and all other documents related to us is limited to the context of the Section 510(K) Summary of Safety and Effectiveness that was reviewed and responded to by the FDA.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strategies for commercializing the Breast Acoustic CT Scanner include the following:</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Create disruptive technological innovation (software, artificial intelligence, and smart physics) to improve medical imaging and thus health care quality and access;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Continue to improve our high quality, high resolution, native 3D, reproducible image quality regardless of operator or breast size/tissue type breast imaging technology, as well as the techniques for quantifiable analysis, comparison, and training;</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Partner with strategic business and distribution channels to address the U.S. market for breast imaging immediately and, other regions in the future, to place the Breast Acoustic CT Scanner in hospitals, radiology centers, etc. and generate awareness of the benefits of our technology;</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shd w:fill="FFFFFF" w:val="clear"/>
        </w:rPr>
        <w:t>Perform manufacturing internally to us and partner strategically for large scale manufacturing;</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Expand the market by supporting additional Direct-to-Customer and Direct-to-Patient approaches to enable the ability to lower health care costs and increase access via personal medical imaging;</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Provide a new social and economic opportunity for consumers to take control of some aspects of their own health care—such as imaging for minor injuries or medical conditions without needing a healthcare “gate-keeper;” and</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Focus our intellectual capabilities and ethical framework to become unified in our mission to improve the quality and lower the cost of health care world-wide . . . “It’s about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incurred net operating losses and negative cash flows from operations since our inception and had an accumulated deficit of $67.5 million as of June 30, 2026. During the three and six months ended June 30, 2026, we incurred a net loss of $11.1 million and had a net operating cash outflow of $8.5 million. We continue to incur losses, and our ability to achieve and sustain profitability will depend on the achievement of sufficient revenue to support our cost structure. We may never achieve profitability and, unless and until we do, we will need to continue to raise additional capital.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incur additional recurring administrative expenses associated as a publicly traded company, including costs associated with compliance under the Exchange Act, annual and quarterly reports to stockholders, transfer agent fees, audit fees, incremental director and officer liability insurance costs, Sarbanes-Oxley Act compliance readiness, and director and officer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January 19, 2026, we entered into the Al Naghi Distribution Agreement for an initial term of three years. Under the terms of the Al Naghi Distribution Agreement, we granted to Al Naghi the exclusive right to market, advertise, and sell our Breast Acoustic CT Scanner and the QTI Cloud SaaS platform subscriptions in the UAE, with MOQs of 7 scanners in 2026, 16 scanners in 2027, and 20 scanners in 2028, for a total minimum of 43 scanners, representing revenue of more than $24 million in 2026 through 2028, upon regulatory approval from the EDE in the UAE, which was received on March 17, 2026.</w:t>
      </w:r>
    </w:p>
    <w:p>
      <w:pPr>
        <w:pStyle w:val="TextBody"/>
        <w:bidi w:val="0"/>
        <w:spacing w:lineRule="auto" w:line="288" w:before="0" w:after="180"/>
        <w:jc w:val="left"/>
        <w:rPr/>
      </w:pPr>
      <w:r>
        <w:rPr>
          <w:rFonts w:ascii="Times New Roman;serif" w:hAnsi="Times New Roman;serif"/>
          <w:b w:val="false"/>
          <w:color w:val="000000"/>
          <w:sz w:val="20"/>
        </w:rPr>
        <w:t>On January 22, 2026, we entered into the Fourth Securities Purchase Agreement where we received approximate</w:t>
      </w:r>
      <w:r>
        <w:rPr>
          <w:rFonts w:ascii="Times New Roman;serif" w:hAnsi="Times New Roman;serif"/>
          <w:b w:val="false"/>
          <w:color w:val="000000"/>
          <w:sz w:val="20"/>
          <w:shd w:fill="FFFFFF" w:val="clear"/>
        </w:rPr>
        <w:t>ly $0.2 million</w:t>
      </w:r>
      <w:r>
        <w:rPr>
          <w:color w:val="000000"/>
        </w:rPr>
        <w:t xml:space="preserve"> </w:t>
      </w:r>
      <w:r>
        <w:rPr>
          <w:rFonts w:ascii="Times New Roman;serif" w:hAnsi="Times New Roman;serif"/>
          <w:b w:val="false"/>
          <w:color w:val="000000"/>
          <w:sz w:val="20"/>
        </w:rPr>
        <w:t>from Dr. Avi Katz, the Chairman of our Board of Directors, in exchange for the issuance of (i) 24,107 shares of common stock at a per share purchase price of $6.43, which represented 110% of the 5-day volume weighted trading price for the common stock on January 22, 2026; and (ii) warrants with a term of ten years from the initial exercise date to purchase up to an additional 48,214 shares of common stock with a per share exercise price of $6.43. We used the net proceeds from the offering for working capital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Effective January 28, 2026, upon meeting all of the Nasdaq listing requirements, our common stock was uplisted from the OTCQB Venture Market to the Nasdaq Capital Market and began trading under the ticker symbol “QTI.”</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12, 2026, we and Lynrock Lake entered into the Lynrock Lake Second Amended Credit Agreement to extend the maturity date of the Lynrock Lake Term Loan from March 31, 2027 to March 31, 2029, and to increase the interest rate from 10% to 12% per annum.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18, 2026, we completed the May 2026 Public Offering of 1,200,000 shares of our common stock, par value $0.0001 per share, at $5.00 per share, and 800,000 May 2026 Pre-Funded Warrants at $4.9999 each, less underwriting discounts and commissions. Net proceeds from the May 2026 Public Offering were $8.9 million, after deducting underwriting discounts and commissions and offering expenses payable by us. The May 2026 Pre-Funded Warrants are exercisable for one share of common stock at an exercise price of $0.0001 per share and may be exercised at any time until exercised in full.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consists of revenue from the sale of our products including the Breast Acoustic CT Scanner, associated software, accessories, and related services, which are primarily training and maintenance. For sales of products (which include the Breast Acoustic CT Scanner and any accessories), revenue is recognized when a customer obtains control of the promised goods. The amount of revenue recognized reflects the consideration we expect to be entitled to receive in exchange for these goods. Service revenue is generally related to maintenance and training the customer. Service revenue is recognized at the time the related performance obligation is satisfied, in an amount that reflects the consideration that we expect to receive in exchange for those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revenue consists of our product costs, which includes manufacturing costs, payroll and payroll related costs, stock-based compensation expenses, duties and other applicable importing costs, shipping and handling costs, packaging costs, warranty replacement costs, fulfillment costs, inventory obsolescence and write-offs, and direct or allocated expenses for rent, maintenance of facilities, insurance, and other overhead. We expect our cost of revenue to increase in absolute dollars and decrease as a percentage of revenue over time as we shift to new manufacturing processes and vendors that we anticipate will result in greater efficiency and lower per unit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we will continue to invest additional resources into our products to expand and further develop our offerings. The level and timing of investment in these areas could affect our cost of revenue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in connection with the research and development of our products, which include compensation and benefits expenses (including payroll and payroll related costs and stock-based compensation expenses), consultant costs, professional services costs, material and supplies costs, clinical study costs, and direct or allocated expenses for rent, maintenance of facilities, insurance, and other overhead.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expense all research and development costs in the periods in which such costs are incurred. Research and development activities are central to our business. We expect that our research and development expenses will increase substantially for the foreseeable future as we continue to invest in the continued development of the Breast Acoustic CT Scanner.</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cannot reasonably determine the nature, timing and costs of the efforts that will be necessary to build our QTI Cloud SaaS platform, run clinical trials that are necessary to generate biomarker data, and reduce the bill of materials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costs to manufacture the </w:t>
      </w:r>
      <w:r>
        <w:rPr>
          <w:rFonts w:ascii="Times New Roman;serif" w:hAnsi="Times New Roman;serif"/>
          <w:b w:val="false"/>
          <w:color w:val="000000"/>
          <w:sz w:val="20"/>
        </w:rPr>
        <w:t>Breast Acoustic CT Scanner</w:t>
      </w:r>
      <w:r>
        <w:rPr>
          <w:rFonts w:ascii="Times New Roman;serif" w:hAnsi="Times New Roman;serif"/>
          <w:b w:val="false"/>
          <w:color w:val="000000"/>
          <w:sz w:val="20"/>
          <w:shd w:fill="FFFFFF" w:val="clear"/>
        </w:rPr>
        <w:t>. Our research and development expenses may vary significantly based on factors such as, without limitation:</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timing and progress of development activities;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Our ability to maintain our current research and development programs and to establish new ones;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receipt of regulatory approvals from applicable regulatory authorities without the need for independent clinical trials or validation;</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Duration of subject participation in any trials and follow-ups;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countries and jurisdictions in which the trials are conducted;</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Length of time required to enroll eligible subjects and initiate trials;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Per trial subject costs;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Number of trials required for regulatory approval;</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timing, receipt, and terms of any marketing approvals from applicable regulatory authorities;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success of our distribution arrangements, and our ability to establish new licensing or collaboration arrangements outside of U.S.;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hiring and retention of research and development personnel;</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Obtaining, maintaining, defending, and enforcing intellectual property rights; and</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phases of development of our product candidates.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changes in the outcome of any of these variables with respect to the development of our products or product candidates could significantly change the costs and timing associated with the development of these products and product candidates.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compensation and benefits expenses (including payroll and payroll related costs and stock-based compensation expenses), consultant costs, professional services costs, which include legal, investor relations, intellectual property, audit, accounting, and tax services, marketing costs, and direct or allocated expenses for rent, maintenance of facilities, insurance, and other overhead.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anticipate that our selling, general and administrative expenses will increase to support our expanding headcount and operations, increased costs of operating as a public company, the development of a commercial infrastructure to support commercialization of our products and product candidates, increased support for existing and new distribution partner relationships, and the use of outside service providers such as insurers, consultants, lawyers, and accountants. We also expect selling expenses to increase in the near term as we promote our brand through marketing and advertising initiatives, expand market presence, and hire additional personnel to drive penetration and generate leads.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 (in thousands)</w:t>
      </w:r>
    </w:p>
    <w:tbl>
      <w:tblPr>
        <w:tblW w:w="8890" w:type="dxa"/>
        <w:jc w:val="left"/>
        <w:tblInd w:w="0" w:type="dxa"/>
        <w:tblLayout w:type="fixed"/>
        <w:tblCellMar>
          <w:top w:w="28" w:type="dxa"/>
          <w:left w:w="28" w:type="dxa"/>
          <w:bottom w:w="28" w:type="dxa"/>
          <w:right w:w="28" w:type="dxa"/>
        </w:tblCellMar>
      </w:tblPr>
      <w:tblGrid>
        <w:gridCol w:w="1415"/>
        <w:gridCol w:w="1249"/>
        <w:gridCol w:w="1251"/>
        <w:gridCol w:w="211"/>
        <w:gridCol w:w="796"/>
        <w:gridCol w:w="109"/>
        <w:gridCol w:w="109"/>
        <w:gridCol w:w="109"/>
        <w:gridCol w:w="109"/>
        <w:gridCol w:w="211"/>
        <w:gridCol w:w="691"/>
        <w:gridCol w:w="109"/>
        <w:gridCol w:w="109"/>
        <w:gridCol w:w="109"/>
        <w:gridCol w:w="109"/>
        <w:gridCol w:w="211"/>
        <w:gridCol w:w="691"/>
        <w:gridCol w:w="109"/>
        <w:gridCol w:w="109"/>
        <w:gridCol w:w="109"/>
        <w:gridCol w:w="109"/>
        <w:gridCol w:w="269"/>
        <w:gridCol w:w="271"/>
        <w:gridCol w:w="316"/>
      </w:tblGrid>
      <w:tr>
        <w:trPr/>
        <w:tc>
          <w:tcPr>
            <w:tcW w:w="141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net: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 and modification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Revenue increased by $3.8 million to $7.4 million during the three months ended June 30, 2026 from $3.7 million during the three months ended June 30, 2025. The increase was primarily due to the sale of 15 Breast Acoustic CT Scanners during the three months ended June 30, 2026, as compared with eight scanners sold during the three months ended June 30, 2025, in accordance with MOQs per the Amended NXC Distribution Agreement.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Cost of revenue increased by $2.5 million to $4.4 million during the three months ended June 30, 2026 from $1.8 million during the three months ended June 30, 2025. The increase was primarily due to the sale of 15 Breast Acoustic CT Scanners during the three months ended June 30, 2026, as compared with eight scanners sold during the three months ended June 30, 2025.</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$0.7 million to $1.6 million during the three months ended June 30, 2026 from $0.9 million during the three months ended June 30, 2025. The increase was primarily due to an increase in professional service costs of $0.4 million and an increase in compensation and benefits expenses of $0.4 million due to higher headcount and merit-related salary increases.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$1.3 million to $3.3 million during the three months ended June 30, 2026 from $2.0 million during the three months ended June 30, 2025. The increase was primarily due to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increase in compensation and benefits expenses of $1.1 million due to higher headcount and merit-related salary increases, an increase in marketing expenses of $0.2 million, and an increase in professional services costs of $0.1 million.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by $0.4 million to $0.7 million during the three months ended June 30, 2026 from $0.4 million during the three months ended June 30, 2025. The increase was primarily due to the increase in interest and debt discount amortization for the Lynrock Lake Term Loan.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Warrant Liability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 changed by $2.9 million to a benefit of $0.1 million during the three months ended June 30, 2026 from expense of $2.8 million during the three months ended June 30, 2025. The change was primarily due to the $2.8 million increase in the market value of the Lynrock Lake Warrant and Yorkville Warrant, which were issued in the first quarter of 2025 and subsequently revalued on June 11, 2025 upon modification during the 2025 period, partially offset by a $0.1 million decrease in the market value of the outstanding public warrants during the three months ended June 30, 2026.</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Earnout Liability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earnout liability changed by $0.5 million to expense of $0.3 million during the three months ended June 30, 2026 from income of $0.2 million during the three months ended June 30, 2025. The change was primarily due to changes in the probability of outcome related to our revenue assumptions.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Change in Loss on Debt Extinguishment and Modification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 and modification increased by $8.3 million during the three months ended June 30, 2026 from nil during the three months ended June 30, 2025. The increase was due to noncash expense incurred in connection with the modification of the Lynrock Lake Term Loan on May 12, 2026, which was account for as an extinguishment of debt. As a result, the unamortized debt discount related to the Lynrock Lake Term Loan of $8.3 million was expensed in the three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 (in thousands)</w:t>
      </w:r>
    </w:p>
    <w:tbl>
      <w:tblPr>
        <w:tblW w:w="8920" w:type="dxa"/>
        <w:jc w:val="left"/>
        <w:tblInd w:w="0" w:type="dxa"/>
        <w:tblLayout w:type="fixed"/>
        <w:tblCellMar>
          <w:top w:w="28" w:type="dxa"/>
          <w:left w:w="28" w:type="dxa"/>
          <w:bottom w:w="28" w:type="dxa"/>
          <w:right w:w="28" w:type="dxa"/>
        </w:tblCellMar>
      </w:tblPr>
      <w:tblGrid>
        <w:gridCol w:w="1415"/>
        <w:gridCol w:w="1249"/>
        <w:gridCol w:w="1251"/>
        <w:gridCol w:w="211"/>
        <w:gridCol w:w="796"/>
        <w:gridCol w:w="109"/>
        <w:gridCol w:w="109"/>
        <w:gridCol w:w="109"/>
        <w:gridCol w:w="109"/>
        <w:gridCol w:w="211"/>
        <w:gridCol w:w="796"/>
        <w:gridCol w:w="109"/>
        <w:gridCol w:w="109"/>
        <w:gridCol w:w="109"/>
        <w:gridCol w:w="109"/>
        <w:gridCol w:w="211"/>
        <w:gridCol w:w="616"/>
        <w:gridCol w:w="109"/>
        <w:gridCol w:w="109"/>
        <w:gridCol w:w="109"/>
        <w:gridCol w:w="109"/>
        <w:gridCol w:w="269"/>
        <w:gridCol w:w="271"/>
        <w:gridCol w:w="316"/>
      </w:tblGrid>
      <w:tr>
        <w:trPr/>
        <w:tc>
          <w:tcPr>
            <w:tcW w:w="141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net: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 and modification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Revenue increased by $7.5 million to $14.0 million during the six months ended June 30, 2026 from $6.5 million during the six months ended June 30, 2025. The increase was primarily due to the sale of 28 Breast Acoustic CT Scanners during the six months ended June 30, 2026, as compared with 14 scanners sold during the six months ended June 30, 2025, in accordance with MOQs per the Amended NXC Distribution Agreement.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Cost of revenue increased by $5.4 million to $8.2 million during the six months ended June 30, 2026 from $2.8 million during the six months ended June 30, 2025. The increase was primarily due to the sale of 28 Breast Acoustic CT Scanners during the six months ended June 30, 2026, as compared with 14 scanners sold during the six months ended June 30, 2025, including one scanner that had been repurchased at a lower cost and one depreciated scanner that had been repurposed for sale.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$1.6 million to $3.3 million during the six months ended June 30, 2026 from $1.8 million during the six months ended June 30, 2025. The increase was primarily due to an increase in professional service costs of $1.0 million, an increase in compensation and benefits expenses of $0.6 million due to higher headcount and merit-related salary increases during the second quarter of 2026, and an increase in engineering costs of $0.2 million during the 2026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$2.6 million to $6.6 million during the six months ended June 30, 2026 from $4.0 million during the six months ended June 30, 2025. The increase was primarily due to an increase in compensation and benefits expenses of $2.2 million due to higher headcount and merit-related salary increases, an increase in professional services costs of $0.2 million, an increase in marketing expenses of $0.3 million, and an increase in franchise tax of $0.2 million, partially offset by an increase in allocation to cost of revenue of $0.3 million.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by $0.6 million to $1.7 million during the six months ended June 30, 2026 from $1.1 million during the six months ended June 30, 2025. The increase was primarily due to the increase in interest and debt discount amortization of $1.3 million for the Lynrock Lake Term Loan, partially offset by the decrease in Yorkville Note interest of $0.5 million as a result of the termination of the Yorkville Note in the first quarter of 2025.</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(Expense) Income,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net had immaterial change to an expense of $8 thousand during the six months ended June 30, 2026 from income of $24 thousand during the six months ended June 30, 2025.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Warrant Liability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 changed by $3.4 million to expense of $0.1 million during the six months ended June 30, 2026 from expense of $3.5 million during the six months ended June 30, 2025. The change was primarily due to the $3.3 million increase in the market value of the Lynrock Lake Warrant and Yorkville Warrant, which were issued in the first quarter of 2025 and subsequently revalued on June 11, 2025 upon modification during the six months ended June 30, 2025.</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Derivative Liability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derivative liability changed by $0.1 million to nil during the six months ended June 30, 2026 from income of $0.1 million during the six months ended June 30, 2025. The change was due to the extinguishment of the derivative liability during the six months ended June 30, 2025 as a result of the extinguishment of the Yorkville Note.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Earnout Liability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earnout liability changed by $0.4 million to expense of $0.2 million during the six months ended June 30, 2026 from income of $0.2 million during the six months ended June 30, 2025. The change was primarily due to changes in the probability of outcome related to our revenue assumptions.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Loss on Issuance of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Loss on issuance of debt decreased $6.6 million to nil during the six months ended June 30, 2026 from $6.6 million during the six months ended June 30, 2025. The decrease was due to $6.6 million in noncash expense incurred at the issuance of the Lynrock Lake Term Loan during the six months ended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Change in Loss on Debt Extinguishment and Modification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 and modification increased by $6.2 million to $8.3 million during the six months ended June 30, 2026 from $2.1 million during the six months ended June 30, 2025. The increase was primarily due to the modification of the Lynrock Lake Term Loan on May 12, 2026, which was accounted for as an extinguishment of debt. As a result, the unamortized debt discount related to the Lynrock Lake Term Loan of $8.3 million was expensed in the six months ended June 30, 2026, partially offset by an expense of $2.2 million related to an extinguishment loss for the Yorkville Note and Cable Car Note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Liquidity describes our ability to meet financial obligations which arise during the normal course of business. To date, we have financed our operations primarily through the sale of equity securities, issuances of convertible notes and other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grants from the U.S. government. We expect to derive future liquidity primarily through our revenue from customers and sale of equity securities. Our current liquidity position consists of cash on hand and certificates of deposit.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$10.9 million. We have incurred net operating losses and negative cash flows from operations since our inception and had an accumulated deficit of $67.5 million as of June 30, 2026. During the six months ended June 30, 2026, we incurred a net loss of $14.5 million and used $8.5 million of cash in operating activities. We expect to continue to incur losses, and our ability to achieve and sustain profitability will depend on the achievement of sufficient revenue to support our cost structure. We may never achieve profitability and, unless and until we do, we will need to continue to raise additional capital. </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On February 26, 2025, we entered into the Lynrock Lake Credit Agreement that provided the Lynrock Lake Term Loan in the aggregate principal amount of $10.1 million. </w:t>
      </w:r>
      <w:r>
        <w:rPr>
          <w:rFonts w:ascii="Times New Roman;serif" w:hAnsi="Times New Roman;serif"/>
          <w:b w:val="false"/>
          <w:color w:val="000000"/>
          <w:sz w:val="20"/>
        </w:rPr>
        <w:t xml:space="preserve">On August 26, 2025, we and Lynrock Lake entered into the Lynrock Lake First Amended Credit Agreement to add Tranche B in the amount of $5.0 million to the </w:t>
      </w:r>
      <w:r>
        <w:rPr>
          <w:rFonts w:ascii="Times New Roman;serif" w:hAnsi="Times New Roman;serif"/>
          <w:b w:val="false"/>
          <w:color w:val="000000"/>
          <w:sz w:val="20"/>
          <w:shd w:fill="FFFFFF" w:val="clear"/>
        </w:rPr>
        <w:t>Lynrock Lake Term Loan</w:t>
      </w:r>
      <w:r>
        <w:rPr>
          <w:color w:val="000000"/>
        </w:rPr>
        <w:t xml:space="preserve"> </w:t>
      </w:r>
      <w:r>
        <w:rPr>
          <w:rFonts w:ascii="Times New Roman;serif" w:hAnsi="Times New Roman;serif"/>
          <w:b w:val="false"/>
          <w:color w:val="000000"/>
          <w:sz w:val="20"/>
        </w:rPr>
        <w:t>and increase the aggregate principal amount of the Lynrock Lake Term Loan to $15.1 million. The proceeds of Tranche B were used to repurchase the Yorkville Warrant. On October 6, 2025, we repaid the $5.0 million under Tranche B of the Lynrock Lake Term Loan, plus accrued interest and the Tranche B Premium. On May 12, 2026, we and Lynrock Lake entered into the Lynrock Lake Second Amended Credit Agreement to extend the maturity date of the Lynrock Lake Term Loan from March 31, 2027 to March 31, 2029, and to increase the interest rate from 10% to 12% per annum.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and the six months ended June 30, 2026, we completed a series of PIPE transactions and the May 2026 Public Offering, where we received cash in exchange for the issuance of shares of common stock plus warrants for the purchase of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April 24, 2025, we entered into the First Securities Purchase Agreement in an amount of approximately $0.5 million from related persons. We used the net proceeds from the offering for working capital purposes.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May 12, 2025, we entered into the Second Securities Purchase Agreement in an amount of approximately $0.2 million. We used the net proceeds from the offering for working capital purposes.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October 3, 2025, we entered into the Third Securities Purchase Agreement</w:t>
      </w:r>
      <w:r>
        <w:rPr>
          <w:color w:val="000000"/>
        </w:rPr>
        <w:t xml:space="preserve"> </w:t>
      </w:r>
      <w:r>
        <w:rPr>
          <w:rFonts w:ascii="Times New Roman;serif" w:hAnsi="Times New Roman;serif"/>
          <w:b w:val="false"/>
          <w:color w:val="000000"/>
          <w:sz w:val="20"/>
        </w:rPr>
        <w:t>in an amount of approximately $18.2 million, before deducting the offering expenses payable by us</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We used the net proceeds from the offering for working capital purposes and to repay Tranche B of the Lynrock Lake Term Loan.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January 22, 2026, we entered into the Fourth Securities Purchase Agreement</w:t>
      </w:r>
      <w:r>
        <w:rPr>
          <w:color w:val="000000"/>
        </w:rPr>
        <w:t xml:space="preserve"> </w:t>
      </w:r>
      <w:r>
        <w:rPr>
          <w:rFonts w:ascii="Times New Roman;serif" w:hAnsi="Times New Roman;serif"/>
          <w:b w:val="false"/>
          <w:color w:val="000000"/>
          <w:sz w:val="20"/>
        </w:rPr>
        <w:t>in an amount of approximately $0.2 million from a related person. We used the net proceeds from the offering for working capital purposes.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May 18, 2026, we completed the May 2026 Public Offering of 1,200,000 shares of our common stock, par value $0.0001 per share, at $5.00 per share, and 800,000 May 2026 Pre-Funded Warrants at $4.9999 each, less underwriting discounts and commissions. Net proceeds from the May 2026 Public Offering were approximately $8.9 million, after deducting underwriting discounts and commissions and offering expenses payable by us. We used the net proceeds from the offering for working capital purposes.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and the six months ended June 30, 2026, we entered into several distribution agreements which provided us with MOQs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On June 18, 2024, we entered into the Amended NXC Distribution Agreement between QT Imaging and NXC, as first amended on December 11, 2024 and further amended on March 28, 2025 which provides us with MOQs of 60 scanners in 2026, representing revenue of more than $28 million in 2026.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August 21, 2025, we entered into the Gulf Medical Distribution Agreement</w:t>
      </w:r>
      <w:r>
        <w:rPr>
          <w:color w:val="000000"/>
        </w:rPr>
        <w:t xml:space="preserve"> </w:t>
      </w:r>
      <w:r>
        <w:rPr>
          <w:rFonts w:ascii="Times New Roman;serif" w:hAnsi="Times New Roman;serif"/>
          <w:b w:val="false"/>
          <w:color w:val="000000"/>
          <w:sz w:val="20"/>
        </w:rPr>
        <w:t>for an initial term of three years. Under the terms of the Gulf Medical Distribution Agreement, we granted to GMC the exclusive right to market, advertise, and sell our Breast Acoustic CT Scanner and the QTI Cloud SaaS platform subscriptions in the Kingdom of Saudi Arabia (“Saudi Arabia”), with MOQs of 20 scanners in 2026, 32 scanners in 2027, and 40 scanners in 2028, for a total minimum of 92 scanners, representing revenue of more than $51 million in 2026 through 2028, upon regulatory approval from the SFDA in Saudi Arabia, which was received on June 2,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On January 19, 2026, we entered into the Al Naghi Distribution Agreement for an initial term of three years. Under the terms of the Al Naghi Distribution Agreement, we granted to Al Naghi the exclusive right to market, advertise, and sell our Breast Acoustic CT Scanner and the QTI Cloud SaaS platform subscriptions in the UAE, with MOQs of 7 scanners in 2026, 16 scanners in 2027, and 20 scanners in 2028, for a total minimum of 43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scanners, representing revenue of more than $24 million in 2026 through 2028, upon regulatory approval from the EDE in the UAE, which was received on March 17,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as a result of the armed conflicts and heightened geopolitical tensions in the Middle East, including ongoing U.S. and Israeli military operations against Iran launched on February 28, 2026, we are unable to ship scanners to GMC and Al Naghi. If we are unable to ship scanners to our distributors in the Gulf Region for a prolonged period of time, our business, financial condition, results of operations, and liquidity could be materially impacted.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the additional cash received from the Lynrock Lake Term Loan, the extension of the maturity date of the Lynrock Lake Term Loan to March 2029, the additional cash received from the PIPE Investments and the May 2026 Public Offering, and the expected revenue from our direct sales efforts in the U.S., MOQs per the Amended NXC Distribution Agreement, and direct sales efforts and sales through distributors such as Gulf Medical and Al Nagjhi internationally will be sufficient to fund our current operating plan for at least the next 12 months.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our growth rate, the timing and extent of our spending to support research and development activities, purchasing inventory to meet our growth plan, and the timing and cost to enhance commercialized existing products. In the event that additional financing is required from outside sources, we may not be able to raise it on terms acceptable to us, or at all. Any additional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convertible debt securities, or other securities convertible into equity, our existing stockholders could suffer significant dilution in their percentage ownership of us,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Lynrock Lake Term Loan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2025, we entered into the Lynrock Lake Credit Agreement that provides the Lynrock Lake Term Loan with Lynrock Lake. The Lynrock Lake Credit Agreement is secured by a first priority lien on substantially all of our assets and provides for a term loan in the aggregate principal amount of $10.1 million at an interest rate of 10.0% per annum, compounded quarterly.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payment of the Make-Whole Amount (as defined in the Lynrock Lake Credit Agreement), we may at any time prior to the maturity date optionally prepay the term loan, in full or in part, upon irrevocable written notice of three business days prior to the proposed prepayment; provided that if such prepayment is to be funded with the proceeds of a refinancing or disposition, such notice of prepayment may be revoked if the financing or disposition is not consummated; provided further, that any such prepayment made in connection with, or in anticipation of, a Change of Control (as defined in the Lynrock Lake Credit Agreement) will also be subject to the Prepayment Premium.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payment of the Make-Whole Amount (as defined in the Lynrock Lake Credit Agreement), at the option of Lynrock Lake, we will make mandatory repayments of the term loan upon the following occurrences:</w:t>
      </w:r>
    </w:p>
    <w:p>
      <w:pPr>
        <w:pStyle w:val="TextBody"/>
        <w:bidi w:val="0"/>
        <w:spacing w:lineRule="auto" w:line="288" w:before="0" w:after="180"/>
        <w:ind w:left="0" w:right="0" w:hanging="180"/>
        <w:jc w:val="left"/>
        <w:rPr>
          <w:color w:val="000000"/>
        </w:rPr>
      </w:pPr>
      <w:r>
        <w:rPr>
          <w:color w:val="000000"/>
        </w:rPr>
        <w:t>•     </w:t>
      </w:r>
      <w:r>
        <w:rPr>
          <w:rFonts w:ascii="Times New Roman;serif" w:hAnsi="Times New Roman;serif"/>
          <w:b w:val="false"/>
          <w:color w:val="000000"/>
          <w:sz w:val="20"/>
        </w:rPr>
        <w:t>If on any date we or any of our subsidiaries will receive any cash proceeds from any Extraordinary Receipt (as defined in the Lynrock Lake Credit Agreement) in an amount equal to or exceeding $0.3 million in the aggregate, we will prepay the term loan within five business days of receipt of such cash proceeds, in an amount equal to 100% of the cash proceeds of such Extraordinary Receipt (as defined in the Lynrock Lake Credit Agreement);</w:t>
      </w:r>
    </w:p>
    <w:p>
      <w:pPr>
        <w:pStyle w:val="TextBody"/>
        <w:bidi w:val="0"/>
        <w:spacing w:lineRule="auto" w:line="288" w:before="0" w:after="180"/>
        <w:ind w:left="0" w:right="0" w:hanging="180"/>
        <w:jc w:val="left"/>
        <w:rPr>
          <w:color w:val="000000"/>
        </w:rPr>
      </w:pPr>
      <w:r>
        <w:rPr>
          <w:color w:val="000000"/>
        </w:rPr>
        <w:t>•    </w:t>
      </w:r>
      <w:r>
        <w:rPr>
          <w:rFonts w:ascii="Times New Roman;serif" w:hAnsi="Times New Roman;serif"/>
          <w:b w:val="false"/>
          <w:color w:val="000000"/>
          <w:sz w:val="20"/>
        </w:rPr>
        <w:t>If any indebtedness will be incurred by us or any subsidiary thereof (excluding any indebtedness that the Lynrock Lake Credit Agreement permits us to incur), an amount equal to 100% of the net cash proceeds thereof will be applied on the date of incurrence or receipt toward the prepayment of the term loan;</w:t>
      </w:r>
    </w:p>
    <w:p>
      <w:pPr>
        <w:pStyle w:val="TextBody"/>
        <w:bidi w:val="0"/>
        <w:spacing w:lineRule="auto" w:line="288" w:before="0" w:after="180"/>
        <w:ind w:left="0" w:right="0" w:hanging="180"/>
        <w:jc w:val="left"/>
        <w:rPr>
          <w:color w:val="000000"/>
        </w:rPr>
      </w:pPr>
      <w:r>
        <w:rPr>
          <w:color w:val="000000"/>
        </w:rPr>
        <w:t>•     </w:t>
      </w:r>
      <w:r>
        <w:rPr>
          <w:rFonts w:ascii="Times New Roman;serif" w:hAnsi="Times New Roman;serif"/>
          <w:b w:val="false"/>
          <w:color w:val="000000"/>
          <w:sz w:val="20"/>
        </w:rPr>
        <w:t>If on any date we or any of our subsidiaries will receive net cash proceeds in an amount equal to or exceeding (i) $0.3 million in any single transaction or series of related transactions or (ii) $0.3 million in the aggregate for all transactions during the term of the Lynrock Lake Credit Agreement from any Asset Sale (as defined in the Lynrock Lake Credit Agreement) or Recovery Event (as defined in the Lynrock Lake Credit Agreement) then we or such subsidiary will prepay the term loan, on or prior to the date which is five business days after the date of the realization or receipt by us or subsidiary in an amount equal to 100% of such proceeds;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ind w:left="0" w:right="0" w:hanging="180"/>
        <w:jc w:val="left"/>
        <w:rPr>
          <w:color w:val="000000"/>
        </w:rPr>
      </w:pPr>
      <w:r>
        <w:rPr>
          <w:color w:val="000000"/>
        </w:rPr>
        <w:t>•     </w:t>
      </w:r>
      <w:r>
        <w:rPr>
          <w:rFonts w:ascii="Times New Roman;serif" w:hAnsi="Times New Roman;serif"/>
          <w:b w:val="false"/>
          <w:color w:val="000000"/>
          <w:sz w:val="20"/>
        </w:rPr>
        <w:t>Subject to the payment of the Prepayment Premium in addition to the Make-Whole Amount (as defined in the Lynrock Lake Credit Agreement), in the event that a Change of Control (as defined in the Lynrock Lake Credit Agreement) will occur, we will prepay all of the outstanding term loan, on or prior to the date which is two business days after the date of such Change of Control (as defined in the Lynrock Lake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are no requirements to make any prepayment in the event that we sell any of our capital stock. In addition, at the option of Lynrock Lake, we will also make mandatory repayments of the term loan on a monthly basis, no later than five business days after the end of each month (provided that such date for payment is prior to the maturity date), if we or our subsidiaries receive payment of accounts receivable on or after January 1, 2026, in an amount equal to 15% of the aggregate amount of payments of accounts receivable actually received during such prior month, net of any cost of collection incurred not in the ordinary course of business. No Make-Whole Amount (as defined in the Lynrock Lake Credit Agreement) or Prepayment Premium is due or payable on any such mandatory prepayment as a result of receipt of accounts receivable on or after January 1, 2026. As of June 30, 2026, Lynrock Lake has not elected the repayment option in the amount equal to 15% of the aggregate amount of payments of accounts receivable actually received on or after January 1, 2026.</w:t>
      </w:r>
    </w:p>
    <w:p>
      <w:pPr>
        <w:pStyle w:val="TextBody"/>
        <w:bidi w:val="0"/>
        <w:spacing w:lineRule="auto" w:line="288" w:before="0" w:after="180"/>
        <w:jc w:val="left"/>
        <w:rPr/>
      </w:pPr>
      <w:r>
        <w:rPr>
          <w:rFonts w:ascii="Times New Roman;serif" w:hAnsi="Times New Roman;serif"/>
          <w:b w:val="false"/>
          <w:color w:val="000000"/>
          <w:sz w:val="20"/>
          <w:shd w:fill="FFFFFF" w:val="clear"/>
        </w:rPr>
        <w:t>In connection with the Lynrock Lake Term Loan, we issued to Lynrock Lake the Lynrock Lake Warrant to purchase 20,333,623 shares of common stock at an exercise price of $1.20</w:t>
      </w:r>
      <w:r>
        <w:rPr>
          <w:color w:val="000000"/>
        </w:rPr>
        <w:t xml:space="preserve"> </w:t>
      </w:r>
      <w:r>
        <w:rPr>
          <w:rFonts w:ascii="Times New Roman;serif" w:hAnsi="Times New Roman;serif"/>
          <w:b w:val="false"/>
          <w:color w:val="000000"/>
          <w:sz w:val="20"/>
        </w:rPr>
        <w:t xml:space="preserve">per share. The Lynrock Lake Warrant is also subject to anti-dilution adjustments to the exercise price and the number of shares which may be purchased upon exercise of the Lynrock Lake Warrant in the event that we issue shares of common stock (or derivative securities) at a price that is either less than the $1.0002 exercise price or the fair market value of a share of common stock from the immediately prior trading day. Upon the closing of the October 2025 Private Placement, the number of shares which may be purchased upon exercise of the Lynrock Lake Warrant and the per share exercise price were adjusted to 24,396,416 and $1.0002, respectively. Upon the closing of the May 2026 Public Offering, the number of shares which may be purchased upon exercise of the Lynrock Lake Warrant and the per share exercise price were adjusted to 25,313,508 and $0.9639, respectively. Lynrock Lake may cashless exercise the Lynrock Lake Warrant. The Lynrock Lake Warrant is exercisable until February 26, 2035. The fair value of the Lynrock Lake Warrant at issuance amounted to $16.5 million. </w:t>
      </w:r>
      <w:r>
        <w:rPr>
          <w:rFonts w:ascii="Times New Roman;serif" w:hAnsi="Times New Roman;serif"/>
          <w:b w:val="false"/>
          <w:color w:val="000000"/>
          <w:sz w:val="20"/>
          <w:shd w:fill="FFFFFF" w:val="clear"/>
        </w:rPr>
        <w:t xml:space="preserve">On June 11, 2025, the Lynrock Lake Warrant was amended to update the provisions that would trigger cash settlement such that, when such events occur, the holders of the warrants receive the same form of consideration as the underlying stockholders. As equity classification is permitted for an instrument that requires net-cash settlement if the holders of the contract’s underlying </w:t>
      </w:r>
      <w:r>
        <w:rPr>
          <w:rFonts w:ascii="Times New Roman;serif" w:hAnsi="Times New Roman;serif"/>
          <w:b w:val="false"/>
          <w:color w:val="000000"/>
          <w:sz w:val="20"/>
        </w:rPr>
        <w:t>shares receive the same form of consideration in transactions outside our control, consequently the warrants were revalued and then reclassified to additional paid-in capital on the consolidated balance sheet upon modification. We determined the fair value of the Lynrock Lake Warrant using the Black-Scholes pricing model through the modification.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Upon issuance of the Lynrock Lake Term Loan, we recorded a loss of $6.6 million, including debt issuance costs of $0.2 million, in other expense, net within the unaudited condensed consolidated statements of operations and comprehensive loss for the six months ended June 30,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August 26, 2025, we and Lynrock Lake entered into the Lynrock Lake First Amended Credit Agreement to add Tranche B in the amount of $5.0 million to the loan and increase the aggregate principal amount of the Lynrock Lake Term Loan to $15.1 million. The proceeds of Tranche B were used to repurchase the Yorkville Warrant. Tranche B was subject to the Tranche B Premium equal to 6% multiplied by the sum of (i) the principal of Tranche B being repaid plus (ii) all related accrued and unpaid interest. Subject to the payment of the Make-Whole Amount, if we received Net Cash Proceeds (as defined in the Lynrock Lake Credit Agreement) from any sale or issuance of our common stock, then we will, at the option of Lynrock Lake, prepay, or cause to be prepaid, Tranche B on or prior to the date which is thirty days after the date of the receipt by us of such Net Cash Proceeds in an amount equal to the lesser of (i) 100% of such Net Cash Proceeds or (ii) the principal amount of Tranche B on such date of prepayment, together with all accrued and unpaid interest thereon and any outstanding fees or premium, if any, payable in accordance with the Lynrock Lake Term Loan. Additionally, in connection with any mandatory prepayment of Tranche B on or prior to December 31, 2025, such mandatory prepayment will be subject to the payment of the Tranche B Premium instead of the Make-Whole Amount.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October 6, 2025, we repaid the $5.0 million under Tranche B of the Lynrock Lake Term Loan, plus accrued interest and the Tranche B Premium, with a portion of the proceeds from the October 2025 Private Placement.</w:t>
      </w:r>
    </w:p>
    <w:p>
      <w:pPr>
        <w:pStyle w:val="TextBody"/>
        <w:bidi w:val="0"/>
        <w:spacing w:lineRule="auto" w:line="288" w:before="0" w:after="180"/>
        <w:jc w:val="left"/>
        <w:rPr/>
      </w:pPr>
      <w:r>
        <w:rPr>
          <w:rFonts w:ascii="Times New Roman;serif" w:hAnsi="Times New Roman;serif"/>
          <w:b w:val="false"/>
          <w:color w:val="000000"/>
          <w:sz w:val="20"/>
        </w:rPr>
        <w:t>On May 12, 2026, we and Lynrock Lake entered into the Lynrock Lake Second Amended Credit Agreement</w:t>
      </w:r>
      <w:r>
        <w:rPr>
          <w:color w:val="000000"/>
        </w:rPr>
        <w:t xml:space="preserve"> </w:t>
      </w:r>
      <w:r>
        <w:rPr>
          <w:rFonts w:ascii="Times New Roman;serif" w:hAnsi="Times New Roman;serif"/>
          <w:b w:val="false"/>
          <w:color w:val="000000"/>
          <w:sz w:val="20"/>
        </w:rPr>
        <w:t xml:space="preserve">to extend the maturity date of the Lynrock Lake Term Loan from March 31, 2027 to March 31, 2029, and to increase the interest rate from 10% to 12% per annum. The Lynrock Lake Term Loan will be repaid on the maturity date in an amount equal to the aggregate principal amount outstanding, together with all accrued and unpaid interest and any outstanding and payable fees. The modification of the Lynrock Lake Term Loan was accounted for as an extinguishment of debt. Accordingly, we recorded a $8.3 million loss on debt extinguishment and modification related to the unamortized debt discount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operations and comprehensive loss for the three and six months ended June 30, 2026. We also recorded the new long-term debt in the amount of $10.1 million, plus the then-accrued interest of $1.3 million, in the unaudited condensed consolidated balance sheet as of June 30,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outstanding amount of the Lynrock Lake Term Loan was $11.4 million and accrued interest was $0.2 million. Interest expense, including amortization of debt issuance costs, was $0.8 million and $0.3 million for the three months ended June 30, 2026 and 2025, respectively, and $1.7 million and $0.4 million for the six months ended June 30, 2026 and 2025,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Related Party Convertible Notes Payable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2020 Notes bear annual interest of 5% on any amounts drawn. The additional note issued in March 2022 as part of the 2020 Notes, has an annual interest rate of 8%. All principal and interest payments were initially due on or before July 1, 2025. In connection with the issuance of the Lynrock Lake Term Loan, on February 26, 2025, the maturity date on these convertible notes payable was extended to October 21, 2027.</w:t>
      </w:r>
    </w:p>
    <w:p>
      <w:pPr>
        <w:pStyle w:val="TextBody"/>
        <w:bidi w:val="0"/>
        <w:spacing w:lineRule="auto" w:line="288" w:before="0" w:after="180"/>
        <w:jc w:val="left"/>
        <w:rPr/>
      </w:pPr>
      <w:r>
        <w:rPr>
          <w:rFonts w:ascii="Times New Roman;serif" w:hAnsi="Times New Roman;serif"/>
          <w:b w:val="false"/>
          <w:color w:val="000000"/>
          <w:sz w:val="20"/>
        </w:rPr>
        <w:t>The 2020 Notes are convertible, at the holder’s option, into shares of our common stock at the lower of $43.77 per share or the offering price in a financing of at least $5.0 million in equity from unaffiliated parties. As of June 30, 2026, an aggregate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91,344</w:t>
      </w:r>
      <w:r>
        <w:rPr>
          <w:color w:val="000000"/>
          <w:shd w:fill="FFFFFF" w:val="clear"/>
        </w:rPr>
        <w:t xml:space="preserve"> </w:t>
      </w:r>
      <w:r>
        <w:rPr>
          <w:rFonts w:ascii="Times New Roman;serif" w:hAnsi="Times New Roman;serif"/>
          <w:b w:val="false"/>
          <w:color w:val="000000"/>
          <w:sz w:val="20"/>
          <w:shd w:fill="FFFFFF" w:val="clear"/>
        </w:rPr>
        <w:t>s</w:t>
      </w:r>
      <w:r>
        <w:rPr>
          <w:rFonts w:ascii="Times New Roman;serif" w:hAnsi="Times New Roman;serif"/>
          <w:b w:val="false"/>
          <w:color w:val="000000"/>
          <w:sz w:val="20"/>
        </w:rPr>
        <w:t xml:space="preserve">hares of common stock would be issued if the entire principal and interest under the 2020 Notes was converted.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outstanding amount of the 2020 Notes was $3.2 million and $3.2 million, respectively, and accrued interest was $0.8 million and $0.7 million, respectively.</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Related Party Working Capital Loan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3, 2023, we issued the Working Capital Note to a stockholder for a principal amount of $0.3 million. The Working Capital Note was subsequently amended and restated six times on June 12, 2023 to add an additional principal amount of $0.1 million, August 15, 2023 to add an additional principal amount of $0.1 million, August 29, 2023 to add an additional principal amount of $0.1 million, September 12, 2023 to add an additional principal amount of $0.1 million, September 15, 2023 to add an additional principal amount of $0.1 million, and October 26, 2023 to add an additional principal amount of $0.1 million, for an aggregate principal amount outstanding as of June 30, 2026 and December 31, 2025 under the Working Capital Note of $0.7 million. The Working Capital Note was issued to provide us with additional working capital during the period prior to consummation of the Business Combination Agreement with GigCapital5. The Working Capital Note is interest-free and originally matured on the earlier of (i) the date on which we consummated the Business Combination with GigCapital5; (ii) the date we wind up; or (iii) December 31, 2023. The Working Capital Note may be prepaid without penalty. On March 4, 2024, the holder of the Working Capital Note agreed to extend and subordinate the promissory note pursuant to and in accordance with the terms of the Business Combination Agreement. Effective on the closing of the Business Combination, the Working Capital Note cannot be repaid prior to the repayment or conversion of the Yorkville Note received from Yorkville. In connection with the issuance of the Lynrock Lake Term Loan, on February 26, 2025, the maturity date on the Working Capital Note was extended to October 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jc w:val="left"/>
        <w:rPr/>
      </w:pPr>
      <w:r>
        <w:rPr>
          <w:rFonts w:ascii="Times New Roman;serif" w:hAnsi="Times New Roman;serif"/>
          <w:b w:val="false"/>
          <w:color w:val="000000"/>
          <w:sz w:val="20"/>
        </w:rPr>
        <w:t>The following table provides information regarding our cash flows for the periods presented</w:t>
      </w:r>
      <w:r>
        <w:rPr>
          <w:color w:val="000000"/>
        </w:rPr>
        <w:t xml:space="preserve">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8155" w:type="dxa"/>
        <w:jc w:val="center"/>
        <w:tblInd w:w="0" w:type="dxa"/>
        <w:tblLayout w:type="fixed"/>
        <w:tblCellMar>
          <w:top w:w="28" w:type="dxa"/>
          <w:left w:w="28" w:type="dxa"/>
          <w:bottom w:w="28" w:type="dxa"/>
          <w:right w:w="28" w:type="dxa"/>
        </w:tblCellMar>
      </w:tblPr>
      <w:tblGrid>
        <w:gridCol w:w="2131"/>
        <w:gridCol w:w="1866"/>
        <w:gridCol w:w="1882"/>
        <w:gridCol w:w="199"/>
        <w:gridCol w:w="641"/>
        <w:gridCol w:w="110"/>
        <w:gridCol w:w="110"/>
        <w:gridCol w:w="110"/>
        <w:gridCol w:w="110"/>
        <w:gridCol w:w="199"/>
        <w:gridCol w:w="641"/>
        <w:gridCol w:w="156"/>
      </w:tblGrid>
      <w:tr>
        <w:trPr/>
        <w:tc>
          <w:tcPr>
            <w:tcW w:w="2131"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 and cash equivalents</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Net Cash Used In Operating Activities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$8.5 million for the six months ended June 30, 2026 as compared to $5.0 million for the six months ended June 30, 2025. Net cash used for the six months ended June 30, 2026 consisted of a net loss of $14.5 million, adjusted for non-cash expenses primarily including stock-based compensation expense of $1.0 million, non-cash interest of $1.1 million, loss on debt extinguishment and modification of $8.3 million, change in fair value of earnout liability of $0.2 million, and change in fair value of warrant liability of $0.1 million, and adjusted for the net change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assets and liabilities primarily including an increase in accounts receivable of $1.6 million, an increase in inventory of $4.1 million, an increase in prepaid expenses and other current assets of $0.4 million, and a decrease in accounts payable of $0.4 million, partially offset by an increase in other liabilities of $0.7 million and an increase in accrued expenses and other current liabilities of $1.0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for the six months ended June 30, 2025 consisted of a net loss of $15.1 million, adjusted for non-cash expenses primarily including depreciation and amortization of $0.1 million, stock-based compensation of $0.3 million, loss on issuance of the Lynrock Lake Term Loan of $6.6 million, debt extinguishment loss of $2.1 million, non-cash interest of $0.5 million, change in fair value of warrant liability of $3.5 million, change in fair value of derivative liability of $0.1 million, and change in fair value of earnout of $0.2 million, and adjusted for the net change in operating assets and liabilities primarily including an increase in accounts receivable of $3.6 million, an increase in prepaid expenses and other current assets of $1.2 million, an increase in inventory of $0.1 million, partially offset by an increase in accrued expenses and other liabilities of $0.9 million, an increase in accounts payable of $0.8 million, and an increase in other liabilities of $0.4 million.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Net Cash Used in Investing Activities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$0.2 million for the six months ended June 30, 2026 due to purchases of property and equipment. Net cash used in investing activities was $47 thousand for the six months ended June 30, 2025 related to purchases of property and equipment.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Net Cash Provided by Financing Activities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financing activities was $9.2 million primarily due to net proceeds from the sale of common stock and warrants of $9.3 million and proceeds from stock option exercises of $0.2 million, partially offset by $0.3 million of stock issuance costs accrued in 2025 but paid during the six months ended June 30, 2026.</w:t>
      </w:r>
    </w:p>
    <w:p>
      <w:pPr>
        <w:pStyle w:val="TextBody"/>
        <w:bidi w:val="0"/>
        <w:spacing w:lineRule="auto" w:line="288" w:before="0" w:after="180"/>
        <w:jc w:val="left"/>
        <w:rPr/>
      </w:pPr>
      <w:r>
        <w:rPr>
          <w:rFonts w:ascii="Times New Roman;serif" w:hAnsi="Times New Roman;serif"/>
          <w:b w:val="false"/>
          <w:color w:val="000000"/>
          <w:sz w:val="20"/>
        </w:rPr>
        <w:t>During the six months ended June 30, 2025, net cash provided by financing activities was $5.9 million, primarily due to $10.0 million of net proceeds received from issuance of long-term debt related to the Lynrock Lake Term Loan and net proceeds from the sale of common stock and warrants of $0.7 million, partially offset by the repayment of long-term debt of $4.7 million related to the Yorkville Note, Cable Car Note, and the Payroll Protection Program Loan (the “</w:t>
      </w:r>
      <w:r>
        <w:rPr>
          <w:rFonts w:ascii="Times New Roman;serif" w:hAnsi="Times New Roman;serif"/>
          <w:b/>
          <w:i/>
          <w:color w:val="000000"/>
          <w:sz w:val="20"/>
        </w:rPr>
        <w:t>PPP Loans</w:t>
      </w:r>
      <w:r>
        <w:rPr>
          <w:color w:val="000000"/>
        </w:rPr>
        <w: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and payment for debt issuance costs of $0.2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Future Funding Requirements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incur increased significant expenses in connection with our ongoing activities, particularly as we continue the research and development of our products and product candidates, seek expanded regulatory clearances for the Breast Acoustic CT Scanner, expand our clinical studies, and build a U.S. sales and marketing team. We expect to incur additional costs associated with operating as a public company. Our future funding requirements, both short- and long-term, will depend on many factors, including, without limitation:</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Having the cash to repay our debt obligations as they come due;</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Expand our current manufacturing operations and expand existing and build new partnerships with contract manufacturing third-party vendors;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Purchase inventory for our planned shipments;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Expand or enhance our distribution with third-party distribution channels outside of the U.S.;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progress and results of our trials and interpretation of those results by the FDA (and other regulatory authorities, as required);</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Seek regulatory clearances for product candidates and expanded regulatory clearance for the Breast Acoustic CT Scanner;</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cost of operating as a public company, including hiring additional personnel as well as increased director and officer insurance premiums, audit and legal fees, investor relations fees and expenses related to compliance with public company reporting requirements under the Exchange Act and rules implemented by the SEC and Nasdaq;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rights, and defending our intellectual property-related claims.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plan to continue to incur substantial costs in order to conduct research and development activities and to invest in the continued development of the Breast Acoustic CT Scanner. Additional capital will be needed to undertake these activities and commercialization efforts. We intend to raise such capital through the issuance of additional equity, borrowings, and potential strategic alliances with other companies. If we raise additional capital through debt financing, we may be subject to covenants limiting or restricting our ability to take specific actions, such as incurring additional debt, making capital expenditures, or declaring dividends. If such financing is not available at adequate levels or on acceptable terms, we could be required to significantly reduce operating expenses and delay, reduce the scope of or eliminate some of our development programs or our commercialization efforts, out-license intellectual property rights to our product candidates, and sell unsecured assets, or a combination of the foregoing, any of which may have a material adverse effect on our business, results of operations, financial condition and/or our ability to fund our scheduled obligations on a timely basis, or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manufacturing, research, development and commercialization of products, we are unable to estimate the exact amount of our operating capital requirements. Our future funding requirements will depend on, and could increase significantly as a result of, many factors, including, without limitation:</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timing, receipt, and amount of revenue from the sales of the Breast Acoustic CT Scanner and related products and services, or any future approved or cleared products and product candidates, if any;</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cost of future activities, including product sales, medical affairs, marketing, manufacturing, and distribution for the Breast Acoustic CT Scanner;</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costs, timing, and outcomes of regulatory review of applications for expanded clearances for the Breast Acoustic CT Scanner;</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scope, progress, results, and costs of researching, developing and manufacturing our product candidates or any future product candidates, and conducting studies and clinical trials;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timing of, and the costs involved in, obtaining regulatory approvals or clearances for our product candidates or any future product candidates;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cost of manufacturing our product candidates or any future product candidates and any products we successfully commercialize, including costs associated with building out our manufacturing capabilities;</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cost and time needed to attract and retain skilled personnel to support our continued growth;</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Our ability to establish and maintain strategic collaborations, licensing, or other arrangements and the financial terms of any such agreements that we may enter into; and</w:t>
      </w:r>
    </w:p>
    <w:p>
      <w:pPr>
        <w:pStyle w:val="TextBody"/>
        <w:bidi w:val="0"/>
        <w:spacing w:lineRule="auto" w:line="288" w:before="0" w:after="180"/>
        <w:ind w:left="0" w:right="0" w:hanging="490"/>
        <w:jc w:val="left"/>
        <w:rPr/>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our operating plans may change, and we may need additional funds to meet operational needs and capital requirements for future trials and other research and development activities. Until such time, if ever, as we can generate substantial product revenue, we expect to finance our cash needs through a combination of public or private equity offerings, debt financings, collaborations, strategic partnerships or marketing, distribution, or licensing arrangements with third parties.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stockholders.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raise funds through collaborations, strategic partnerships or marketing, distribution or licensing arrangements with third parties, we may have to relinquish valuable rights to our technologies, future revenue streams, research programs or products, or grant licenses on terms that may not be favorable to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are unable to raise additional funds when needed, we may be required to delay, reduce, or eliminate our product development or future commercialization efforts, or grant rights to develop and market products that we would otherwise prefer to develop and market ourselves.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See the section entitled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for additional factors and risks associated with our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Off-Balance Sheet Arrangements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have during the periods presented, and we do not currently have, any off-balance sheet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Contractual Obligations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lease our operating facilities in Novato, California, under a non-cancelable operating lease through May 31, 2027. There are no options or rights to extend the term of this lease.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June 10, 2026, we entered into a lease agreement with MKDP Redwood, LLC, to lease a facility of approximately 21,942 sq. ft. in Petaluma, California. The lease term is approximately four years commencing in the third quarter of 2026 and ending on September 15, 2030, with an option to extend an additional sixty months. Total base rent under this lease is approximately $1.8 million. A right-of-use asset and an operating lease liability will be recorded upon the lease commencement date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Contingencies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Litigation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occasional lawsuits, investigations and claims arising out of the normal course of business. As of the date the unaudited condensed consolidated financial statements were available to be issued, management is not aware of any pending claims that will have a material impact on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Emerging Growth Company </w:t>
      </w:r>
    </w:p>
    <w:p>
      <w:pPr>
        <w:pStyle w:val="TextBody"/>
        <w:bidi w:val="0"/>
        <w:spacing w:lineRule="auto" w:line="288" w:before="0" w:after="180"/>
        <w:jc w:val="left"/>
        <w:rPr/>
      </w:pPr>
      <w:r>
        <w:rPr>
          <w:rFonts w:ascii="Times New Roman;serif" w:hAnsi="Times New Roman;serif"/>
          <w:b w:val="false"/>
          <w:color w:val="000000"/>
          <w:sz w:val="20"/>
        </w:rPr>
        <w:t>We are an emerging growth company (“</w:t>
      </w:r>
      <w:r>
        <w:rPr>
          <w:rFonts w:ascii="Times New Roman;serif" w:hAnsi="Times New Roman;serif"/>
          <w:b/>
          <w:i/>
          <w:color w:val="000000"/>
          <w:sz w:val="20"/>
        </w:rPr>
        <w:t>EGC</w:t>
      </w:r>
      <w:r>
        <w:rPr>
          <w:color w:val="000000"/>
        </w:rPr>
        <w:t>”</w:t>
      </w:r>
      <w:r>
        <w:rPr>
          <w:rFonts w:ascii="Times New Roman;serif" w:hAnsi="Times New Roman;serif"/>
          <w:b w:val="false"/>
          <w:color w:val="000000"/>
          <w:sz w:val="20"/>
        </w:rPr>
        <w:t>), as defined in the Jumpstart Our Business Startups Act of 2012 (“</w:t>
      </w:r>
      <w:r>
        <w:rPr>
          <w:rFonts w:ascii="Times New Roman;serif" w:hAnsi="Times New Roman;serif"/>
          <w:b/>
          <w:i/>
          <w:color w:val="000000"/>
          <w:sz w:val="20"/>
        </w:rPr>
        <w:t>JOBS Act</w:t>
      </w:r>
      <w:r>
        <w:rPr>
          <w:color w:val="000000"/>
        </w:rPr>
        <w:t>”</w:t>
      </w:r>
      <w:r>
        <w:rPr>
          <w:rFonts w:ascii="Times New Roman;serif" w:hAnsi="Times New Roman;serif"/>
          <w:b w:val="false"/>
          <w:color w:val="000000"/>
          <w:sz w:val="20"/>
        </w:rPr>
        <w: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 Frank Wall Street Reform and Consumer Protection Act; (iii) comply with any requirement that may be adopted by the Public Company Accounting Oversight Board (United States)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remain an EGC under the JOBS Act until the earliest of (i) the last day of our first fiscal year following the fifth anniversary of the Closing of the Business Combination, (ii) the last date of our fiscal year in which we have total annual gross revenue of at least $1.235 billion, (iii) the date on which we are deemed to be a “large accelerated filer,” as defined in Rule 12b-2 promulgated under the Exchange Act, or (iv) the date on which we have issued more than $1.0 billion in non-convertible debt securities during the previous three-years.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and Estimates </w:t>
      </w:r>
    </w:p>
    <w:p>
      <w:pPr>
        <w:pStyle w:val="TextBody"/>
        <w:bidi w:val="0"/>
        <w:spacing w:lineRule="auto" w:line="288" w:before="0" w:after="180"/>
        <w:jc w:val="left"/>
        <w:rPr/>
      </w:pPr>
      <w:r>
        <w:rPr>
          <w:rFonts w:ascii="Times New Roman;serif" w:hAnsi="Times New Roman;serif"/>
          <w:b w:val="false"/>
          <w:color w:val="000000"/>
          <w:sz w:val="20"/>
        </w:rPr>
        <w:t xml:space="preserve">Refer to Part II, Item 7, </w:t>
      </w:r>
      <w:r>
        <w:rPr>
          <w:rFonts w:ascii="Times New Roman;serif" w:hAnsi="Times New Roman;serif"/>
          <w:b w:val="false"/>
          <w:i/>
          <w:color w:val="000000"/>
          <w:sz w:val="20"/>
        </w:rPr>
        <w:t>Critical Accounting and Estimates</w:t>
      </w:r>
      <w:r>
        <w:rPr>
          <w:rFonts w:ascii="Times New Roman;serif" w:hAnsi="Times New Roman;serif"/>
          <w:b w:val="false"/>
          <w:color w:val="000000"/>
          <w:sz w:val="20"/>
        </w:rPr>
        <w:t xml:space="preserve">,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0" w:after="180"/>
        <w:jc w:val="left"/>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1 - The Company and Summary of Significant Accounting Policies</w:t>
      </w:r>
      <w:r>
        <w:rPr>
          <w:color w:val="000000"/>
        </w:rPr>
        <w:t xml:space="preserve"> </w:t>
      </w:r>
      <w:r>
        <w:rPr>
          <w:rFonts w:ascii="Times New Roman;serif" w:hAnsi="Times New Roman;serif"/>
          <w:b w:val="false"/>
          <w:color w:val="000000"/>
          <w:sz w:val="20"/>
        </w:rPr>
        <w:t>to the unaudited condensed consolidated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of the Exchange Act and are not required to provide the information otherwise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June 30, 2026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Inherent Limitations on Effectiveness of Controls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provide assurance that such improvements will be sufficient to provide us with effective internal control over financial reporting.</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not currently subject to any material legal proceedings, nor, to our knowledge, is any material legal proceeding threatened against us or any of our officers or directors in their corporate capacity.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statements in this section describe the known material risks to our business and should be considered carefully. As of June 30, 2026, there have been no material changes in risk factors previously disclosed in our Annual Report, other than as noted below. Any of these risk factors disclosed in our Annual Report or herein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are a development-stage company with limited operating history and significant losses since inception which may make it difficult to evaluate prospects for our future viability and predict our future performance. We may never be able to effectuate our business plan or achieve any meaningful revenue or reach profitability.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a limited operating history and only a preliminary and unproven business plan upon which investors may evaluate our prospects. We have demonstrated the commercial viability of our breast imaging platform at scales of tens of scanners but not yet demonstrated the commercial viability on larger scales. The QT Breast Scanner is deployed at facilities in the United States and abroad. Even if we are able to do so, we may not be able to manufacture the QT Breast Scanner device at the costs needed to support our business model. Even if we are able to commercialize some of our products or product candidates, there can be no assurance that we will generate significant revenues or ever achieve profitability. We expect to continue to incur significant sales and marketing, research and development, regulatory and other expenses as we expand our marketing efforts to increase adoption of our products, expand existing relationships, obtain regulatory approvals for our product candidates, conduct clinical studies on our existing and planned product candidates and develop new product candidates or add new features to our existing products. There is no assurance that our distribution partners will succeed in selling and servicing devices in sufficient volumes to help the company meet its business plan, revenue objectives or profitability.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even if our technology and product become commercially viable and deployed at scale, we may not generate sufficient revenue necessary to support our business. We may never successfully stimulate market interest in our QT Breast Scanner in the near-to-mid-term at any level or at all, which may cause our business to fail. The medical imaging industry is also highly competitive, and our technology, products, services or business models may not achieve widespread market acceptance. If we are unable to address any issues mentioned above, or encounter other problems, expenses, difficulties, complications, and delays in connection with the starting and expansion of our business, our entire business may fail, in which case you may lose your entire investment.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a history of net losses and negative cash flow from operations since inception and we expect such losses and negative cash flows from operations to continue in the foreseeable future. As of June 30, 2026 and December 31, 2025, we had an accumulated deficit of approximately $67.5 million and $53.0 million, respectively. For the six months ended June 30, 2026 and 2025, we incurred net losses attributable to the Company of approximately $14.5 million and $15.1 million, respectively. For the six months ended June 30, 2026 and 2025, we used cash in operations of $8.5 million and $5.0 million, respectively. We anticipate our losses will continue to increase from current levels because we expect to incur additional costs related to developing our business, including research and development costs, manufacturing costs, employee-related costs, costs of complying with government regulations, intellectual property development and prosecution costs, marketing and promotion costs, capital expenditures, general and administrative expenses, and costs associated with operating as a public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ability to generate revenue from our operations and ultimately achieve profitability will depend on factors including but not limited to whether we can complete the development and commercialization of our QT Breast Scanner breast imaging technology and our future products, whether we can manufacture the QT Breast Scanner and future products on a commercial scale in such amounts and at such costs as we anticipate, and whether we can achieve market acceptance of our products, services and business models. The net losses that we incur may fluctuate significantly from period to period. As a result of these increased expenditures, we will need to generate significant additional revenue in order to offset our operating expenses and achieve and sustain profitability. Accordingly, we may not achieve or maintain profitability, and we may continue to incur significant losses in the future.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results of operations and prospects and may cause the market price of the common stock to decline.</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Future sales, or the perception of future sales, of common stock by us or our existing stockholders in the public market could cause the market price for our common stock to decline.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sale of substantial amounts of shares of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shares issued as merger consideration in the Business Combination are freely tradable without registration under the Securities Act and without restriction by persons other than our “affiliates” (as defined under Rule 144), including our directors, executive officers and other affiliates, and certain other former QT Imaging stockholders.</w:t>
      </w:r>
    </w:p>
    <w:p>
      <w:pPr>
        <w:pStyle w:val="TextBody"/>
        <w:bidi w:val="0"/>
        <w:spacing w:lineRule="auto" w:line="288" w:before="0" w:after="240"/>
        <w:jc w:val="left"/>
        <w:rPr/>
      </w:pPr>
      <w:r>
        <w:rPr>
          <w:rFonts w:ascii="Times New Roman;serif" w:hAnsi="Times New Roman;serif"/>
          <w:b w:val="false"/>
          <w:color w:val="000000"/>
          <w:sz w:val="20"/>
        </w:rPr>
        <w:t>The Company has registered in a resale registration statement on Form S-1 declared effective by the SEC on May 22, 2024, securities held by certain stockholders of the Company which have the right, subject to certain conditions, to require us to register the sale of their shares of common stock under the Securities Act, pursuant to the terms of a registration statement that we entered into with GigAcquisitions5 and certain other security holders of GigCapital5 and QT Imaging (the “</w:t>
      </w:r>
      <w:r>
        <w:rPr>
          <w:rFonts w:ascii="Times New Roman;serif" w:hAnsi="Times New Roman;serif"/>
          <w:b/>
          <w:i/>
          <w:color w:val="000000"/>
          <w:sz w:val="20"/>
        </w:rPr>
        <w:t>GigCapital5 Registration Rights Agreement</w:t>
      </w:r>
      <w:r>
        <w:rPr>
          <w:color w:val="000000"/>
        </w:rPr>
        <w:t>”</w:t>
      </w:r>
      <w:r>
        <w:rPr>
          <w:rFonts w:ascii="Times New Roman;serif" w:hAnsi="Times New Roman;serif"/>
          <w:b w:val="false"/>
          <w:color w:val="000000"/>
          <w:sz w:val="20"/>
        </w:rPr>
        <w:t>). The Company has also registered in a resale registration statement on Form S-1 declared effective by the SEC on February 5, 2025, the securities sold in the private placement conducted in November 2024 as the purchasers received the right, subject to certain conditions, to require us to register the sale of their shares of common stock under the Securities Act, pursuant to the terms of a registration statement that we entered into (“</w:t>
      </w:r>
      <w:r>
        <w:rPr>
          <w:rFonts w:ascii="Times New Roman;serif" w:hAnsi="Times New Roman;serif"/>
          <w:b/>
          <w:i/>
          <w:color w:val="000000"/>
          <w:sz w:val="20"/>
        </w:rPr>
        <w:t>PIPE Registration Rights Agreement</w:t>
      </w:r>
      <w:r>
        <w:rPr>
          <w:color w:val="000000"/>
        </w:rPr>
        <w:t>”</w:t>
      </w:r>
      <w:r>
        <w:rPr>
          <w:rFonts w:ascii="Times New Roman;serif" w:hAnsi="Times New Roman;serif"/>
          <w:b w:val="false"/>
          <w:color w:val="000000"/>
          <w:sz w:val="20"/>
        </w:rPr>
        <w:t>). We have also registered in a resale registration statement on Form S-1 declared effective by the SEC on December 31, 2025 additional securities of the Company, including those issued in further private placements conducted during 2025, as well as warrants that we have issued during 2025. The sale of a large number of shares by these stockholders, or the sale of shares by warrant holders following the exercise of these warrants, could cause the prevailing market price of shares of our common stock to decline. Significant sales of shares of our common stock may have negative pressure on the public trading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converted each its resale registration statements on Form S-1 to post-effective amendments on Form S-3, which allow the selling security holders to continue to offer and sell the registered securities thereunder.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shares already registered for resale currently represent over 50% of the total number of shares outstanding, based on the number of shares of common stock outstanding as of August 12, 2026. Even though the current trading price is significantly below the Company’s initial public offering price, based on the closing price of the common stock on August 12, 2026, certain of our stockholders may have an incentive to sell their shares because they will still profit on sales due to the lower prices at which they purchased their shares as compared to the public investors who acquired shares during the GigCapital5 initial public offering. For example, members of our founding stockholder, GigAcquisitions5, who received a distribution of shares from GigAcquisitions5 for which there is an effective resale registration statement, have a cost basis in up to 1,911,696 shares of common stock that were acquired at an effective purchase price of $0.0130776 per share, and, therefore, based on the closing price of the common stock, could earn an aggregate profit of approximately $12.5 million from the resale of such shares based upon the closing stock price on August 12,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extent that the selling security holders under any of our registration statements converted to Form S-3 sell their shares or are perceived by the market as intending to sell them, the market price of shares of common stock could drop significantly. These factors could also make it more difficult for us to raise additional funds through future offerings of shares of common stock or other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 Company has an effective shelf registration statement on Form S-3 from which it may offer and sell securities from time to time. For example, on May 15, 2026, the Company entered into an underwriting agreement with Ladenburg Thalmann &amp; Co. Inc. as the representative of the several underwriters named therein, relating to an underwritten offering (the “Offering”) of 1,200,000 shares (the “Firm Share”) of the Company’s common stock at a price to the public of $5.00 per Firm Share and 800,000 pre-funded warrants (the “Pre-Funded Warrants”) at a price to the public of $4.9999 per Pre-Funded Warrant, less underwriting discounts and commission. All of the Firm Shares and Pre-Funded Warrants in this offering were sold by the Company, and this offering closed on May 18, 2026. The availability of the shelf registration statement may facilitate future capital raises by the Company; however, any such offerings could result in dilution to existing stockholders and may cause the market price of our common stock to decline.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October 3, 2025, we issued the October 2025 Pre-Funded Warrants, which are exercisable for 1,808,055 shares at an exercise price of $0.0003 per share. On May 18, 2026, we issued 800,000 May 2026 Pre-Funded Warrants at an exercise price of $0.0001 per share. In addition, the Company has other warrants that in the aggregate are exercisable for 39,334,847 shares of common stock at various exercise prices ranging from $1.0002 per share to $6.90 per share. This includes the warrant that we issued to Lynrock Lake in connection with the Lynrock Lake Warrant, which is exercisable for 25,313,508 shares of common stock at an exercise price of $0.9639 per share, but may be exercised on a “cashless basis.”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 shares of common stock that will be issued upon exercise of stock options already granted pursuant to the terms of, or those shares of common stock reserved for future issuance under the 2024 Equity Incentive Plan will become eligible for sale in the public market once those shares are issued, subject to provisions relating to various vesting agreements and, in some cases, limitations on volume and manner of sale applicable to affiliates under Rule 144, as applicable. We have filed a registration statement on Form S-8 under the Securities Act to register shares of common stock or securities convertible into or exchangeable for shares of common stock issued pursuant to our equity incentive plans and may in the future file additional registration statements on Form S-8. Any such Form S-8 registration statements will automatically become effective upon filing. Accordingly, shares registered under such registration statements will be available for sale in the open market.</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Certain of the Company’s warrants are accounted for as a warrant liability and were recorded at fair value upon issuance with changes in fair value each period reported in earnings, which may have an adverse effect on the market price of the common stock.</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an aggregate of 889,364 private warrants and working capital warrants that are Warrant Agreement Warrants, which following the Reverse Stock Split were exercisable for 296,445 shares of common stock, were outstanding. These warrants became exercisable 30 days after completion of the Business Combination and are exercisable now that we have an effective registration statement under the Securities Act covering the shares of common stock of the Company issuable upon exercise for so long as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Furthermore, the Company may redeem outstanding warrants in certain circumstances; provided, however, that these warrants will not be redeemable by the Company so long as they are held by the initial purchasers or any of its permitted transferees, to which the initial purchaser transferred the private warrants in June 2024. Under GAAP, the Company is required to evaluate contingent exercise provisions of these warrants and then their settlement provisions to determine whether they should be accounted for as a warrant liability or as equity. Any settlement amount not equal to the difference between the fair value of a fixed number of the Company’s equity shares and a fixed monetary amount precludes these warrants from being considered indexed to its own stock, and therefore, from being accounted for as equity. As a result of the provision that these warrants, when held by someone other than the initial purchasers or their permitted transferees, will be redeemable by the Company, the requirements for accounting for these warrants as equity are not satisfied. Therefore, the Company is required to account for these warrants as a warrant liability and record (a) that liability at fair value, and (b) any subsequent changes in fair value as of the end of each period for which earnings are reported. The impact of changes in fair value on earnings may have an adverse effect on the market price of our common stock.</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We conduct business in the Kingdom of Saudi Arabia and the UAE and military conflicts and geopolitical instability in the Middle East, including U.S. and Israeli military actions against Iran and the effective closure of the Strait of Hormuz, could disrupt our ability to ship products into the region, impair global markets and adversely affect our business and finances, including by failing to generate revenue from the shipment of our products to the region.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Armed conflicts and heightened geopolitical tensions in the Middle East, including ongoing U.S. and Israeli military operations against Iran launched on February 28, 2026, pose risks to the global economy and to our business, particularly as we have distribution arrangements in the Kingdom of Saudi Arabia and the UAE. Iran has retaliated across the Gulf region, including attacks against targets in Qatar, the UAE, Kuwait, Bahrain and the Kingdom of Saudi Arabia. Furthermore, starting on March 4, 2026, Iranian forces declared the Strait “closed” and have threatened and carried out attacks on ships attempting to transit the waterway. The Strait, which borders Iran and Oman, is a critical maritime choke point through which roughly 27% of the world’s maritime trade in crude oil and petroleum products, approximately 20% of global liquefied natural gas trade, and significant volumes of containerized manufactured goods and other commodities transit. Although U.S and other forces have acted to allow for shipping to be able to continue through the Strait, uncertainty remains as to whether ships can safely transit the Strait, and at what cost, with war risk insurance premiums for vessels transiting the Strait having surged from approximately 0.25% to as much as 1-3% of a vessel’s insured value, and major maritime insurers have withdrawn war-risk coverage entirely, rendering the Strait economically non-functional even when it may be physically accessible. As a result, maritime shipping traffic through the Strait has declined by approximately 90% or more from normal volumes. A significant escalation of hostilities in this or other global conflicts may have a material adverse impact on our business. The current military conflict may affect our ability to continue our projects in these regions due to lack of resources, local support, and safety for the workers of our distribution partners. In addition, our distribution partners may be unable to receive product shipments destined for the Kingdom of Saudi Arabia and the UAE, or may experience significant delays, increased costs and supply chain interruptions that could materially impair our ability to fulfill customer orders, maintain existing distribution relationships and generate revenue from the region. Any disruption to our ability to distribute our products to this region will likely result in an impact on our finances. Furthermore, although the length and impact of the ongoing conflict is in the Middle East is highly unpredictable, it could lead to global market disruptions. The escalation of the conflict in the Middle East and the resulting measures that have been taken, and could be taken in the future, by the United States, NATO (or member countries), the European Union, Israel and its neighboring states and other countries have created global security concerns that could have a lasting impact on regional and global economies. In addition, the escalation of military action in the Middle East has disrupted global shipping routes, increased transit times and freight costs, and created broader supply chain bottlenecks. These shipping disruptions may persist even after the cessation of active hostilities, as insurance markets, operator risk perception and network redesign operate independently of military conditions, and the experience of the Red Sea crisis from 2023 to 2025 has demonstrated that commercial shipping traffic may not return to pre-crisis levels for an extended period. Furthermore, any disruption to the flow of oil through the Strait of Hormuz or other critical shipping lanes, could result in a rapid and sustained increase in global oil and energy prices, which would increase transportation and logistics costs and the cost of petroleum-based production materials. Higher energy and fuel prices would also be disruptive for the global economy and our end user customers. In addition, an escalation of military action in the Middle East could disrupt global shipping routes, increase transit times and freight costs, and create broader supply chain bottlenecks similar to those experienced during prior periods of global disruption. Any macroeconomic deterioration resulting from an escalation in Middle Eastern hostilities could compound the existing challenges facing our business and could have a material adverse effect on our business, financial condition, results of operations, and liquidity.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extent and duration of the ongoing conflict, resulting sanctions and any related market disruptions are impossible to predict, but could be substantial, particularly if current or new sanctions continue for an extended period of time or if geopolitical tensions result in expanded military operations on a global scale. Any such disruptions may also have the effect of heightening many of the other risks described in this section. If these disruptions or other matters of global concern continue for an extensive period of time, to the extent that we have material operations or assets in a conflict zone, they may be materially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Please refer to the Current Report on Form 8-K that we filed with the SEC on January 23, 2026 for information regarding a private placement that occurred on January 22, 2026. On January 22, 2026, we entered into the Fourth Securities Purchase Agreement where we received approximately $0.2 million from Dr. Avi Katz, the Chairman of our Board of Directors, in exchange for the issuance of (i) 24,107 shares of common stock at a per share purchase price of $6.43, which represented 110% of the 5-day volume weighted trading price for the common stock on January 22, 2026; and (ii) warrants with a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ten years from the initial exercise date to purchase up to an additional 48,214 shares of common stock with a per share exercise price of $6.43. We used the net proceeds from the offering for working capital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7"/>
        <w:gridCol w:w="234"/>
        <w:gridCol w:w="236"/>
        <w:gridCol w:w="109"/>
        <w:gridCol w:w="109"/>
        <w:gridCol w:w="109"/>
        <w:gridCol w:w="2817"/>
        <w:gridCol w:w="2797"/>
        <w:gridCol w:w="2825"/>
        <w:gridCol w:w="109"/>
        <w:gridCol w:w="109"/>
        <w:gridCol w:w="109"/>
        <w:gridCol w:w="109"/>
        <w:gridCol w:w="109"/>
        <w:gridCol w:w="157"/>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Business Combination Agreement, dated as of December 8, 2022, by and among GigCapital5, Inc., QTI Merger Sub, Inc. and QT Imaging, Inc. (incorporated by reference to Exhibit 2.1 to GigCapital5’s Current Report on Form 8-K filed with the SEC on December 12,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"https://www.sec.gov/Archives/edgar/data/1844505/000119312524026690/d452006d424b3.htm" \l "rom452006_49"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First Amendment to Business Combination, dated May 5, 2023, by and among GigCapital5, Inc., QTI Merger Sub, Inc. and QT Imaging, Inc. (included as Annex A to the Final Proxy Statement/Prospectus filed under Rule 424(b)(3) on February 7, 2024).</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Second Amendment to Business Combination Agreement, dated as of September 21, 2023, by and among GigCapital5, Inc., QTI Merger Sub, Inc. and QT Imaging, Inc. (incorporated by reference to Exhibit 10.1 to GigCapital5’s Current Report on Form 8-K filed with the SEC on September 21,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Third Amendment to Business Combination Agreement, dated as of November 10, 2023, by and among GigCapital5, Inc., QTI Merger Sub, Inc. and QT Imaging, Inc. (incorporated by reference to Exhibit 2.1 to GigCapital5’s Quarterly Report on Form 10-Q filed with the SEC on November 14,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"https://www.sec.gov/Archives/edgar/data/1844505/000119312524026690/d452006d424b3.htm" \l "rom452006_49"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Fourth Amendment to Business Combination Agreement, dated November 22, 2023, by and among GigCapital5, Inc., QTI Merger Sub, Inc. and QT Imaging, Inc. (included as Annex A to the Final Proxy Statement/Prospectus filed under Rule 424(b)(3) on February 7, 2024).</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Fifth Amendment to Business Combination Agreement, dated February 2, 2024, by and among GigCapital5, Inc, QTI Merger Sub, Inc. and QT Imaging, Inc. (incorporated by reference to Exhibit 10.1 to GigCapital5’s Current Report on Form 8-K filed with the SEC on February 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Second Amended and Restated Certificate of Incorporation of QT Imaging Holdings, Inc. (incorporated by reference to Exhibit 3.1 to Current Report on Form 8-K filed with the SEC on March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Amended and Restated Bylaws of QT Imaging Holdings, Inc. (incorporated by reference to Exhibit 3.2 to Current Report on Form 8-K filed with the SEC on March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Certificate of Amendment to the Company’s Second Amended and Restated Certificate of Incorporation (incorporated by reference to Exhibit 3.1 to Current Report on Form 8-K filed with the SEC on October 23,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Warrant Agreement between Continental Stock Transfer &amp; Trust Company and the Company (incorporated by reference to Exhibit 4.1 to GigCapital5’s Current Report on Form 8-K filed with the SEC on September 28,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Warrant to Purchase Common Stock, dated February 26, 2025, by and between QT Imaging Holdings, Inc. and Lynrock Lake Master Fund, LP (incorporated by reference to Exhibit 4.1 to Current Report on Form 8-K filed with the SEC on February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Warrant to Purchase Common Stock, dated February 26, 2025, by and between QT Imaging Holdings, Inc. and YA II PN, Ltd. (incorporated by reference to Exhibit 4.2 to Current Report on Form 8-K filed with the SEC on February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48"/>
        <w:gridCol w:w="191"/>
        <w:gridCol w:w="174"/>
        <w:gridCol w:w="109"/>
        <w:gridCol w:w="109"/>
        <w:gridCol w:w="109"/>
        <w:gridCol w:w="2989"/>
        <w:gridCol w:w="2783"/>
        <w:gridCol w:w="2790"/>
        <w:gridCol w:w="109"/>
        <w:gridCol w:w="109"/>
        <w:gridCol w:w="109"/>
        <w:gridCol w:w="109"/>
        <w:gridCol w:w="109"/>
        <w:gridCol w:w="158"/>
      </w:tblGrid>
      <w:tr>
        <w:trPr/>
        <w:tc>
          <w:tcPr>
            <w:tcW w:w="2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Amended and Restated Warrant to Purchase Common Stock, dated June 11, 2025, by and between QT Imaging Holdings, Inc. and Lynrock Lake Master Fund, LP (incorporated by reference to Exhibit 4.1 to Current Report on Form 8-K filed with the SEC on June 12,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Amended and Restated Warrant to Purchase Common Stock, dated June 11, 2025, by and between QT Imaging Holdings, Inc. and YA II PN, Ltd. (incorporated by reference to Exhibit 4.2 to Current Report on Form 8-K filed with the SEC on June 12,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Insider Letter Agreement among the Company and the Founder (incorporated by reference to Exhibit 10.1 to GigCapital5’s Current Report on Form 8-K filed with the SEC on September 28,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Insider Letter Agreement among the Company and its executive officers and directors (incorporated by reference to Exhibit 10.2 to GigCapital5’s Current Report on Form 8-K filed with the SEC on September 28,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Registration Rights Agreement by and among the Company, the Founder and underwriters (incorporated by reference to Exhibit 10.6 to GigCapital5’s Current Report on Form 8-K filed with the SEC on September 28,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Form of Indemnification Agreement (incorporated by reference to Exhibit 10.2 to Current Report on Form 8-K filed with the SEC on March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Amendment to Insider Letter Agreement by and among GigCapital5, Inc. and each of its officers and directors, dated March 28, 2023 (incorporated by reference to Exhibit 10.1 to GigCapital5’s Current Report on Form 8-K filed with the SEC on March 30,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Stockholder Support Agreement, dated as of December 8, 2022, by and among GigCapital5, QT Imaging, Inc. and certain stockholders of QT Imaging, Inc. named in the Stockholder Support Agreement (incorporated by reference to Exhibit 10.1 to GigCapital5’s Current Report on Form 8-K filed with the SEC on December 12,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Amendment to Sponsor Letter Agreement by and among GigCapital5, Inc., GigAcquisitions5, LLC and Underwriters, dated March 28, 2023 (incorporated by reference to Exhibit 10.2 to GigCapital5’s Current Report on Form 8-K filed with the SEC on March 30,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Employment Agreement, dated March 18, 2024, by and between QT Imaging Holdings, Inc. and Dr. Raluca Dinu (incorporated by reference to Exhibit 10.1 to Current Report on Form 8-K filed with the SEC on March 18,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Sponsor Support Agreement, dated as of December 8, 2022, by and among GigCapital5, GigAcquisitions5, LLC, and QT Imaging, Inc. (incorporated by reference to Exhibit 10.2 to GigCapital5’s Current Report on Form 8-K filed with the SEC on December 12,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Twelfth Amended and Restated Promissory Note for Extension Payment (incorporated by reference to Exhibit 10.1 to Current Report on Form 8-K filed with the SEC on March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Eleventh Amended and Restated Promissory Note for Working Capital (incorporated by reference to Exhibit 10.1 to GigCapital5’s Current Report on Form 8-K filed with the SEC on August 28,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Non-Convertible Working Capital Note (incorporated by reference to Exhibit 10.1 to GigCapital5’s Current Report on Form 8-K filed with the SEC on February 22,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Stock Subscription Agreement, dated February 28, 2024, by and among GigCapital5, Inc., QT Imaging, Inc., and William Blair &amp; Co., L.L.C. (incorporated by reference to Exhibit 10.1 to Current Report on Form 8-K filed with the SEC on March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Registration Rights Agreement, dated March 4, 2024, by and among GigCapital5, Inc. and certain stockholders (incorporated by reference to Exhibit 10.2 to Current Report on Form 8-K filed with the SEC on March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Lock-Up Agreement, dated March 4, 2024, by and among GigCapital5, Inc., QT Imaging, Inc. and Dr. John Klock (incorporated by reference to Exhibit 10.3 to Current Report on Form 8-K filed with the SEC on March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Promissory Note, dated March 4, 2024, issued by QT Imaging Holdings, Inc. to YA II PN, Ltd. (incorporated by reference to Exhibit 10.4 to Current Report on Form 8-K filed with the SEC on March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27"/>
        <w:gridCol w:w="199"/>
        <w:gridCol w:w="201"/>
        <w:gridCol w:w="109"/>
        <w:gridCol w:w="109"/>
        <w:gridCol w:w="109"/>
        <w:gridCol w:w="2847"/>
        <w:gridCol w:w="2847"/>
        <w:gridCol w:w="2855"/>
        <w:gridCol w:w="109"/>
        <w:gridCol w:w="109"/>
        <w:gridCol w:w="109"/>
        <w:gridCol w:w="109"/>
        <w:gridCol w:w="109"/>
        <w:gridCol w:w="157"/>
      </w:tblGrid>
      <w:tr>
        <w:trPr/>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Note Purchase Agreement, dated February 29, 2024, by and between GigCapital5, Inc., QT Imaging, Inc. and Funicular Funds, LP (incorporated by reference to Exhibit 10.5 to Current Report on Form 8-K filed with the SEC on March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Form of Promissory Note by and between QT Imaging Holdings, Inc. and Funicular Funds, LP (incorporated by reference to Exhibit 10.6 to Current Report on Form 8-K filed with the SEC on March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Form of Guaranty by and between QT Imaging, Inc., QT Ultrasound Labs, Inc. and Funicular Funds, LP (incorporated by reference to Exhibit 10.7 to GigCapital5’s Current Report on Form 8-K filed with the SEC on March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Form of Security Agreement by and between QT Imaging Holdings, Inc., QT Imaging, Inc., QT Ultrasound Labs, Inc. and Funicular Funds, LP (incorporated by reference to Exhibit 10.8 to Current Report on Form 8-K filed with the SEC on March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10.21</w:t>
            </w:r>
            <w:r>
              <w:rPr>
                <w:rFonts w:ascii="Times New Roman;serif" w:hAnsi="Times New Roman;serif"/>
                <w:b w:val="false"/>
                <w:color w:val="000000"/>
                <w:sz w:val="13"/>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2024 Equity Incentive Plan (incorporated by reference to Exhibit 10.3 to Current Report on Form 8-K filed with the SEC on March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10.22</w:t>
            </w:r>
            <w:r>
              <w:rPr>
                <w:rFonts w:ascii="Times New Roman;serif" w:hAnsi="Times New Roman;serif"/>
                <w:b w:val="false"/>
                <w:color w:val="000000"/>
                <w:sz w:val="13"/>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Form of Restricted Stock Units Agreement (incorporated by reference to Exhibit 10.4 to Current Report on Form 8-K filed with the SEC on March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10.23</w:t>
            </w:r>
            <w:r>
              <w:rPr>
                <w:rFonts w:ascii="Times New Roman;serif" w:hAnsi="Times New Roman;serif"/>
                <w:b w:val="false"/>
                <w:color w:val="000000"/>
                <w:sz w:val="13"/>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Form of Stock Option Agreement (incorporated by reference to Exhibit 10.5 to Current Report on Form 8-K filed with the SEC on March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Standby Equity Purchase Agreement, dated November 16, 2023 and effective as of November 15, 2023, by and between GigCapital5, Inc., QT Imaging, Inc., QT Imaging Holdings, Inc. and YA II PN, Ltd. (incorporated by reference to Exhibit 10.1 to GigCapital5’s Current Report on Form 8-K filed with the SEC on November 22,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Registration Rights Agreement, dated November 16, 2023 and effective as of November 15, 2023, by and between GigCapital5, Inc. and YA II PN, Ltd. (incorporated by reference to Exhibit 10.2 to GigCapital5’s Current Report on Form 8-K filed with the SEC on November 22,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20"/>
                  <w:u w:val="single"/>
                </w:rPr>
                <w:t>Business Associate Agreement, dated September 8, 2020, by and between QT Ultrasound LLC and Dr. John C. Klock, M.D. (incorporated by reference to Exhibit 10.22 to GigCapital5’s Registration Statement on Form S-4/A Amendment No. 9 filed with the SEC on February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Management Services Agreement, dated September 1, 2020, by and between QT Ultrasound LLC and Dr. John C. Klock, M.D., as amended by First Amendment to Management Services Agreement, dated June 1, 2021, and Second Amendment to Management Services Agreement, dated October 1, 2021 (incorporated by reference to Exhibit 10.23 to GigCapital5’s Registration Statement on Form S-4/A Amendment No. 9 filed with the SEC on February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20"/>
                  <w:u w:val="single"/>
                </w:rPr>
                <w:t>Sales Agent Agreement between QT Imaging, Inc. and NXC Imaging, dated May 31, 2023 (incorporated by reference to Exhibit 10.32 to GigCapital5’s Registration Statement on Form S-4/A Amendment No. 9 filed with the SEC on February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20"/>
                  <w:u w:val="single"/>
                </w:rPr>
                <w:t>Feasibility Study Agreement, dated as of March 28, 2024, by and between QT Imaging Holdings, Inc. and Canon Medical Systems Corporation (incorporated by reference to Exhibit 10.1 to Current Report on Form 8-K filed with the SEC on April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20"/>
                  <w:u w:val="single"/>
                </w:rPr>
                <w:t>Distribution Agreement between QT Imaging, Inc. and Innovador Healthcare (Asia) Pte. Ltd. dated November 2, 2022.(incorporated by reference to Exhibit 10.24 to GigCapital5’s Registration Statement on Form S-4/A Amendment No. 9 filed with the SEC on February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20"/>
                  <w:u w:val="single"/>
                </w:rPr>
                <w:t>Employment Agreement, dated March 18, 2024, by and between QT Imaging Holdings, Inc. and Anastas Budagov (incorporated by reference to Exhibit 10.2 to Current Report on Form 8-K filed with the SEC on March 18,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FF"/>
                  <w:sz w:val="20"/>
                  <w:u w:val="single"/>
                </w:rPr>
                <w:t>Services Agreement, dated as of April 1, 2024 and entered into on April 5, 2024, by and between QT Imaging Center and QT Imaging Holdings, Inc. (incorporated by reference to Exhibit 10.1 to Current Report on Form 8-K filed with the SEC on April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FF"/>
                  <w:sz w:val="20"/>
                  <w:u w:val="single"/>
                </w:rPr>
                <w:t>Data Use and License Agreement, dated April 3, 2024, by and between QT Imaging Center and QT Imaging Holdings, Inc. (incorporated by reference to Exhibit 10.2 to Current Report on Form 8-K filed with the SEC on April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37"/>
        <w:gridCol w:w="208"/>
        <w:gridCol w:w="210"/>
        <w:gridCol w:w="109"/>
        <w:gridCol w:w="109"/>
        <w:gridCol w:w="109"/>
        <w:gridCol w:w="2891"/>
        <w:gridCol w:w="2811"/>
        <w:gridCol w:w="2819"/>
        <w:gridCol w:w="109"/>
        <w:gridCol w:w="109"/>
        <w:gridCol w:w="109"/>
        <w:gridCol w:w="109"/>
        <w:gridCol w:w="109"/>
        <w:gridCol w:w="157"/>
      </w:tblGrid>
      <w:tr>
        <w:trPr/>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erif" w:hAnsi="Times New Roman;serif"/>
                  <w:b w:val="false"/>
                  <w:color w:val="0000FF"/>
                  <w:sz w:val="20"/>
                  <w:u w:val="single"/>
                </w:rPr>
                <w:t>Space and Equipment Sublease, dated as of April 1, 2024, by and among QT Imaging Holdings, Inc. and QT Imaging Center (incorporated by reference to Exhibit 10.1 to Current Report on Form 8-K filed with the SEC on April 19,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erif" w:hAnsi="Times New Roman;serif"/>
                  <w:b w:val="false"/>
                  <w:color w:val="0000FF"/>
                  <w:sz w:val="20"/>
                  <w:u w:val="single"/>
                </w:rPr>
                <w:t>Distribution Agreement, dated as of June 10, 2024, by and between QT Imaging Holdings, Inc. and NXC Imaging, Inc. (incorporated by reference to Exhibit 10.1 to Current Report on Form 8-K filed with the SEC on June 25,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erif" w:hAnsi="Times New Roman;serif"/>
                  <w:b w:val="false"/>
                  <w:color w:val="0000FF"/>
                  <w:sz w:val="20"/>
                  <w:u w:val="single"/>
                </w:rPr>
                <w:t>Omnibus Amendment, dated September 26, 2024, by and between QT Imaging Holdings, Inc. and YA II PN, Ltd. (incorporated by reference to Exhibit 10.1 to Current Report on Form 8-K filed with the SEC on September 30,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erif" w:hAnsi="Times New Roman;serif"/>
                  <w:b w:val="false"/>
                  <w:color w:val="0000FF"/>
                  <w:sz w:val="20"/>
                  <w:u w:val="single"/>
                </w:rPr>
                <w:t>Second Amendment, dated October 31, 2024, by and between QT Imaging Holdings, Inc. and YA II PN, Ltd. (incorporated by reference to Exhibit 10.1 to Current Report on Form 8-K filed with the SEC on November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erif" w:hAnsi="Times New Roman;serif"/>
                  <w:b w:val="false"/>
                  <w:color w:val="0000FF"/>
                  <w:sz w:val="20"/>
                  <w:u w:val="single"/>
                </w:rPr>
                <w:t>Securities Purchase Agreement, dated November 12, 2024, by and between QT Imaging Holdings, Inc. and certain purchasers (incorporated by reference to Exhibit 10.3 to Quarterly Report on Form 10-Q filed with the SEC on November 13,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erif" w:hAnsi="Times New Roman;serif"/>
                  <w:b w:val="false"/>
                  <w:color w:val="0000FF"/>
                  <w:sz w:val="20"/>
                  <w:u w:val="single"/>
                </w:rPr>
                <w:t>Registration Rights Agreement, dated November 12, 2024, by and between QT Imaging Holdings, Inc. and certain purchasers (incorporated by reference to Exhibit 10.4 to Quarterly Report on Form 10-Q filed with the SEC on November 13,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erif" w:hAnsi="Times New Roman;serif"/>
                  <w:b w:val="false"/>
                  <w:color w:val="0000FF"/>
                  <w:sz w:val="20"/>
                  <w:u w:val="single"/>
                </w:rPr>
                <w:t>Amended and Restated Distribution Agreement, dated as of December 11, 2024, by and between QT Imaging Holdings, Inc. and NXC Imaging, Inc. (incorporated by reference to Exhibit 10.1 to Current Report on Form 8-K filed with the SEC on December 12,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erif" w:hAnsi="Times New Roman;serif"/>
                  <w:b w:val="false"/>
                  <w:color w:val="0000FF"/>
                  <w:sz w:val="20"/>
                  <w:u w:val="single"/>
                </w:rPr>
                <w:t>Third Omnibus Amendment, dated January 9, 2025, by and between QT Imaging Holdings, Inc. and YA II PN, LTD (incorporated by reference to Exhibit 10.1 to Current Report on Form 8-K filed with the SEC on January 10,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erif" w:hAnsi="Times New Roman;serif"/>
                  <w:b w:val="false"/>
                  <w:color w:val="0000FF"/>
                  <w:sz w:val="20"/>
                  <w:u w:val="single"/>
                </w:rPr>
                <w:t>Omnibus Amendment, dated January 9, 2025, by and between QT Imaging Holdings, Inc. and Funicular Funds, LP (incorporated by reference to Exhibit 10.2 to Current Report on Form 8-K filed with the SEC on January 10,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erif" w:hAnsi="Times New Roman;serif"/>
                  <w:b w:val="false"/>
                  <w:color w:val="0000FF"/>
                  <w:sz w:val="20"/>
                  <w:u w:val="single"/>
                </w:rPr>
                <w:t>Sublease, dated as of January 23, 2025, by and among QT Imaging Holdings, Inc. and QT Imaging Center.(incorporated by reference to Exhibit 10.1 to Current Report on Form 8-K filed with the SEC on January 24,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erif" w:hAnsi="Times New Roman;serif"/>
                  <w:b w:val="false"/>
                  <w:color w:val="0000FF"/>
                  <w:sz w:val="20"/>
                  <w:u w:val="single"/>
                </w:rPr>
                <w:t>Credit Agreement, dated February 26, 2025, by and between QT Imaging Holdings, Inc. and Lynrock Lake Master Fund, LP (incorporated by reference to Exhibit 10.1 to Current Report on Form 8-K filed with the SEC on February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erif" w:hAnsi="Times New Roman;serif"/>
                  <w:b w:val="false"/>
                  <w:color w:val="0000FF"/>
                  <w:sz w:val="20"/>
                  <w:u w:val="single"/>
                </w:rPr>
                <w:t>Termination Agreement, dated February 26, 2025, by and between QT Imaging Holdings, Inc. and YA II PN, Ltd. (incorporated by reference to Exhibit 10.2 to Current Report on Form 8-K filed with the SEC on February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erif" w:hAnsi="Times New Roman;serif"/>
                  <w:b w:val="false"/>
                  <w:color w:val="0000FF"/>
                  <w:sz w:val="20"/>
                  <w:u w:val="single"/>
                </w:rPr>
                <w:t>Manufacturing Agreement, dated March 28, 2025, by and between QT Imaging Holdings, Inc. and Canon Medical Systems Corporation</w:t>
              </w:r>
            </w:hyperlink>
            <w:r>
              <w:rPr>
                <w:color w:val="000000"/>
              </w:rPr>
              <w:t xml:space="preserve"> </w:t>
            </w:r>
            <w:hyperlink r:id="rId60">
              <w:r>
                <w:rPr>
                  <w:rStyle w:val="InternetLink"/>
                  <w:rFonts w:ascii="Times New Roman;serif" w:hAnsi="Times New Roman;serif"/>
                  <w:b w:val="false"/>
                  <w:color w:val="0000FF"/>
                  <w:sz w:val="20"/>
                  <w:u w:val="single"/>
                </w:rPr>
                <w:t>(incorporated by reference to to Exhibit 10.46 to Annual Report on Form 10-K filed with the SEC on March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erif" w:hAnsi="Times New Roman;serif"/>
                  <w:b w:val="false"/>
                  <w:color w:val="0000FF"/>
                  <w:sz w:val="20"/>
                  <w:u w:val="single"/>
                </w:rPr>
                <w:t>Amendment No. 1 to Amended and Restated Distribution Agreement, dated March 28, 2025, by and between QT Imaging Holdings, Inc. and NXC Imaging, Inc.</w:t>
              </w:r>
            </w:hyperlink>
            <w:r>
              <w:rPr>
                <w:color w:val="000000"/>
              </w:rPr>
              <w:t xml:space="preserve"> </w:t>
            </w:r>
            <w:r>
              <w:rPr>
                <w:rFonts w:ascii="Times New Roman;serif" w:hAnsi="Times New Roman;serif"/>
                <w:b w:val="false"/>
                <w:color w:val="000000"/>
                <w:sz w:val="20"/>
              </w:rPr>
              <w:t>(</w:t>
            </w:r>
            <w:hyperlink r:id="rId62">
              <w:r>
                <w:rPr>
                  <w:rStyle w:val="InternetLink"/>
                  <w:rFonts w:ascii="Times New Roman;serif" w:hAnsi="Times New Roman;serif"/>
                  <w:b w:val="false"/>
                  <w:color w:val="0000FF"/>
                  <w:sz w:val="20"/>
                  <w:u w:val="single"/>
                </w:rPr>
                <w:t>incorporated by reference to to Exhibit 10.47 to Annual Report on Form 10-K filed with the SEC on March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erif" w:hAnsi="Times New Roman;serif"/>
                  <w:b w:val="false"/>
                  <w:color w:val="0000FF"/>
                  <w:sz w:val="20"/>
                  <w:u w:val="single"/>
                </w:rPr>
                <w:t>Securities Purchase Agreement, dated April 9, 2025, by and between QT Imaging Holdings, Inc. and certain purchasers (incorporated by reference to Exhibit 10.1 to QT Imaging Holdings’ Current Report on Form 8-K filed with the SEC on April 10,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erif" w:hAnsi="Times New Roman;serif"/>
                  <w:b w:val="false"/>
                  <w:color w:val="0000FF"/>
                  <w:sz w:val="20"/>
                  <w:u w:val="single"/>
                </w:rPr>
                <w:t>Registration Rights Agreement, dated April 9, 2025, by and between QT Imaging Holdings, Inc. and certain purchasers (incorporated by reference to Exhibit 10.2 to QT Imaging Holdings’ Current Report on Form 8-K filed with the SEC on April 10,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erif" w:hAnsi="Times New Roman;serif"/>
                  <w:b w:val="false"/>
                  <w:color w:val="0000FF"/>
                  <w:sz w:val="20"/>
                  <w:u w:val="single"/>
                </w:rPr>
                <w:t>Securities Purchase Agreement, dated May 12, 2025, by and between QT Imaging Holdings, Inc. and certain purchasers (incorporated by reference to Exhibit 10.10 to QT Imaging Holdings’ Quarterly Report on Form 10-Q filed with the SEC on May 13,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2"/>
        <w:gridCol w:w="225"/>
        <w:gridCol w:w="109"/>
        <w:gridCol w:w="109"/>
        <w:gridCol w:w="109"/>
        <w:gridCol w:w="2823"/>
        <w:gridCol w:w="2823"/>
        <w:gridCol w:w="2830"/>
        <w:gridCol w:w="109"/>
        <w:gridCol w:w="109"/>
        <w:gridCol w:w="109"/>
        <w:gridCol w:w="109"/>
        <w:gridCol w:w="109"/>
        <w:gridCol w:w="157"/>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Times New Roman;serif" w:hAnsi="Times New Roman;serif"/>
                  <w:b w:val="false"/>
                  <w:color w:val="0000FF"/>
                  <w:sz w:val="20"/>
                  <w:u w:val="single"/>
                </w:rPr>
                <w:t>Registration Rights Agreement, dated May 12, 2025, by and between QT Imaging Holdings, Inc. and certain purchasers (incorporated by reference to Exhibit 10.11 to QT Imaging Holdings’ Quarterly Report on Form 10-Q filed with the SEC on May 13,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7">
              <w:r>
                <w:rPr>
                  <w:rStyle w:val="InternetLink"/>
                  <w:rFonts w:ascii="Times New Roman;serif" w:hAnsi="Times New Roman;serif"/>
                  <w:b w:val="false"/>
                  <w:color w:val="0000FF"/>
                  <w:sz w:val="20"/>
                  <w:u w:val="single"/>
                </w:rPr>
                <w:t>Securities Purchase Agreement, dated September 30, 2025, by and between QT Imaging Holdings, Inc. and certain purchasers (incorporated by reference to Exhibit 10.1 to Current Report on Form 8-K filed with the SEC on October 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8">
              <w:r>
                <w:rPr>
                  <w:rStyle w:val="InternetLink"/>
                  <w:rFonts w:ascii="Times New Roman;serif" w:hAnsi="Times New Roman;serif"/>
                  <w:b w:val="false"/>
                  <w:color w:val="0000FF"/>
                  <w:sz w:val="20"/>
                  <w:u w:val="single"/>
                </w:rPr>
                <w:t>Registration Rights Agreement, dated September 30, 2025, by and between QT Imaging Holdings, Inc. and certain purchasers (incorporated by reference to Exhibit 10.2 to Current Report on Form 8-K filed with the SEC on October 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9">
              <w:r>
                <w:rPr>
                  <w:rStyle w:val="InternetLink"/>
                  <w:rFonts w:ascii="Times New Roman;serif" w:hAnsi="Times New Roman;serif"/>
                  <w:b w:val="false"/>
                  <w:color w:val="0000FF"/>
                  <w:sz w:val="20"/>
                  <w:u w:val="single"/>
                </w:rPr>
                <w:t>Amended Credit Agreement, dated as of August 26, 2025, by and between QT Imaging Holdings, Inc. and Lynrock Lake Master Fund LP (incorporated by reference to Exhibit 10.2 to Current Report on Form 8-K filed with the SEC on August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0">
              <w:r>
                <w:rPr>
                  <w:rStyle w:val="InternetLink"/>
                  <w:rFonts w:ascii="Times New Roman;serif" w:hAnsi="Times New Roman;serif"/>
                  <w:b w:val="false"/>
                  <w:color w:val="0000FF"/>
                  <w:sz w:val="20"/>
                  <w:u w:val="single"/>
                </w:rPr>
                <w:t>Employment Agreement, dated as of August 22, 2025, by and between QT Imaging Holdings, Inc. and Jay Jennings (incorporated by reference to Exhibit 10.3 to Current Report on Form 8-K filed with the SEC on August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1">
              <w:r>
                <w:rPr>
                  <w:rStyle w:val="InternetLink"/>
                  <w:rFonts w:ascii="Times New Roman;serif" w:hAnsi="Times New Roman;serif"/>
                  <w:b w:val="false"/>
                  <w:color w:val="0000FF"/>
                  <w:sz w:val="20"/>
                  <w:u w:val="single"/>
                </w:rPr>
                <w:t xml:space="preserve">Securities Purchase Agreement, dated January 22, 2026, by and between QT Imaging Holdings, Inc. and the Purchasers (incorporated by reference to Exhibit 10.1 to Current Report on Form 8-K filed with the SEC on January 23, 2026).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2">
              <w:r>
                <w:rPr>
                  <w:rStyle w:val="InternetLink"/>
                  <w:rFonts w:ascii="Times New Roman;serif" w:hAnsi="Times New Roman;serif"/>
                  <w:b w:val="false"/>
                  <w:color w:val="0000FF"/>
                  <w:sz w:val="20"/>
                  <w:u w:val="single"/>
                </w:rPr>
                <w:t>Registration Rights Agreement, dated January 22, 2026, by and between QT Imaging Holdings, Inc. and the Purchasers (incorporated by reference to Exhibit 10.2 to Current Report on Form 8-K filed with the SEC on January 23,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3">
              <w:r>
                <w:rPr>
                  <w:rStyle w:val="InternetLink"/>
                  <w:rFonts w:ascii="Times New Roman;serif" w:hAnsi="Times New Roman;serif"/>
                  <w:b w:val="false"/>
                  <w:color w:val="0000FF"/>
                  <w:sz w:val="20"/>
                  <w:u w:val="single"/>
                </w:rPr>
                <w:t>Distribution Agreement, dated as of January 19, 2026, by and between QT Imaging Holdings, Inc. and Al Naghi Medical Co. (incorporated by reference to Exhibit 10.1 to Current Report on Form 8-K filed with the SEC on January 20,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Times New Roman;serif" w:hAnsi="Times New Roman;serif"/>
                  <w:b w:val="false"/>
                  <w:color w:val="0000FF"/>
                  <w:sz w:val="20"/>
                  <w:u w:val="single"/>
                </w:rPr>
                <w:t>Warrant Repurchase Agreement, dated as of August 26, 2025, by and between QT Imaging Holdings, Inc. and YA II PN, LTD. (incorporated by reference to Exhibit 10.1 to Current Report on Form 8-K filed with the SEC on August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5">
              <w:r>
                <w:rPr>
                  <w:rStyle w:val="InternetLink"/>
                  <w:rFonts w:ascii="Times New Roman;serif" w:hAnsi="Times New Roman;serif"/>
                  <w:b w:val="false"/>
                  <w:color w:val="0000FF"/>
                  <w:sz w:val="20"/>
                  <w:u w:val="single"/>
                </w:rPr>
                <w:t>Distribution Agreement, dated as of August 21, 2025, by and between QT Imaging Holdings, Inc. and Gulf Medical Co. (incorporated by reference to Exhibit 10.1 to Current Report on Form 8-K filed with the SEC on August 25,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6">
              <w:r>
                <w:rPr>
                  <w:rStyle w:val="InternetLink"/>
                  <w:rFonts w:ascii="Times New Roman;serif" w:hAnsi="Times New Roman;serif"/>
                  <w:b w:val="false"/>
                  <w:color w:val="0000FF"/>
                  <w:sz w:val="20"/>
                  <w:u w:val="single"/>
                </w:rPr>
                <w:t>Amended Distribution Agreement, dated as of February 25, 2026, by and between QT Imaging Holdings, Inc. and Gulf Medical Co. (incorporated by reference to Exhibit 10.61 to Annual Report on Form 10-K filed with the SEC on March 25,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7">
              <w:r>
                <w:rPr>
                  <w:rStyle w:val="InternetLink"/>
                  <w:rFonts w:ascii="Times New Roman;serif" w:hAnsi="Times New Roman;serif"/>
                  <w:b w:val="false"/>
                  <w:color w:val="0000FF"/>
                  <w:sz w:val="20"/>
                  <w:u w:val="single"/>
                </w:rPr>
                <w:t>Inducement Equity Incentive Plan (incorporated by reference to Exhibit 4.4 to Registration Statement on Form S-8 filed with the SEC on August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8">
              <w:r>
                <w:rPr>
                  <w:rStyle w:val="InternetLink"/>
                  <w:rFonts w:ascii="Times New Roman;serif" w:hAnsi="Times New Roman;serif"/>
                  <w:b w:val="false"/>
                  <w:color w:val="0000FF"/>
                  <w:sz w:val="20"/>
                  <w:u w:val="single"/>
                </w:rPr>
                <w:t xml:space="preserve">Second Amendment to Credit Agreement, dated as of May 12, 2026, by and between QT Imaging Holdings, Inc. and Lynrock Lake Master Fund LP.Second Amendment to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9">
              <w:r>
                <w:rPr>
                  <w:rStyle w:val="InternetLink"/>
                  <w:rFonts w:ascii="Times New Roman;serif" w:hAnsi="Times New Roman;serif"/>
                  <w:b w:val="false"/>
                  <w:color w:val="0000FF"/>
                  <w:sz w:val="20"/>
                  <w:u w:val="single"/>
                </w:rPr>
                <w:t>Code of Business Conduct and Ethics (incorporated by reference to Exhibit 14 to GigCapital5’s Annual Report on Form 10-K filed with the SEC on March 25,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0">
              <w:r>
                <w:rPr>
                  <w:rStyle w:val="InternetLink"/>
                  <w:rFonts w:ascii="Times New Roman;serif" w:hAnsi="Times New Roman;serif"/>
                  <w:b w:val="false"/>
                  <w:color w:val="0000FF"/>
                  <w:sz w:val="20"/>
                  <w:u w:val="single"/>
                </w:rPr>
                <w:t>Stock Trading Policy and Insider Trading Prohibition (Insider Trading Policy)</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1">
              <w:r>
                <w:rPr>
                  <w:rStyle w:val="InternetLink"/>
                  <w:rFonts w:ascii="Times New Roman;serif" w:hAnsi="Times New Roman;serif"/>
                  <w:b w:val="false"/>
                  <w:color w:val="0000FF"/>
                  <w:sz w:val="20"/>
                  <w:u w:val="single"/>
                </w:rPr>
                <w:t>List of Subsidiaries of the Registrant (incorporated by reference to Exhibit 21.1 to Registration Statement on Form S-1/A filed with the SEC on May 16,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ormq22026ex311302certific.htm">
              <w:r>
                <w:rPr>
                  <w:rStyle w:val="InternetLink"/>
                  <w:rFonts w:ascii="Times New Roman;serif" w:hAnsi="Times New Roman;serif"/>
                  <w:b w:val="false"/>
                  <w:color w:val="0000FF"/>
                  <w:sz w:val="20"/>
                  <w:u w:val="single"/>
                </w:rPr>
                <w:t>Rule 13a-14(a)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ormq22026ex312302certific.htm">
              <w:r>
                <w:rPr>
                  <w:rStyle w:val="InternetLink"/>
                  <w:rFonts w:ascii="Times New Roman;serif" w:hAnsi="Times New Roman;serif"/>
                  <w:b w:val="false"/>
                  <w:color w:val="0000FF"/>
                  <w:sz w:val="20"/>
                  <w:u w:val="single"/>
                </w:rPr>
                <w:t>Rule 13a-14(a)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ormq22026ex321section1350.htm">
              <w:r>
                <w:rPr>
                  <w:rStyle w:val="InternetLink"/>
                  <w:rFonts w:ascii="Times New Roman;serif" w:hAnsi="Times New Roman;serif"/>
                  <w:b w:val="false"/>
                  <w:color w:val="0000FF"/>
                  <w:sz w:val="20"/>
                  <w:u w:val="single"/>
                </w:rPr>
                <w:t>Section 1350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ormq22026ex322section1350.htm">
              <w:r>
                <w:rPr>
                  <w:rStyle w:val="InternetLink"/>
                  <w:rFonts w:ascii="Times New Roman;serif" w:hAnsi="Times New Roman;serif"/>
                  <w:b w:val="false"/>
                  <w:color w:val="0000FF"/>
                  <w:sz w:val="20"/>
                  <w:u w:val="single"/>
                </w:rPr>
                <w:t>Section 1350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2">
              <w:r>
                <w:rPr>
                  <w:rStyle w:val="InternetLink"/>
                  <w:rFonts w:ascii="Times New Roman;serif" w:hAnsi="Times New Roman;serif"/>
                  <w:b w:val="false"/>
                  <w:color w:val="0000FF"/>
                  <w:sz w:val="20"/>
                  <w:u w:val="single"/>
                </w:rPr>
                <w:t>Clawback Policy (incorporated by reference to Exhibit 97.1 to GigCapital5’s Annual Report on Form 10-K filed with the SEC on March 25,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97"/>
        <w:gridCol w:w="248"/>
        <w:gridCol w:w="250"/>
        <w:gridCol w:w="109"/>
        <w:gridCol w:w="109"/>
        <w:gridCol w:w="109"/>
        <w:gridCol w:w="2821"/>
        <w:gridCol w:w="2776"/>
        <w:gridCol w:w="2784"/>
        <w:gridCol w:w="109"/>
        <w:gridCol w:w="109"/>
        <w:gridCol w:w="109"/>
        <w:gridCol w:w="109"/>
        <w:gridCol w:w="109"/>
        <w:gridCol w:w="157"/>
      </w:tblGrid>
      <w:tr>
        <w:trPr/>
        <w:tc>
          <w:tcPr>
            <w:tcW w:w="29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3">
              <w:r>
                <w:rPr>
                  <w:rStyle w:val="InternetLink"/>
                  <w:rFonts w:ascii="Times New Roman;serif" w:hAnsi="Times New Roman;serif"/>
                  <w:b w:val="false"/>
                  <w:color w:val="0000FF"/>
                  <w:sz w:val="20"/>
                  <w:u w:val="single"/>
                </w:rPr>
                <w:t>Audit Committee Charter (incorporated by reference to Exhibit 99.1 to GigCapital5’s Annual Report on Form 10-K filed with the SEC on March 25, 2024)</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4">
              <w:r>
                <w:rPr>
                  <w:rStyle w:val="InternetLink"/>
                  <w:rFonts w:ascii="Times New Roman;serif" w:hAnsi="Times New Roman;serif"/>
                  <w:b w:val="false"/>
                  <w:color w:val="0000FF"/>
                  <w:sz w:val="20"/>
                  <w:u w:val="single"/>
                </w:rPr>
                <w:t>Compensation Committee Charter (incorporated by reference to Exhibit 99.2 to GigCapital5’s Annual Report on Form 10-K filed with the SEC on March 25, 2024)</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5">
              <w:r>
                <w:rPr>
                  <w:rStyle w:val="InternetLink"/>
                  <w:rFonts w:ascii="Times New Roman;serif" w:hAnsi="Times New Roman;serif"/>
                  <w:b w:val="false"/>
                  <w:color w:val="0000FF"/>
                  <w:sz w:val="20"/>
                  <w:u w:val="single"/>
                </w:rPr>
                <w:t>Nominating and Corporate Governance Committee Charter (incorporated by reference to Exhibit 99.3 to GigCapital5’s Annual Report on Form 10-K filed with the SEC on March 25, 2024)</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(as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*Previously filed and incorporated herein by reference.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6"/>
        </w:rPr>
        <w:t>Certain portions of this exhibit (indicated by “[***]”) have been omitted pursuant to Item 601(b)(10)(iv) of Regulation S-K because it is not material and is the type of information that the Registrant treats as private or confidential. The Registrant agrees to furnish supplementally a copy of such schedules, or any section thereof, to the SEC upon request.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#Indicate management contract or compensatory plan or arrangement.</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6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4815" w:type="dxa"/>
        <w:jc w:val="left"/>
        <w:tblInd w:w="0" w:type="dxa"/>
        <w:tblLayout w:type="fixed"/>
        <w:tblCellMar>
          <w:top w:w="28" w:type="dxa"/>
          <w:left w:w="28" w:type="dxa"/>
          <w:bottom w:w="28" w:type="dxa"/>
          <w:right w:w="28" w:type="dxa"/>
        </w:tblCellMar>
      </w:tblPr>
      <w:tblGrid>
        <w:gridCol w:w="743"/>
        <w:gridCol w:w="653"/>
        <w:gridCol w:w="659"/>
        <w:gridCol w:w="807"/>
        <w:gridCol w:w="807"/>
        <w:gridCol w:w="1146"/>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QT IMAGING HOLDINGS,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12, 2026</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Raluca Dinu</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Dr. Raluca Dinu</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12, 2026</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Jay Jennings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Jay Jennings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180"/>
        <w:jc w:val="center"/>
        <w:rPr/>
      </w:pPr>
      <w:r>
        <w:rPr/>
      </w:r>
    </w:p>
    <w:p>
      <w:pPr>
        <w:pStyle w:val="TextBody"/>
        <w:bidi w:val="0"/>
        <w:spacing w:lineRule="auto" w:line="288" w:before="240" w:after="180"/>
        <w:jc w:val="center"/>
        <w:rPr/>
      </w:pPr>
      <w:r>
        <w:rPr>
          <w:rFonts w:ascii="Times New Roman;serif" w:hAnsi="Times New Roman;serif"/>
          <w:b/>
          <w:color w:val="000000"/>
          <w:sz w:val="20"/>
        </w:rPr>
        <w:t>CERTIFICATION OF PRINCIPAL EXECUTIVE OFFICER</w:t>
        <w:br/>
      </w:r>
      <w:r>
        <w:rPr>
          <w:rFonts w:ascii="Times New Roman;serif" w:hAnsi="Times New Roman;serif"/>
          <w:b w:val="false"/>
          <w:color w:val="000000"/>
          <w:sz w:val="20"/>
        </w:rPr>
        <w:t>Pursuant to Rule 13a-14(a) and Rule 15d-14(a) under the</w:t>
        <w:br/>
        <w:t>Securities Exchange Act of 1934</w:t>
        <w:br/>
        <w:t>(Section 302 of the Sarbanes-Oxley Act of 2002)</w: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Dr. Raluca Dinu,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QT Imaging Holdings,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501"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34"/>
        <w:gridCol w:w="134"/>
        <w:gridCol w:w="136"/>
        <w:gridCol w:w="109"/>
        <w:gridCol w:w="109"/>
        <w:gridCol w:w="109"/>
        <w:gridCol w:w="1183"/>
        <w:gridCol w:w="1183"/>
        <w:gridCol w:w="168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Raluca Dinu</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Raluca Dinu</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Secretary</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80"/>
        <w:jc w:val="center"/>
        <w:rPr/>
      </w:pPr>
      <w:r>
        <w:rPr>
          <w:rFonts w:ascii="Times New Roman;serif" w:hAnsi="Times New Roman;serif"/>
          <w:b/>
          <w:color w:val="000000"/>
          <w:sz w:val="20"/>
        </w:rPr>
        <w:t>CERTIFICATION OF PRINCIPAL FINANCIAL OFFICER</w:t>
        <w:br/>
      </w:r>
      <w:r>
        <w:rPr>
          <w:rFonts w:ascii="Times New Roman;serif" w:hAnsi="Times New Roman;serif"/>
          <w:b w:val="false"/>
          <w:color w:val="000000"/>
          <w:sz w:val="20"/>
        </w:rPr>
        <w:t>Pursuant to Rule 13a-14(a) and Rule 15d-14(a) under the</w:t>
        <w:br/>
        <w:t>Securities Exchange Act of 1934</w:t>
        <w:br/>
        <w:t>(Section 302 of the Sarbanes-Oxley Act of 2002)</w: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Jay Jennings,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QT Imaging Holdings,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4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1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34"/>
        <w:gridCol w:w="134"/>
        <w:gridCol w:w="136"/>
        <w:gridCol w:w="109"/>
        <w:gridCol w:w="109"/>
        <w:gridCol w:w="109"/>
        <w:gridCol w:w="1102"/>
        <w:gridCol w:w="1102"/>
        <w:gridCol w:w="156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Jennings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Jennings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18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480" w:after="180"/>
        <w:jc w:val="center"/>
        <w:rPr/>
      </w:pPr>
      <w:r>
        <w:rPr>
          <w:rFonts w:ascii="Times New Roman;serif" w:hAnsi="Times New Roman;serif"/>
          <w:b/>
          <w:color w:val="000000"/>
          <w:sz w:val="20"/>
          <w:shd w:fill="FFFFFF" w:val="clear"/>
        </w:rPr>
        <w:t>CERTIFICATION OF PRINCIPAL EXECUTIVE OFFICER</w:t>
        <w:br/>
      </w:r>
      <w:r>
        <w:rPr>
          <w:rFonts w:ascii="Times New Roman;serif" w:hAnsi="Times New Roman;serif"/>
          <w:b w:val="false"/>
          <w:color w:val="000000"/>
          <w:sz w:val="20"/>
          <w:shd w:fill="FFFFFF" w:val="clear"/>
        </w:rPr>
        <w:t>Pursuant to 18 U.S.C. 1350</w:t>
        <w:br/>
        <w:t>(Section 906 of the Sarbanes-Oxley Act of 2002)</w: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Quarterly Report on Form 10-Q of QT Imaging Holdings, Inc. (the “Company”) for the quarter ended June 30, 2026, as filed with the Securities and Exchange Commission (the “Report”), I, Raluca Dinu, Chief Executive Officer of the Company, hereby certify, pursuant to 18 U.S.C. §1350, as adopted pursuant to §906 of the Sarbanes-Oxley Act of 2002, that:</w:t>
      </w:r>
    </w:p>
    <w:p>
      <w:pPr>
        <w:pStyle w:val="TextBody"/>
        <w:bidi w:val="0"/>
        <w:spacing w:lineRule="auto" w:line="288" w:before="0" w:after="18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The Report fully complies with the requirements of Section 13(a) or 15(d) of the Securities Exchange Act of 1934, as amended; and</w:t>
      </w:r>
    </w:p>
    <w:p>
      <w:pPr>
        <w:pStyle w:val="TextBody"/>
        <w:bidi w:val="0"/>
        <w:spacing w:lineRule="auto" w:line="288" w:before="0" w:after="18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The information contained in the Report fairly presents, in all material respects, the financial condition and results of operations of the Company.</w:t>
      </w:r>
    </w:p>
    <w:p>
      <w:pPr>
        <w:pStyle w:val="TextBody"/>
        <w:bidi w:val="0"/>
        <w:spacing w:lineRule="auto" w:line="288" w:before="0" w:after="180"/>
        <w:jc w:val="left"/>
        <w:rPr>
          <w:color w:val="000000"/>
          <w:shd w:fill="FFFFFF" w:val="clear"/>
        </w:rPr>
      </w:pPr>
      <w:r>
        <w:rPr>
          <w:color w:val="000000"/>
          <w:shd w:fill="FFFFFF" w:val="clear"/>
        </w:rPr>
        <w:t> </w:t>
      </w:r>
    </w:p>
    <w:tbl>
      <w:tblPr>
        <w:tblW w:w="7501"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34"/>
        <w:gridCol w:w="134"/>
        <w:gridCol w:w="136"/>
        <w:gridCol w:w="109"/>
        <w:gridCol w:w="109"/>
        <w:gridCol w:w="109"/>
        <w:gridCol w:w="1183"/>
        <w:gridCol w:w="1183"/>
        <w:gridCol w:w="168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Raluca Dinu</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Raluca Dinu</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Secretary</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180" w:after="283"/>
        <w:jc w:val="center"/>
        <w:rPr/>
      </w:pPr>
      <w:r>
        <w:rPr>
          <w:rFonts w:ascii="Times New Roman;serif" w:hAnsi="Times New Roman;serif"/>
          <w:b/>
          <w:color w:val="000000"/>
          <w:sz w:val="20"/>
          <w:shd w:fill="FFFFFF" w:val="clear"/>
        </w:rPr>
        <w:t>CERTIFICATION OF PRINCIPAL FINANCIAL OFFICER</w:t>
        <w:br/>
      </w:r>
      <w:r>
        <w:rPr>
          <w:rFonts w:ascii="Times New Roman;serif" w:hAnsi="Times New Roman;serif"/>
          <w:b w:val="false"/>
          <w:color w:val="000000"/>
          <w:sz w:val="20"/>
          <w:shd w:fill="FFFFFF" w:val="clear"/>
        </w:rPr>
        <w:t>Pursuant to 18 U.S.C. 1350</w:t>
        <w:br/>
        <w:t>(Section 906 of the Sarbanes-Oxley Act of 2002)</w:t>
      </w:r>
    </w:p>
    <w:p>
      <w:pPr>
        <w:pStyle w:val="TextBody"/>
        <w:bidi w:val="0"/>
        <w:spacing w:before="180" w:after="283"/>
        <w:jc w:val="center"/>
        <w:rPr/>
      </w:pPr>
      <w:r>
        <w:rPr/>
      </w:r>
    </w:p>
    <w:p>
      <w:pPr>
        <w:pStyle w:val="TextBody"/>
        <w:bidi w:val="0"/>
        <w:spacing w:lineRule="auto" w:line="288" w:before="18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Quarterly Report on Form 10-Q of QT Imaging Holdings, Inc. (the “Company”) for the quarter ended June 30, 2026, as filed with the Securities and Exchange Commission (the “Report”), I, Jay Jennings, Chief Financial Officer of the Company, hereby certify, pursuant to 18 U.S.C. §1350, as adopted pursuant to §906 of the Sarbanes-Oxley Act of 2002, that:</w:t>
      </w:r>
    </w:p>
    <w:p>
      <w:pPr>
        <w:pStyle w:val="TextBody"/>
        <w:bidi w:val="0"/>
        <w:spacing w:lineRule="auto" w:line="288" w:before="180" w:after="18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The Report fully complies with the requirements of Section 13(a) or 15(d) of the Securities Exchange Act of 1934, as amended; and</w:t>
      </w:r>
    </w:p>
    <w:p>
      <w:pPr>
        <w:pStyle w:val="TextBody"/>
        <w:bidi w:val="0"/>
        <w:spacing w:lineRule="auto" w:line="288" w:before="180" w:after="18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The information contained in the Report fairly presents, in all material respects, the financial condition and results of operations of the Company.</w:t>
      </w:r>
    </w:p>
    <w:p>
      <w:pPr>
        <w:pStyle w:val="TextBody"/>
        <w:bidi w:val="0"/>
        <w:spacing w:lineRule="auto" w:line="288" w:before="180" w:after="283"/>
        <w:jc w:val="left"/>
        <w:rPr>
          <w:color w:val="000000"/>
          <w:shd w:fill="FFFFFF" w:val="clear"/>
        </w:rPr>
      </w:pPr>
      <w:r>
        <w:rPr>
          <w:color w:val="000000"/>
          <w:shd w:fill="FFFFFF" w:val="clear"/>
        </w:rPr>
        <w:t> </w:t>
      </w:r>
    </w:p>
    <w:tbl>
      <w:tblPr>
        <w:tblW w:w="721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34"/>
        <w:gridCol w:w="134"/>
        <w:gridCol w:w="136"/>
        <w:gridCol w:w="109"/>
        <w:gridCol w:w="109"/>
        <w:gridCol w:w="109"/>
        <w:gridCol w:w="1102"/>
        <w:gridCol w:w="1102"/>
        <w:gridCol w:w="156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Jennings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Jennings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44505/000119312522302292/d376793dex21.htm" TargetMode="External"/><Relationship Id="rId3" Type="http://schemas.openxmlformats.org/officeDocument/2006/relationships/hyperlink" Target="https://www.sec.gov/Archives/edgar/data/0001844505/000119312523239716/d538253dex101.htm" TargetMode="External"/><Relationship Id="rId4" Type="http://schemas.openxmlformats.org/officeDocument/2006/relationships/hyperlink" Target="https://www.sec.gov/Archives/edgar/data/0001844505/000119312523277144/d528622dex21.htm" TargetMode="External"/><Relationship Id="rId5" Type="http://schemas.openxmlformats.org/officeDocument/2006/relationships/hyperlink" Target="https://www.sec.gov/Archives/edgar/data/0001844505/000119312524024857/d746441dex101.htm" TargetMode="External"/><Relationship Id="rId6" Type="http://schemas.openxmlformats.org/officeDocument/2006/relationships/hyperlink" Target="https://www.sec.gov/Archives/edgar/data/0001844505/000119312524063762/d767871dex31.htm" TargetMode="External"/><Relationship Id="rId7" Type="http://schemas.openxmlformats.org/officeDocument/2006/relationships/hyperlink" Target="https://www.sec.gov/Archives/edgar/data/0001844505/000119312524063762/d767871dex32.htm" TargetMode="External"/><Relationship Id="rId8" Type="http://schemas.openxmlformats.org/officeDocument/2006/relationships/hyperlink" Target="https://www.sec.gov/Archives/edgar/data/1844505/000162828025046110/ex31certificateofamendment.htm" TargetMode="External"/><Relationship Id="rId9" Type="http://schemas.openxmlformats.org/officeDocument/2006/relationships/hyperlink" Target="https://www.sec.gov/Archives/edgar/data/1844505/000119312521285948/d205995dex41.htm" TargetMode="External"/><Relationship Id="rId10" Type="http://schemas.openxmlformats.org/officeDocument/2006/relationships/hyperlink" Target="https://www.sec.gov/Archives/edgar/data/1844505/000184450525000028/ex41lynrockwarrant.htm" TargetMode="External"/><Relationship Id="rId11" Type="http://schemas.openxmlformats.org/officeDocument/2006/relationships/hyperlink" Target="https://www.sec.gov/Archives/edgar/data/1844505/000184450525000028/ex42yorkvillewarrant.htm" TargetMode="External"/><Relationship Id="rId12" Type="http://schemas.openxmlformats.org/officeDocument/2006/relationships/hyperlink" Target="https://www.sec.gov/Archives/edgar/data/1844505/000184450525000057/ex41qtimagingholdings-amen.htm" TargetMode="External"/><Relationship Id="rId13" Type="http://schemas.openxmlformats.org/officeDocument/2006/relationships/hyperlink" Target="https://www.sec.gov/Archives/edgar/data/1844505/000184450525000057/ex42qtimagingholdings-amen.htm" TargetMode="External"/><Relationship Id="rId14" Type="http://schemas.openxmlformats.org/officeDocument/2006/relationships/hyperlink" Target="https://www.sec.gov/Archives/edgar/data/1844505/000119312521285948/d205995dex101.htm" TargetMode="External"/><Relationship Id="rId15" Type="http://schemas.openxmlformats.org/officeDocument/2006/relationships/hyperlink" Target="https://www.sec.gov/Archives/edgar/data/1844505/000119312521285948/d205995dex102.htm" TargetMode="External"/><Relationship Id="rId16" Type="http://schemas.openxmlformats.org/officeDocument/2006/relationships/hyperlink" Target="https://www.sec.gov/Archives/edgar/data/1844505/000119312521285948/d205995dex106.htm" TargetMode="External"/><Relationship Id="rId17" Type="http://schemas.openxmlformats.org/officeDocument/2006/relationships/hyperlink" Target="https://www.sec.gov/Archives/edgar/data/0001844505/000119312524063762/d767871dex102.htm" TargetMode="External"/><Relationship Id="rId18" Type="http://schemas.openxmlformats.org/officeDocument/2006/relationships/hyperlink" Target="https://www.sec.gov/Archives/edgar/data/0001844505/000119312523088154/d493821dex101.htm" TargetMode="External"/><Relationship Id="rId19" Type="http://schemas.openxmlformats.org/officeDocument/2006/relationships/hyperlink" Target="https://www.sec.gov/Archives/edgar/data/0001844505/000119312522302292/d376793dex101.htm" TargetMode="External"/><Relationship Id="rId20" Type="http://schemas.openxmlformats.org/officeDocument/2006/relationships/hyperlink" Target="https://www.sec.gov/Archives/edgar/data/0001844505/000119312523088154/d493821dex102.htm" TargetMode="External"/><Relationship Id="rId21" Type="http://schemas.openxmlformats.org/officeDocument/2006/relationships/hyperlink" Target="https://www.sec.gov/Archives/edgar/data/0001844505/000119312524070218/d795424dex101.htm" TargetMode="External"/><Relationship Id="rId22" Type="http://schemas.openxmlformats.org/officeDocument/2006/relationships/hyperlink" Target="https://www.sec.gov/Archives/edgar/data/0001844505/000119312522302292/d376793dex102.htm" TargetMode="External"/><Relationship Id="rId23" Type="http://schemas.openxmlformats.org/officeDocument/2006/relationships/hyperlink" Target="https://www.sec.gov/Archives/edgar/data/0001844505/000119312524063762/d767871dex101.htm" TargetMode="External"/><Relationship Id="rId24" Type="http://schemas.openxmlformats.org/officeDocument/2006/relationships/hyperlink" Target="https://www.sec.gov/Archives/edgar/data/0001844505/000119312523222653/d693665dex101.htm" TargetMode="External"/><Relationship Id="rId25" Type="http://schemas.openxmlformats.org/officeDocument/2006/relationships/hyperlink" Target="https://www.sec.gov/Archives/edgar/data/0001844505/000119312524042178/d725773dex1001.htm" TargetMode="External"/><Relationship Id="rId26" Type="http://schemas.openxmlformats.org/officeDocument/2006/relationships/hyperlink" Target="https://www.sec.gov/Archives/edgar/data/0001844505/000119312524058805/d807607dex101.htm" TargetMode="External"/><Relationship Id="rId27" Type="http://schemas.openxmlformats.org/officeDocument/2006/relationships/hyperlink" Target="https://www.sec.gov/Archives/edgar/data/0001844505/000119312524058805/d807607dex102.htm" TargetMode="External"/><Relationship Id="rId28" Type="http://schemas.openxmlformats.org/officeDocument/2006/relationships/hyperlink" Target="https://www.sec.gov/Archives/edgar/data/0001844505/000119312524058805/d807607dex103.htm" TargetMode="External"/><Relationship Id="rId29" Type="http://schemas.openxmlformats.org/officeDocument/2006/relationships/hyperlink" Target="https://www.sec.gov/Archives/edgar/data/0001844505/000119312524058805/d807607dex104.htm" TargetMode="External"/><Relationship Id="rId30" Type="http://schemas.openxmlformats.org/officeDocument/2006/relationships/hyperlink" Target="https://www.sec.gov/Archives/edgar/data/0001844505/000119312524058805/d807607dex105.htm" TargetMode="External"/><Relationship Id="rId31" Type="http://schemas.openxmlformats.org/officeDocument/2006/relationships/hyperlink" Target="https://www.sec.gov/Archives/edgar/data/0001844505/000119312524058805/d807607dex106.htm" TargetMode="External"/><Relationship Id="rId32" Type="http://schemas.openxmlformats.org/officeDocument/2006/relationships/hyperlink" Target="https://www.sec.gov/Archives/edgar/data/0001844505/000119312524058805/d807607dex107.htm" TargetMode="External"/><Relationship Id="rId33" Type="http://schemas.openxmlformats.org/officeDocument/2006/relationships/hyperlink" Target="https://www.sec.gov/Archives/edgar/data/0001844505/000119312524058805/d807607dex108.htm" TargetMode="External"/><Relationship Id="rId34" Type="http://schemas.openxmlformats.org/officeDocument/2006/relationships/hyperlink" Target="https://www.sec.gov/Archives/edgar/data/0001844505/000119312524063762/d767871dex103.htm" TargetMode="External"/><Relationship Id="rId35" Type="http://schemas.openxmlformats.org/officeDocument/2006/relationships/hyperlink" Target="https://www.sec.gov/Archives/edgar/data/0001844505/000119312524063762/d767871dex104.htm" TargetMode="External"/><Relationship Id="rId36" Type="http://schemas.openxmlformats.org/officeDocument/2006/relationships/hyperlink" Target="https://www.sec.gov/Archives/edgar/data/0001844505/000119312524063762/d767871dex105.htm" TargetMode="External"/><Relationship Id="rId37" Type="http://schemas.openxmlformats.org/officeDocument/2006/relationships/hyperlink" Target="https://www.sec.gov/Archives/edgar/data/0001844505/000119312523282248/d66505dex101.htm" TargetMode="External"/><Relationship Id="rId38" Type="http://schemas.openxmlformats.org/officeDocument/2006/relationships/hyperlink" Target="https://www.sec.gov/Archives/edgar/data/0001844505/000119312523282248/d66505dex102.htm" TargetMode="External"/><Relationship Id="rId39" Type="http://schemas.openxmlformats.org/officeDocument/2006/relationships/hyperlink" Target="https://www.sec.gov/Archives/edgar/data/0001844505/000119312523039117/d452006dex1022.htm" TargetMode="External"/><Relationship Id="rId40" Type="http://schemas.openxmlformats.org/officeDocument/2006/relationships/hyperlink" Target="https://www.sec.gov/Archives/edgar/data/0001844505/000119312523039117/d452006dex1023.htm" TargetMode="External"/><Relationship Id="rId41" Type="http://schemas.openxmlformats.org/officeDocument/2006/relationships/hyperlink" Target="https://www.sec.gov/Archives/edgar/data/1844505/000119312523282785/d452006dex1032.htm" TargetMode="External"/><Relationship Id="rId42" Type="http://schemas.openxmlformats.org/officeDocument/2006/relationships/hyperlink" Target="https://www.sec.gov/Archives/edgar/data/0001844505/000119312524082707/d812253dex101.htm" TargetMode="External"/><Relationship Id="rId43" Type="http://schemas.openxmlformats.org/officeDocument/2006/relationships/hyperlink" Target="https://www.sec.gov/Archives/edgar/data/1844505/000119312523282785/d452006dex1024.htm" TargetMode="External"/><Relationship Id="rId44" Type="http://schemas.openxmlformats.org/officeDocument/2006/relationships/hyperlink" Target="https://www.sec.gov/Archives/edgar/data/0001844505/000119312524070218/d795424dex102.htm" TargetMode="External"/><Relationship Id="rId45" Type="http://schemas.openxmlformats.org/officeDocument/2006/relationships/hyperlink" Target="https://www.sec.gov/Archives/edgar/data/0001844505/000119312524089630/d787729dex101.htm" TargetMode="External"/><Relationship Id="rId46" Type="http://schemas.openxmlformats.org/officeDocument/2006/relationships/hyperlink" Target="https://www.sec.gov/Archives/edgar/data/0001844505/000119312524089630/d787729dex102.htm" TargetMode="External"/><Relationship Id="rId47" Type="http://schemas.openxmlformats.org/officeDocument/2006/relationships/hyperlink" Target="https://www.sec.gov/Archives/edgar/data/1844505/000119312524102900/d828543dex101.htm" TargetMode="External"/><Relationship Id="rId48" Type="http://schemas.openxmlformats.org/officeDocument/2006/relationships/hyperlink" Target="https://www.sec.gov/Archives/edgar/data/0001844505/000184450524000030/qti_nxcdistributionagreeme.htm" TargetMode="External"/><Relationship Id="rId49" Type="http://schemas.openxmlformats.org/officeDocument/2006/relationships/hyperlink" Target="https://www.sec.gov/Archives/edgar/data/0001844505/000184450524000065/exh101qti-yorkvilleomnibus.htm" TargetMode="External"/><Relationship Id="rId50" Type="http://schemas.openxmlformats.org/officeDocument/2006/relationships/hyperlink" Target="https://www.sec.gov/Archives/edgar/data/0001844505/000184450524000069/qti-yorkvillesecondomnibus.htm" TargetMode="External"/><Relationship Id="rId51" Type="http://schemas.openxmlformats.org/officeDocument/2006/relationships/hyperlink" Target="https://www.sec.gov/Archives/edgar/data/0001844505/000184450524000077/exh103qtipipe-securitiespu.htm" TargetMode="External"/><Relationship Id="rId52" Type="http://schemas.openxmlformats.org/officeDocument/2006/relationships/hyperlink" Target="https://www.sec.gov/Archives/edgar/data/0001844505/000184450524000077/exh104qtipipe-registration.htm" TargetMode="External"/><Relationship Id="rId53" Type="http://schemas.openxmlformats.org/officeDocument/2006/relationships/hyperlink" Target="https://www.sec.gov/Archives/edgar/data/0001844505/000184450524000085/qti-nxcamendedandrestatedd.htm" TargetMode="External"/><Relationship Id="rId54" Type="http://schemas.openxmlformats.org/officeDocument/2006/relationships/hyperlink" Target="https://www.sec.gov/Archives/edgar/data/1844505/000184450525000002/qti-yorkvillethirdomnibusa.htm" TargetMode="External"/><Relationship Id="rId55" Type="http://schemas.openxmlformats.org/officeDocument/2006/relationships/hyperlink" Target="https://www.sec.gov/Archives/edgar/data/1844505/000184450525000002/qti-funicularfundsomnibusa.htm" TargetMode="External"/><Relationship Id="rId56" Type="http://schemas.openxmlformats.org/officeDocument/2006/relationships/hyperlink" Target="https://www.sec.gov/Archives/edgar/data/1844505/000184450525000009/exhibit101subleaseagreement.htm" TargetMode="External"/><Relationship Id="rId57" Type="http://schemas.openxmlformats.org/officeDocument/2006/relationships/hyperlink" Target="https://www.sec.gov/Archives/edgar/data/1844505/000184450525000028/ex101lynrockcreditagreement.htm" TargetMode="External"/><Relationship Id="rId58" Type="http://schemas.openxmlformats.org/officeDocument/2006/relationships/hyperlink" Target="https://www.sec.gov/Archives/edgar/data/1844505/000184450525000028/ex102yorkvilleterminationa.htm" TargetMode="External"/><Relationship Id="rId59" Type="http://schemas.openxmlformats.org/officeDocument/2006/relationships/hyperlink" Target="https://www.sec.gov/Archives/edgar/data/1844505/000184450525000038/ex1046manufacturingagreeme.htm" TargetMode="External"/><Relationship Id="rId60" Type="http://schemas.openxmlformats.org/officeDocument/2006/relationships/hyperlink" Target="https://www.sec.gov/Archives/edgar/data/1844505/000184450525000028/ex102yorkvilleterminationa.htm" TargetMode="External"/><Relationship Id="rId61" Type="http://schemas.openxmlformats.org/officeDocument/2006/relationships/hyperlink" Target="https://www.sec.gov/Archives/edgar/data/1844505/000184450525000038/ex1047amendmentno1distribu.htm" TargetMode="External"/><Relationship Id="rId62" Type="http://schemas.openxmlformats.org/officeDocument/2006/relationships/hyperlink" Target="https://www.sec.gov/Archives/edgar/data/1844505/000184450525000028/ex102yorkvilleterminationa.htm" TargetMode="External"/><Relationship Id="rId63" Type="http://schemas.openxmlformats.org/officeDocument/2006/relationships/hyperlink" Target="https://www.sec.gov/Archives/edgar/data/1844505/000184450525000042/a101spaexhibits.htm" TargetMode="External"/><Relationship Id="rId64" Type="http://schemas.openxmlformats.org/officeDocument/2006/relationships/hyperlink" Target="https://www.sec.gov/Archives/edgar/data/1844505/000184450525000042/a102qtipipe-registrationri.htm" TargetMode="External"/><Relationship Id="rId65" Type="http://schemas.openxmlformats.org/officeDocument/2006/relationships/hyperlink" Target="https://www.sec.gov/Archives/edgar/data/1844505/000184450525000053/ex10ipipe-securitiespurcha.htm" TargetMode="External"/><Relationship Id="rId66" Type="http://schemas.openxmlformats.org/officeDocument/2006/relationships/hyperlink" Target="https://www.sec.gov/Archives/edgar/data/1844505/000184450525000053/ex1011qtipipe-registration.htm" TargetMode="External"/><Relationship Id="rId67" Type="http://schemas.openxmlformats.org/officeDocument/2006/relationships/hyperlink" Target="https://www.sec.gov/Archives/edgar/data/1844505/000162828025043297/ex101-securitiespurchaseag.htm" TargetMode="External"/><Relationship Id="rId68" Type="http://schemas.openxmlformats.org/officeDocument/2006/relationships/hyperlink" Target="https://www.sec.gov/Archives/edgar/data/1844505/000162828025043297/ex102-registrationrightsag.htm" TargetMode="External"/><Relationship Id="rId69" Type="http://schemas.openxmlformats.org/officeDocument/2006/relationships/hyperlink" Target="https://www.sec.gov/Archives/edgar/data/1844505/000184450525000111/ex102firstamendmenttocredi.htm" TargetMode="External"/><Relationship Id="rId70" Type="http://schemas.openxmlformats.org/officeDocument/2006/relationships/hyperlink" Target="https://www.sec.gov/Archives/edgar/data/1844505/000184450525000111/a103qtimagingholdings-offe.htm" TargetMode="External"/><Relationship Id="rId71" Type="http://schemas.openxmlformats.org/officeDocument/2006/relationships/hyperlink" Target="https://www.sec.gov/Archives/edgar/data/1844505/000162828026003206/exhibit101securitiespurcha.htm" TargetMode="External"/><Relationship Id="rId72" Type="http://schemas.openxmlformats.org/officeDocument/2006/relationships/hyperlink" Target="https://www.sec.gov/Archives/edgar/data/1844505/000162828026003206/exhibit102registrationrigh.htm" TargetMode="External"/><Relationship Id="rId73" Type="http://schemas.openxmlformats.org/officeDocument/2006/relationships/hyperlink" Target="https://www.sec.gov/Archives/edgar/data/1844505/000162828026002651/ex101distributionagreement.htm" TargetMode="External"/><Relationship Id="rId74" Type="http://schemas.openxmlformats.org/officeDocument/2006/relationships/hyperlink" Target="https://www.sec.gov/Archives/edgar/data/1844505/000184450525000111/ex101qtimagingholdings-yor.htm" TargetMode="External"/><Relationship Id="rId75" Type="http://schemas.openxmlformats.org/officeDocument/2006/relationships/hyperlink" Target="https://www.sec.gov/Archives/edgar/data/1844505/000184450525000098/a101qtimagingholdings-gulf.htm" TargetMode="External"/><Relationship Id="rId76" Type="http://schemas.openxmlformats.org/officeDocument/2006/relationships/hyperlink" Target="https://www.sec.gov/Archives/edgar/data/1844505/000162828026020909/ex1061amendmentno1todistri.htm" TargetMode="External"/><Relationship Id="rId77" Type="http://schemas.openxmlformats.org/officeDocument/2006/relationships/hyperlink" Target="https://www.sec.gov/Archives/edgar/data/1844505/000184450525000112/exhibit44-inducementequity.htm" TargetMode="External"/><Relationship Id="rId78" Type="http://schemas.openxmlformats.org/officeDocument/2006/relationships/hyperlink" Target="https://www.sec.gov/Archives/edgar/data/1844505/000162828026034381/aq12026ex1063qtimaginghold.htm" TargetMode="External"/><Relationship Id="rId79" Type="http://schemas.openxmlformats.org/officeDocument/2006/relationships/hyperlink" Target="https://www.sec.gov/Archives/edgar/data/0001844505/000119312524075608/d767219dex14.htm" TargetMode="External"/><Relationship Id="rId80" Type="http://schemas.openxmlformats.org/officeDocument/2006/relationships/hyperlink" Target="https://www.sec.gov/Archives/edgar/data/1844505/000184450525000038/exh191insidertradingpolicy.htm" TargetMode="External"/><Relationship Id="rId81" Type="http://schemas.openxmlformats.org/officeDocument/2006/relationships/hyperlink" Target="https://www.sec.gov/Archives/edgar/data/1844505/000119312524140730/d823386dex211.htm" TargetMode="External"/><Relationship Id="rId82" Type="http://schemas.openxmlformats.org/officeDocument/2006/relationships/hyperlink" Target="https://www.sec.gov/Archives/edgar/data/0001844505/000119312524075608/d767219dex971.htm" TargetMode="External"/><Relationship Id="rId83" Type="http://schemas.openxmlformats.org/officeDocument/2006/relationships/hyperlink" Target="https://www.sec.gov/Archives/edgar/data/1844505/000119312524075608/d767219dex991.htm" TargetMode="External"/><Relationship Id="rId84" Type="http://schemas.openxmlformats.org/officeDocument/2006/relationships/hyperlink" Target="https://www.sec.gov/Archives/edgar/data/1844505/000119312524075608/d767219dex992.htm" TargetMode="External"/><Relationship Id="rId85" Type="http://schemas.openxmlformats.org/officeDocument/2006/relationships/hyperlink" Target="https://www.sec.gov/Archives/edgar/data/1844505/000119312524075608/d767219dex993.htm" TargetMode="External"/><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33487</Words>
  <Characters>176542</Characters>
  <CharactersWithSpaces>208511</CharactersWithSpaces>
  <Paragraphs>2593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