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TIMM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HADRON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TWIN DOLPHIN DRIVE, SUITE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Hadron Energy, Inc.</w:t>
              </w:r>
            </w:hyperlink>
            <w:r>
              <w:rPr/>
              <w:t xml:space="preserve"> [ </w:t>
            </w:r>
            <w:r>
              <w:rPr>
                <w:rFonts w:ascii="Times;serif" w:hAnsi="Times;serif"/>
                <w:color w:val="0000FF"/>
                <w:sz w:val="24"/>
                <w:shd w:fill="FFFFFF" w:val="clear"/>
              </w:rPr>
              <w:t>HDRN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67,395</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67,395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service to Hadron Energy, Inc. (the "Company"), fifty percent of the Restricted Stock Unit ("RSU") shall vest on August 15, 2026, and the remaining fifty percent will vest in two equal installments on November 15 and February 15, such that the grant will be fully vested on February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Bryan Timm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1110" TargetMode="External"/><Relationship Id="rId5" Type="http://schemas.openxmlformats.org/officeDocument/2006/relationships/hyperlink" Target="http://www.sec.gov/cgi-bin/browse-edgar?action=getcompany&amp;CIK=0002023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3340</Characters>
  <CharactersWithSpaces>3895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