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Lewis Robert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HADRON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TWIN DOLPHIN DRIVE, SUITE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Hadron Energy, Inc.</w:t>
              </w:r>
            </w:hyperlink>
            <w:r>
              <w:rPr/>
              <w:t xml:space="preserve"> [ </w:t>
            </w:r>
            <w:r>
              <w:rPr>
                <w:rFonts w:ascii="Times;serif" w:hAnsi="Times;serif"/>
                <w:color w:val="0000FF"/>
                <w:sz w:val="24"/>
                <w:shd w:fill="FFFFFF" w:val="clear"/>
              </w:rPr>
              <w:t>HDRN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67,395</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67,395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service to Hadron Energy, Inc. (the "Company"), fifty percent of the Restricted Stock Unit ("RSU") shall vest on August 15, 2026, and the remaining fifty percent will vest in two equal installments on November 15 and February 15, such that the grant will be fully vested on February 15,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James Lewis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4547" TargetMode="External"/><Relationship Id="rId5" Type="http://schemas.openxmlformats.org/officeDocument/2006/relationships/hyperlink" Target="http://www.sec.gov/cgi-bin/browse-edgar?action=getcompany&amp;CIK=0002023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3354</Characters>
  <CharactersWithSpaces>3911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