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Hadron Energy,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Aristeia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4,840,477.00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4,840,477.00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4,840,477.00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6"/>
        <w:gridCol w:w="8924"/>
        <w:gridCol w:w="155"/>
      </w:tblGrid>
      <w:tr>
        <w:trPr/>
        <w:tc>
          <w:tcPr>
            <w:tcW w:w="1126" w:type="dxa"/>
            <w:tcBorders/>
            <w:vAlign w:val="center"/>
          </w:tcPr>
          <w:p>
            <w:pPr>
              <w:pStyle w:val="TableContents"/>
              <w:bidi w:val="0"/>
              <w:spacing w:before="0" w:after="283"/>
              <w:jc w:val="left"/>
              <w:rPr/>
            </w:pPr>
            <w:r>
              <w:rPr/>
              <w:t>Item 1.</w:t>
            </w:r>
          </w:p>
        </w:tc>
        <w:tc>
          <w:tcPr>
            <w:tcW w:w="892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Name of issuer: </w:t>
            </w:r>
          </w:p>
          <w:p>
            <w:pPr>
              <w:pStyle w:val="TableContents"/>
              <w:bidi w:val="0"/>
              <w:spacing w:before="0" w:after="0"/>
              <w:jc w:val="left"/>
              <w:rPr/>
            </w:pPr>
            <w:r>
              <w:rPr/>
              <w:t>Hadron Energy, Inc.</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 Twin Dolphin Drive, Ste 260, Redwood City, CA 94065</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2.</w:t>
            </w:r>
          </w:p>
        </w:tc>
        <w:tc>
          <w:tcPr>
            <w:tcW w:w="892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Aristeia Capital, L.L.C.</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Greenwich Plaza, Suite 300,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(d)</w:t>
            </w:r>
          </w:p>
        </w:tc>
        <w:tc>
          <w:tcPr>
            <w:tcW w:w="892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(e)</w:t>
            </w:r>
          </w:p>
        </w:tc>
        <w:tc>
          <w:tcPr>
            <w:tcW w:w="892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3.</w:t>
            </w:r>
          </w:p>
        </w:tc>
        <w:tc>
          <w:tcPr>
            <w:tcW w:w="892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(d)</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(e)</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(f)</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(g)</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(h)</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(j)</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(k)</w:t>
            </w:r>
          </w:p>
        </w:tc>
        <w:tc>
          <w:tcPr>
            <w:tcW w:w="892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9079" w:type="dxa"/>
            <w:gridSpan w:val="2"/>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4.</w:t>
            </w:r>
          </w:p>
        </w:tc>
        <w:tc>
          <w:tcPr>
            <w:tcW w:w="892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(a)</w:t>
            </w:r>
          </w:p>
        </w:tc>
        <w:tc>
          <w:tcPr>
            <w:tcW w:w="892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4,840,477 The Reporting Person may be deemed the beneficial owner of 2,853,906 shares of Common stocks and 1,986,571 Redeemable warrants, each full warrant exercisable for one share of Common Stock at an exercise price of $11.50 per share, which are approximately 6.59% of the outstanding shares. This percentage was determined by dividing 4,840,477 by 73,485,413, which is the sum of (i) 71,498,842, which is the number of shares outstanding as of June 12, 2026, as reported in the Issuer's 424B3 filed with the SEC on June 25, 2026 and (ii) the number of Warrants.</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(b)</w:t>
            </w:r>
          </w:p>
        </w:tc>
        <w:tc>
          <w:tcPr>
            <w:tcW w:w="892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6.59%  %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(c)</w:t>
            </w:r>
          </w:p>
        </w:tc>
        <w:tc>
          <w:tcPr>
            <w:tcW w:w="892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4,840,477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4,840,477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5.</w:t>
            </w:r>
          </w:p>
        </w:tc>
        <w:tc>
          <w:tcPr>
            <w:tcW w:w="892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6.</w:t>
            </w:r>
          </w:p>
        </w:tc>
        <w:tc>
          <w:tcPr>
            <w:tcW w:w="892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7.</w:t>
            </w:r>
          </w:p>
        </w:tc>
        <w:tc>
          <w:tcPr>
            <w:tcW w:w="892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8.</w:t>
            </w:r>
          </w:p>
        </w:tc>
        <w:tc>
          <w:tcPr>
            <w:tcW w:w="892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Item 9.</w:t>
            </w:r>
          </w:p>
        </w:tc>
        <w:tc>
          <w:tcPr>
            <w:tcW w:w="892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pPr>
            <w:r>
              <w:rPr/>
              <w:t> </w:t>
            </w:r>
          </w:p>
        </w:tc>
        <w:tc>
          <w:tcPr>
            <w:tcW w:w="892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Aristeia Capital, L.L.C.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Andrew B. David</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Andrew B. David / Chief Operating Officer, Aristeia Capital, L.L.C.</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833</Words>
  <Characters>4281</Characters>
  <CharactersWithSpaces>5105</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