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drn_424b3_q2_2026.htm"/>
      <w:bookmarkStart w:id="1" w:name="kshdrn_424b3_q2_2026"/>
      <w:bookmarkStart w:id="2" w:name="hdrn_424b3_q2_2026.htm"/>
      <w:bookmarkStart w:id="3" w:name="kshdrn_424b3_q2_2026"/>
      <w:bookmarkEnd w:id="2"/>
      <w:bookmarkEnd w:id="3"/>
    </w:p>
    <w:tbl>
      <w:tblPr>
        <w:tblW w:w="6377" w:type="dxa"/>
        <w:jc w:val="left"/>
        <w:tblInd w:w="0" w:type="dxa"/>
        <w:tblLayout w:type="fixed"/>
        <w:tblCellMar>
          <w:top w:w="28" w:type="dxa"/>
          <w:left w:w="28" w:type="dxa"/>
          <w:bottom w:w="28" w:type="dxa"/>
          <w:right w:w="28" w:type="dxa"/>
        </w:tblCellMar>
      </w:tblPr>
      <w:tblGrid>
        <w:gridCol w:w="1095"/>
        <w:gridCol w:w="996"/>
        <w:gridCol w:w="998"/>
        <w:gridCol w:w="146"/>
        <w:gridCol w:w="146"/>
        <w:gridCol w:w="146"/>
        <w:gridCol w:w="859"/>
        <w:gridCol w:w="859"/>
        <w:gridCol w:w="1132"/>
      </w:tblGrid>
      <w:tr>
        <w:trPr/>
        <w:tc>
          <w:tcPr>
            <w:tcW w:w="109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r>
      <w:tr>
        <w:trPr/>
        <w:tc>
          <w:tcPr>
            <w:tcW w:w="1095" w:type="dxa"/>
            <w:tcBorders/>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85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Prospectus Supplement No. 2</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Filed Pursuant to Rule 424(b)(3)</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 Prospectus dated June 15, 2026)</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Registration No. 333-296796</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HADRON ENERGY, INC.</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Up to 28,719,000 Shares of Common Stock</w:t>
      </w:r>
    </w:p>
    <w:p>
      <w:pPr>
        <w:pStyle w:val="TextBody"/>
        <w:bidi w:val="0"/>
        <w:jc w:val="center"/>
        <w:rPr>
          <w:rFonts w:ascii="Times New Roman" w:hAnsi="Times New Roman"/>
          <w:b/>
          <w:color w:val="000000"/>
          <w:sz w:val="28"/>
        </w:rPr>
      </w:pPr>
      <w:r>
        <w:rPr>
          <w:rFonts w:ascii="Times New Roman" w:hAnsi="Times New Roman"/>
          <w:b/>
          <w:color w:val="000000"/>
          <w:sz w:val="28"/>
        </w:rPr>
        <w:t>Up to 57,432,395 Shares of Common Stock by the Selling Securityholders</w:t>
      </w:r>
    </w:p>
    <w:p>
      <w:pPr>
        <w:pStyle w:val="TextBody"/>
        <w:bidi w:val="0"/>
        <w:jc w:val="center"/>
        <w:rPr>
          <w:rFonts w:ascii="Times New Roman" w:hAnsi="Times New Roman"/>
          <w:b/>
          <w:color w:val="000000"/>
          <w:sz w:val="28"/>
        </w:rPr>
      </w:pPr>
      <w:r>
        <w:rPr>
          <w:rFonts w:ascii="Times New Roman" w:hAnsi="Times New Roman"/>
          <w:b/>
          <w:color w:val="000000"/>
          <w:sz w:val="28"/>
        </w:rPr>
        <w:t>3,719,000 Warrants to Purchase Shares of Common Stock</w:t>
      </w:r>
    </w:p>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8"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prospectus supplement (this “Supplement No. 2”) updates and supplements the prospectus dated June 15, 2026 (the “Prospectus”), which forms a part of our Registration Statement on Form S-1 (Registration No. 333-296796). This prospectus supplement is being filed to update and supplement the information in the Prospectus related to information contained in the following reports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Quarterly Report on Form 10-Q for the three months ended June 30, 2026 as filed with the U.S. Securities and Exchange Commission (the “SEC”) on August 12, 2026, which is attached hereto.</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Supplement No. 2 updates and supplements the information in the Prospectus and is not complete without, and may not be delivered or utilized except in combination with, the Prospectus, including any amendments or supplements thereto. This Supplement No. 2 should be read in conjunction with the Prospectus and if there is any inconsistency between the information in the Prospectus and this Supplement No. 2, you should rely on the information in this Supplement No. 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Common Stock is currently listed on the Nasdaq Stock Market (the “Nasdaq”) and trades under the symbol “HDRN.”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Investing in our securities involves a high degree of risk. You should carefully review the risks and uncertainties that are described under the heading “Risk Factors” beginning on page 15 of the Prospectus and in any applicable prospectus supplement.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Neither the SEC nor any state securities commission has approved or disapproved of the securities to be issued under the Prospectus or this Supplement No. 2 or determined if this prospectus is truthful or complete. Any representation to the contrary is a criminal offense. </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The date of this prospectus supplement is August 14, 2026.</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____________________ to ____________________</w:t>
      </w:r>
    </w:p>
    <w:p>
      <w:pPr>
        <w:pStyle w:val="TextBody"/>
        <w:bidi w:val="0"/>
        <w:spacing w:before="100" w:after="283"/>
        <w:jc w:val="center"/>
        <w:rPr>
          <w:rFonts w:ascii="Times New Roman" w:hAnsi="Times New Roman"/>
          <w:sz w:val="20"/>
        </w:rPr>
      </w:pPr>
      <w:r>
        <w:rPr>
          <w:rFonts w:ascii="Times New Roman" w:hAnsi="Times New Roman"/>
          <w:b/>
          <w:color w:val="000000"/>
          <w:sz w:val="20"/>
        </w:rPr>
        <w:t xml:space="preserve">Commission File Number: </w:t>
      </w:r>
      <w:r>
        <w:rPr>
          <w:rFonts w:ascii="Times New Roman" w:hAnsi="Times New Roman"/>
          <w:color w:val="000000"/>
          <w:sz w:val="20"/>
        </w:rPr>
        <w:t>001-42262</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48"/>
        </w:rPr>
      </w:pPr>
      <w:r>
        <w:rPr>
          <w:rFonts w:ascii="Times New Roman" w:hAnsi="Times New Roman"/>
          <w:b/>
          <w:color w:val="000000"/>
          <w:sz w:val="48"/>
        </w:rPr>
        <w:t>Hadron Energy,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857" w:type="dxa"/>
        <w:jc w:val="left"/>
        <w:tblInd w:w="0" w:type="dxa"/>
        <w:tblLayout w:type="fixed"/>
        <w:tblCellMar>
          <w:top w:w="28" w:type="dxa"/>
          <w:left w:w="28" w:type="dxa"/>
          <w:bottom w:w="28" w:type="dxa"/>
          <w:right w:w="28" w:type="dxa"/>
        </w:tblCellMar>
      </w:tblPr>
      <w:tblGrid>
        <w:gridCol w:w="2611"/>
        <w:gridCol w:w="1246"/>
      </w:tblGrid>
      <w:tr>
        <w:trPr/>
        <w:tc>
          <w:tcPr>
            <w:tcW w:w="26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33-4336458</w:t>
            </w:r>
          </w:p>
        </w:tc>
      </w:tr>
      <w:tr>
        <w:trPr/>
        <w:tc>
          <w:tcPr>
            <w:tcW w:w="26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1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3 Twin Dolphin Drive, Ste 260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Redwood City,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94065</w:t>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 xml:space="preserve">Registrant’s telephone number, including area code: </w:t>
      </w:r>
      <w:r>
        <w:rPr>
          <w:rFonts w:ascii="Times New Roman" w:hAnsi="Times New Roman"/>
          <w:color w:val="000000"/>
          <w:sz w:val="20"/>
        </w:rPr>
        <w:t>(650) 276-7040</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96"/>
        <w:gridCol w:w="146"/>
        <w:gridCol w:w="814"/>
        <w:gridCol w:w="146"/>
        <w:gridCol w:w="2403"/>
      </w:tblGrid>
      <w:tr>
        <w:trPr/>
        <w:tc>
          <w:tcPr>
            <w:tcW w:w="6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1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0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66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18"/>
              </w:rPr>
            </w:pPr>
            <w:r>
              <w:rPr>
                <w:rFonts w:ascii="Times New Roman" w:hAnsi="Times New Roman"/>
                <w:color w:val="000000"/>
                <w:sz w:val="18"/>
              </w:rPr>
              <w:t>HDRN</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2403"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66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Redeemable warrants, each full warrant exercisable for one share of Common Stock at an exercise price of $11.50 per share</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18"/>
              </w:rPr>
            </w:pPr>
            <w:r>
              <w:rPr>
                <w:rFonts w:ascii="Times New Roman" w:hAnsi="Times New Roman"/>
                <w:color w:val="000000"/>
                <w:sz w:val="18"/>
              </w:rPr>
              <w:t>HDRNW</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2403"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As of August 10, 2026, the registrant had 71,498,842 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mt_operations_and_comprehensive_income">
              <w:r>
                <w:rPr>
                  <w:rStyle w:val="InternetLink"/>
                  <w:rFonts w:ascii="Times New Roman" w:hAnsi="Times New Roman"/>
                  <w:color w:val="0000FF"/>
                  <w:sz w:val="20"/>
                  <w:u w:val="single"/>
                </w:rPr>
                <w:t>Condensed</w:t>
              </w:r>
            </w:hyperlink>
            <w:hyperlink w:anchor="stmt_operations_and_comprehensive_income">
              <w:r>
                <w:rPr>
                  <w:rStyle w:val="InternetLink"/>
                  <w:rFonts w:ascii="Times New Roman" w:hAnsi="Times New Roman"/>
                  <w:color w:val="0000FF"/>
                  <w:sz w:val="20"/>
                </w:rPr>
                <w:t xml:space="preserve"> </w:t>
              </w:r>
            </w:hyperlink>
            <w:r>
              <w:rPr>
                <w:rFonts w:ascii="Times New Roman" w:hAnsi="Times New Roman"/>
                <w:color w:val="0000FF"/>
                <w:sz w:val="20"/>
                <w:u w:val="single"/>
              </w:rPr>
              <w:t xml:space="preserve">Consolidated </w:t>
            </w:r>
            <w:hyperlink w:anchor="stmt_operations_and_comprehensive_income">
              <w:r>
                <w:rPr>
                  <w:rStyle w:val="InternetLink"/>
                  <w:rFonts w:ascii="Times New Roman" w:hAnsi="Times New Roman"/>
                  <w:color w:val="000080"/>
                  <w:sz w:val="20"/>
                  <w:u w:val="single"/>
                </w:rPr>
                <w:t>Statements of Operations and Comprehensive Income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stockholders_deficit">
              <w:r>
                <w:rPr>
                  <w:rStyle w:val="InternetLink"/>
                  <w:rFonts w:ascii="Times New Roman" w:hAnsi="Times New Roman"/>
                  <w:color w:val="0000FF"/>
                  <w:sz w:val="20"/>
                  <w:u w:val="single"/>
                </w:rPr>
                <w:t>Condensed</w:t>
              </w:r>
            </w:hyperlink>
            <w:hyperlink w:anchor="statements_of_stockholders_deficit">
              <w:r>
                <w:rPr>
                  <w:rStyle w:val="InternetLink"/>
                  <w:rFonts w:ascii="Times New Roman" w:hAnsi="Times New Roman"/>
                  <w:color w:val="0000FF"/>
                  <w:sz w:val="20"/>
                </w:rPr>
                <w:t xml:space="preserve"> </w:t>
              </w:r>
            </w:hyperlink>
            <w:r>
              <w:rPr>
                <w:rFonts w:ascii="Times New Roman" w:hAnsi="Times New Roman"/>
                <w:color w:val="0000FF"/>
                <w:sz w:val="20"/>
                <w:u w:val="single"/>
              </w:rPr>
              <w:t xml:space="preserve">Consolidated </w:t>
            </w:r>
            <w:hyperlink w:anchor="statements_of_stockholders_deficit">
              <w:r>
                <w:rPr>
                  <w:rStyle w:val="InternetLink"/>
                  <w:rFonts w:ascii="Times New Roman" w:hAnsi="Times New Roman"/>
                  <w:color w:val="000080"/>
                  <w:sz w:val="20"/>
                  <w:u w:val="single"/>
                </w:rPr>
                <w:t>Statements of Stockholders’ Equity (Deficit)</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cash_flows">
              <w:r>
                <w:rPr>
                  <w:rStyle w:val="InternetLink"/>
                  <w:rFonts w:ascii="Times New Roman" w:hAnsi="Times New Roman"/>
                  <w:color w:val="0000FF"/>
                  <w:sz w:val="20"/>
                  <w:u w:val="single"/>
                </w:rPr>
                <w:t>Condensed</w:t>
              </w:r>
            </w:hyperlink>
            <w:hyperlink w:anchor="condensed_statements_of_cash_flows">
              <w:r>
                <w:rPr>
                  <w:rStyle w:val="InternetLink"/>
                  <w:rFonts w:ascii="Times New Roman" w:hAnsi="Times New Roman"/>
                  <w:color w:val="0000FF"/>
                  <w:sz w:val="20"/>
                </w:rPr>
                <w:t xml:space="preserve"> </w:t>
              </w:r>
            </w:hyperlink>
            <w:r>
              <w:rPr>
                <w:rFonts w:ascii="Times New Roman" w:hAnsi="Times New Roman"/>
                <w:color w:val="0000FF"/>
                <w:sz w:val="20"/>
                <w:u w:val="single"/>
              </w:rPr>
              <w:t xml:space="preserve">Consolidated </w:t>
            </w:r>
            <w:hyperlink w:anchor="condensed_statements_of_cash_flows">
              <w:r>
                <w:rPr>
                  <w:rStyle w:val="InternetLink"/>
                  <w:rFonts w:ascii="Times New Roman" w:hAnsi="Times New Roman"/>
                  <w:color w:val="000080"/>
                  <w:sz w:val="20"/>
                  <w:u w:val="single"/>
                </w:rPr>
                <w:t>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color w:val="0000FF"/>
                  <w:sz w:val="20"/>
                  <w:u w:val="single"/>
                </w:rPr>
                <w:t>Notes to Unaudited Condensed</w:t>
              </w:r>
            </w:hyperlink>
            <w:hyperlink w:anchor="notes_to_condensed_financial_statements">
              <w:r>
                <w:rPr>
                  <w:rStyle w:val="InternetLink"/>
                  <w:rFonts w:ascii="Times New Roman" w:hAnsi="Times New Roman"/>
                  <w:color w:val="0000FF"/>
                  <w:sz w:val="20"/>
                </w:rPr>
                <w:t xml:space="preserve"> </w:t>
              </w:r>
            </w:hyperlink>
            <w:r>
              <w:rPr>
                <w:rFonts w:ascii="Times New Roman" w:hAnsi="Times New Roman"/>
                <w:color w:val="0000FF"/>
                <w:sz w:val="20"/>
                <w:u w:val="single"/>
              </w:rPr>
              <w:t>Consolidated</w:t>
            </w:r>
            <w:hyperlink w:anchor="notes_to_condensed_financial_statements">
              <w:r>
                <w:rPr>
                  <w:rStyle w:val="InternetLink"/>
                  <w:rFonts w:ascii="Times New Roman" w:hAnsi="Times New Roman"/>
                  <w:color w:val="000080"/>
                  <w:sz w:val="20"/>
                  <w:u w:val="single"/>
                </w:rPr>
                <w:t xml:space="preserve">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d_analys">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art_i_financial_information"/>
      <w:bookmarkEnd w:id="4"/>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sz w:val="20"/>
        </w:rPr>
      </w:pPr>
      <w:r>
        <w:rPr>
          <w:rFonts w:ascii="Times New Roman" w:hAnsi="Times New Roman"/>
          <w:b/>
          <w:color w:val="000000"/>
          <w:sz w:val="20"/>
        </w:rPr>
        <w:t>HADRON ENERGY,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balance_sheets"/>
      <w:bookmarkEnd w:id="6"/>
      <w:r>
        <w:rPr>
          <w:rFonts w:ascii="Times New Roman" w:hAnsi="Times New Roman"/>
          <w:b/>
          <w:color w:val="000000"/>
          <w:sz w:val="20"/>
        </w:rPr>
        <w:t>CONDENSED CONSOLIDATED BALANCE SHEETS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039"/>
        <w:gridCol w:w="146"/>
        <w:gridCol w:w="221"/>
        <w:gridCol w:w="774"/>
        <w:gridCol w:w="166"/>
        <w:gridCol w:w="146"/>
        <w:gridCol w:w="245"/>
        <w:gridCol w:w="855"/>
        <w:gridCol w:w="613"/>
      </w:tblGrid>
      <w:tr>
        <w:trPr/>
        <w:tc>
          <w:tcPr>
            <w:tcW w:w="7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0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Simple Agreements for Future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63,889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615,000,000 and 99,997,946 shares authorized as of June 30, 2026 and December 31, 2025, respectively; 70,220,020 and 46,066,754 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(59,800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HADRON ENERGY,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stmt_operations_and_comprehensive_income"/>
      <w:bookmarkEnd w:id="7"/>
      <w:r>
        <w:rPr>
          <w:rFonts w:ascii="Times New Roman" w:hAnsi="Times New Roman"/>
          <w:b/>
          <w:color w:val="000000"/>
          <w:sz w:val="20"/>
        </w:rPr>
        <w:t>CONDENSED CONSOLIDATED STATEMENTS OF OPERATIONS AND COMPREHENSIVE INCOME (LOSS)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legal settlement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Simple Agreements for Future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and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Undistributed earnings allocated to participating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56,967,986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45,684,836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51,552,343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45,349,227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58,902,057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45,684,836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54,240,683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45,349,227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HADRON ENERGY,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8" w:name="statements_of_stockholders_deficit"/>
      <w:bookmarkEnd w:id="8"/>
      <w:r>
        <w:rPr>
          <w:rFonts w:ascii="Times New Roman" w:hAnsi="Times New Roman"/>
          <w:b/>
          <w:color w:val="000000"/>
          <w:sz w:val="20"/>
        </w:rPr>
        <w:t>CONDENSED CONSOLIDATED STATEMENTS OF STOCKHOLDERS’ EQUITY (DEFICIT)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94"/>
        <w:gridCol w:w="146"/>
        <w:gridCol w:w="146"/>
        <w:gridCol w:w="1036"/>
        <w:gridCol w:w="146"/>
        <w:gridCol w:w="146"/>
        <w:gridCol w:w="345"/>
        <w:gridCol w:w="346"/>
        <w:gridCol w:w="146"/>
        <w:gridCol w:w="146"/>
        <w:gridCol w:w="211"/>
        <w:gridCol w:w="676"/>
        <w:gridCol w:w="166"/>
        <w:gridCol w:w="146"/>
        <w:gridCol w:w="234"/>
        <w:gridCol w:w="817"/>
        <w:gridCol w:w="166"/>
        <w:gridCol w:w="146"/>
        <w:gridCol w:w="251"/>
        <w:gridCol w:w="883"/>
        <w:gridCol w:w="212"/>
      </w:tblGrid>
      <w:tr>
        <w:trPr/>
        <w:tc>
          <w:tcPr>
            <w:tcW w:w="3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(59,800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Reverse recapitalization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45,145,400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46,066,754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(59,800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46,207,401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Business Combination,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19,948,842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SAFEs into common stock and 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 issued in connection with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 reclassified to 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70,220,020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442" w:type="dxa"/>
        <w:jc w:val="left"/>
        <w:tblInd w:w="0" w:type="dxa"/>
        <w:tblLayout w:type="fixed"/>
        <w:tblCellMar>
          <w:top w:w="28" w:type="dxa"/>
          <w:left w:w="28" w:type="dxa"/>
          <w:bottom w:w="28" w:type="dxa"/>
          <w:right w:w="28" w:type="dxa"/>
        </w:tblCellMar>
      </w:tblPr>
      <w:tblGrid>
        <w:gridCol w:w="2986"/>
        <w:gridCol w:w="146"/>
        <w:gridCol w:w="146"/>
        <w:gridCol w:w="1036"/>
        <w:gridCol w:w="146"/>
        <w:gridCol w:w="146"/>
        <w:gridCol w:w="345"/>
        <w:gridCol w:w="346"/>
        <w:gridCol w:w="146"/>
        <w:gridCol w:w="146"/>
        <w:gridCol w:w="290"/>
        <w:gridCol w:w="581"/>
        <w:gridCol w:w="166"/>
        <w:gridCol w:w="146"/>
        <w:gridCol w:w="263"/>
        <w:gridCol w:w="788"/>
        <w:gridCol w:w="166"/>
        <w:gridCol w:w="146"/>
        <w:gridCol w:w="274"/>
        <w:gridCol w:w="822"/>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Reverse recapitalization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44,104,171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45,004,275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45,019,925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1,015,579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46,035,504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HADRON ENERGY,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9" w:name="condensed_statements_of_cash_flows"/>
      <w:bookmarkEnd w:id="9"/>
      <w:r>
        <w:rPr>
          <w:rFonts w:ascii="Times New Roman" w:hAnsi="Times New Roman"/>
          <w:b/>
          <w:color w:val="000000"/>
          <w:sz w:val="20"/>
        </w:rPr>
        <w:t>CONDENSED CONSOLIDATED STATEMENTS OF CASH FLOWS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p>
      <w:pPr>
        <w:pStyle w:val="TextBody"/>
        <w:bidi w:val="0"/>
        <w:jc w:val="left"/>
        <w:rPr/>
      </w:pPr>
      <w:r>
        <w:rPr/>
        <w:t> </w:t>
      </w:r>
    </w:p>
    <w:tbl>
      <w:tblPr>
        <w:tblW w:w="9989" w:type="dxa"/>
        <w:jc w:val="left"/>
        <w:tblInd w:w="0" w:type="dxa"/>
        <w:tblLayout w:type="fixed"/>
        <w:tblCellMar>
          <w:top w:w="28" w:type="dxa"/>
          <w:left w:w="28" w:type="dxa"/>
          <w:bottom w:w="28" w:type="dxa"/>
          <w:right w:w="28" w:type="dxa"/>
        </w:tblCellMar>
      </w:tblPr>
      <w:tblGrid>
        <w:gridCol w:w="6931"/>
        <w:gridCol w:w="146"/>
        <w:gridCol w:w="211"/>
        <w:gridCol w:w="736"/>
        <w:gridCol w:w="166"/>
        <w:gridCol w:w="146"/>
        <w:gridCol w:w="211"/>
        <w:gridCol w:w="631"/>
        <w:gridCol w:w="811"/>
      </w:tblGrid>
      <w:tr>
        <w:trPr/>
        <w:tc>
          <w:tcPr>
            <w:tcW w:w="6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 to reconcile net income (loss)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legal settlement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Simple Agreements for Future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Due from stockholder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Simple Agreements for Future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Business Combination,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Right-of-use-asset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 issued in connection with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transaction costs included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SAFEs into common stock and 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settlement liability reclassified to 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reclassified to 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HADRON ENERGY,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10" w:name="notes_to_condensed_financial_statements"/>
      <w:bookmarkEnd w:id="10"/>
      <w:r>
        <w:rPr>
          <w:rFonts w:ascii="Times New Roman" w:hAnsi="Times New Roman"/>
          <w:b/>
          <w:color w:val="000000"/>
          <w:sz w:val="20"/>
        </w:rPr>
        <w:t>NOTES TO CONDENSED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Hadron Energy, Inc. ("Hadron", the "Company”) formerly known as GigCapital7 Corp., ("GigCapital7") is developing a maximally standardized, factory-fabricated 10 megawatt-electric (10MWe) micro modular reactor ("MMR") based on Generation III+ technology with enhanced reliability and safety features. Designed for deployment at most commercial and military U.S. sites with minimal site-specific requirements, each reactor is designed to meet the power demands of data centers, industrial sites, mission-critical facilities like hospitals, rural areas challenged by grid shortage, and remote applications. The Company is an “emerging growth company,” as defined in Section 2(a) of the Securities Act of 1933, as amended (the “Securities Act”), as modified by the Jumpstart Our Business Startups Act of 2012 (the “JOBS Act”).</w:t>
      </w:r>
    </w:p>
    <w:p>
      <w:pPr>
        <w:pStyle w:val="TextBody"/>
        <w:bidi w:val="0"/>
        <w:spacing w:before="120" w:after="283"/>
        <w:jc w:val="left"/>
        <w:rPr>
          <w:rFonts w:ascii="Times New Roman" w:hAnsi="Times New Roman"/>
          <w:sz w:val="20"/>
        </w:rPr>
      </w:pPr>
      <w:r>
        <w:rPr>
          <w:rFonts w:ascii="Times New Roman" w:hAnsi="Times New Roman"/>
          <w:color w:val="000000"/>
          <w:sz w:val="20"/>
        </w:rPr>
        <w:t>On September 27, 2025, GigCapital7, a Cayman Islands exempted company and a publicly traded private to public equity (“PPE”</w:t>
      </w:r>
      <w:r>
        <w:rPr>
          <w:rFonts w:ascii="Times New Roman" w:hAnsi="Times New Roman"/>
          <w:color w:val="000000"/>
          <w:sz w:val="13"/>
        </w:rPr>
        <w:t>TM</w:t>
      </w:r>
      <w:r>
        <w:rPr>
          <w:rFonts w:ascii="Times New Roman" w:hAnsi="Times New Roman"/>
          <w:color w:val="000000"/>
          <w:sz w:val="20"/>
        </w:rPr>
        <w:t xml:space="preserve">) entity, also known as special purpose acquisition company (“SPAC”) listed on The Nasdaq Stock Market LLC (Nasdaq: GIG), entered into a business combination agreement (the “BCA”), with privately held Hadron Energy, Inc. ("Private Hadron"), pursuant to which, following the domestication of GigCapital7 from the Cayman Islands to the State of Delaware (the "Domestication"), MMR Merger Sub, Inc. (“Merger Sub”), a Delaware corporation and a direct wholly owned subsidiary of GigCapital7 merged with and into Private </w:t>
      </w:r>
      <w:r>
        <w:rPr>
          <w:rFonts w:ascii="Times New Roman" w:hAnsi="Times New Roman"/>
          <w:color w:val="121212"/>
          <w:sz w:val="20"/>
        </w:rPr>
        <w:t>Hadron, with Private Hadron surviving the merger as</w:t>
      </w:r>
      <w:r>
        <w:rPr>
          <w:rFonts w:ascii="Times New Roman" w:hAnsi="Times New Roman"/>
          <w:color w:val="000000"/>
          <w:sz w:val="20"/>
        </w:rPr>
        <w:t xml:space="preserve"> a wholly-owned subsidiary of GigCapital7 (the "Merger" and, together with the Domestication and the other transactions contemplated by the BCA, (the “Business Combination”) and being renamed Hadron Energy Operating Company, Inc. ("Hadron OpCo"). Following the closing of the Business Combination on May 22, 2026 (the "Closing" or "Closing Date"), Domesticated GigCapital7 was renamed Hadron Energy, Inc. and the combined company became publicly (Nasdaq: HDRN).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Business Combination was consummated and is accounted for as a reverse recapitalization, with Private Hadron identified as the accounting acquirer and GigCapital7 identified as the acquired company for accounting purposes (see Note 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Accordingly, prior to the Closing, all historical financial information presented in the unaudited condensed consolidated financial statements represents the balances and activity of Private Hadron.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the responsibility to evaluate whether conditions and/or events raise substantial doubt about its ability to meet future financial obligations as they become due within one year after the date that these condensed consolidated financial statements are issued.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 Company raised significant capital through the Business Combination with GigCapital7, which was consummated on May 22, 2026 and resulted in proceeds of approximately $22,944 released from the trust account previously held by GigCapital7, after paying all de-SPAC expenses, which has alleviated the substantial doubt about the Company’s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has no debt. The Company believes that its existing cash will be sufficient to support operations for at least one year from the issuance date of these unaudited condensed consolidated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accounting principles generally accepted in the United States (“GAAP”) for interim financial reporting and the rules and regulations of the Securities and Exchange Commission (“SEC”). References to ASC and ASU included herein refer to the Accounting Standards Codification and Accounting Standards Update established by the Financial Accounting Standards Board (“FASB”) as the source of authoritative GAAP. All costs, as well as assets and liabilities directly associated with the Company’s business activity, are included in the condensed consolidated financial statements. In connection with the Business Combination, as the successor entity following the Closing, Hadron became the reporting entity and consolidates the balances and activity of Private Hadron. The financial information presented in these unaudited condensed consolidated financial statements reflects the balances and results of operations of the combined entity post-Merger.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as of June 30,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2026, operating results and cash flows for the periods presented. The results for the three and six months ended June 30, 2026 are not necessarily indicative of the results expected for the year or any other periods. The condensed consolidated balance sheets as of December 31, 2025 have been derived from the audited annual financial statements of Private Hadron included in the Prospectus filed with the SEC on June 25, 2026. All intercompany balances and transactions have been eliminated in consolidation.</w:t>
      </w:r>
    </w:p>
    <w:p>
      <w:pPr>
        <w:pStyle w:val="TextBody"/>
        <w:bidi w:val="0"/>
        <w:spacing w:before="120" w:after="283"/>
        <w:jc w:val="both"/>
        <w:rPr>
          <w:rFonts w:ascii="Times New Roman" w:hAnsi="Times New Roman"/>
          <w:sz w:val="20"/>
        </w:rPr>
      </w:pPr>
      <w:r>
        <w:rPr>
          <w:rFonts w:ascii="Times New Roman" w:hAnsi="Times New Roman"/>
          <w:b/>
          <w:i/>
          <w:color w:val="000000"/>
          <w:sz w:val="20"/>
        </w:rPr>
        <w:t>Use of 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interim condensed consolidated financial statements in conformity with GAAP requires management to make certain estimates, judgments and assumptions. The Company believes that the estimates, judgments and assumptions made when accounting for items and matters such as, but not limited to, valuation of warrant liabilities, stock-based compensation and loss contingencies including estimated legal settlement, are reasonable based on information available at the time they are made. These estimates, judgments and assumptions can affect the reported amounts of assets and liabilities as of the date of the interim condensed consolidated financial statements, as well as amounts reported on the unaudited condensed consolidated statements of operations and comprehensive income (loss) during the periods presented. These estimates and assumptions may change as new events occur, and additional information is obtained. As a result, actual results could differ materially from these estimates and assumptions. </w:t>
      </w:r>
    </w:p>
    <w:p>
      <w:pPr>
        <w:pStyle w:val="TextBody"/>
        <w:bidi w:val="0"/>
        <w:spacing w:before="120" w:after="283"/>
        <w:jc w:val="both"/>
        <w:rPr>
          <w:rFonts w:ascii="Times New Roman" w:hAnsi="Times New Roman"/>
          <w:sz w:val="20"/>
        </w:rPr>
      </w:pPr>
      <w:r>
        <w:rPr>
          <w:rFonts w:ascii="Times New Roman" w:hAnsi="Times New Roman"/>
          <w:b/>
          <w:i/>
          <w:color w:val="000000"/>
          <w:sz w:val="20"/>
        </w:rPr>
        <w:t>Concentration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of cash accounts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pStyle w:val="TextBody"/>
        <w:bidi w:val="0"/>
        <w:spacing w:before="120" w:after="283"/>
        <w:jc w:val="both"/>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additions are recorded at cost. Maintenance and repairs are charged to expense as incurred. When assets are retired or otherwise disposed of, the cost of the assets and the related accumulated depreciation is derecognized with any gain or loss recorded in the year of disposition. Depreciation is based on the estimated useful lives of the assets using the straight-line method. Furniture is depreciated over useful lives of three to seven years, and computer equipment is depreciated over three years. </w:t>
      </w:r>
    </w:p>
    <w:p>
      <w:pPr>
        <w:pStyle w:val="TextBody"/>
        <w:bidi w:val="0"/>
        <w:spacing w:before="120" w:after="283"/>
        <w:jc w:val="both"/>
        <w:rPr>
          <w:rFonts w:ascii="Times New Roman" w:hAnsi="Times New Roman"/>
          <w:sz w:val="20"/>
        </w:rPr>
      </w:pPr>
      <w:r>
        <w:rPr>
          <w:rFonts w:ascii="Times New Roman" w:hAnsi="Times New Roman"/>
          <w:b/>
          <w:i/>
          <w:color w:val="000000"/>
          <w:sz w:val="20"/>
        </w:rPr>
        <w:t>Deferred Transaction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capitalized deferred transaction costs, which primarily consist of incremental legal fees, accounting fees and other fees directly attributable to the Business Combination which was accounted for as a reverse recapitalization. Reverse recapitalization transactions are viewed as the issuance of equity by the accounting acquirer for the cash of the SPAC. Accordingly, the direct and incremental transaction costs related to the de-SPAC transaction are treated as a reduction of the SPAC’s cash proceeds and deducted from additional paid-in capital. The deferred transaction costs in the amount of $2,484 were reclassified to additional paid-in capital upon Closing. As of June 30, 2026 and December 31, 2025, deferred transaction costs of $0 and $1,875, respectively, were capitalized in connection with the Business Combination on the condensed consolidated balance sheets. </w:t>
      </w:r>
    </w:p>
    <w:p>
      <w:pPr>
        <w:pStyle w:val="TextBody"/>
        <w:bidi w:val="0"/>
        <w:spacing w:before="120" w:after="283"/>
        <w:jc w:val="both"/>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measures certain financial assets and liabilities at fair value. Fair value is a market-based measurement that should be determined based on assumptions that market participants would use in pricing an asset or liability. As a basis for considering such assumptions, the Company uses a three-level hierarchy, which prioritizes fair value measurements based on the types of inputs used for the various valuation techniques (market approach, income approach and cost approach). The levels of hierarchy are described below: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 Quoted prices in active markets for identical instruments.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 Quoted prices for similar instruments in active markets; quoted prices for identical or similar instruments in markets that are not active; and model-derived valuations in which all significant inputs and significant value drivers are observable in active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Valuations derived from valuation techniques in which one or more significant inputs or significant value drivers are unobservable.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assessment of the significance of a particular input to the fair value measurement in its entirety requires judgment and considers factors specific to the asset or liability. Financial assets and liabilities are classified in their entirety based on the most stringent level of input that is significant to the fair value measurement. The carrying amount of certain financial instruments, including prepaid expenses and other current assets, other assets, deferred transaction costs, accounts payable, and accrued expenses approximate their fair value due to their short maturities. The fair value of the Company’s Simple Agreements for Future Equity agreements ("SAFEs") liability and legal settlement were determined using Level 3 fair value determination methods. Refer to Note 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determined that the private placement warrants (the "Private Placement Warrants") are subject to treatment as a liability. Accordingly, the Private Placement Warrants are valued upon observable data and are classified as Level 2 financial instruments and its fair value was estimated using a Black-Scholes-Merton model.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also determined that the Hadron private warrants (the "Hadron Private Warrants") are subject to treatment as a liability. Accordingly, the Hadron Private Warrants are classified as a Level 3 financial instrument and its fair value was estimated using a Monte Carlo simulation model.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information about the Company’s assets and liabilities that are measured at fair value on a recurring basis and indicates the fair value hierarchy of the valuation inputs the Company utilized to determine such fair value:</w:t>
      </w:r>
    </w:p>
    <w:p>
      <w:pPr>
        <w:pStyle w:val="TextBody"/>
        <w:bidi w:val="0"/>
        <w:jc w:val="left"/>
        <w:rPr/>
      </w:pPr>
      <w:r>
        <w:rPr/>
        <w:t> </w:t>
      </w:r>
    </w:p>
    <w:p>
      <w:pPr>
        <w:pStyle w:val="TextBody"/>
        <w:bidi w:val="0"/>
        <w:jc w:val="left"/>
        <w:rPr/>
      </w:pPr>
      <w:r>
        <w:rPr/>
        <w:t> </w:t>
      </w:r>
    </w:p>
    <w:tbl>
      <w:tblPr>
        <w:tblW w:w="7307" w:type="dxa"/>
        <w:jc w:val="left"/>
        <w:tblInd w:w="0" w:type="dxa"/>
        <w:tblLayout w:type="fixed"/>
        <w:tblCellMar>
          <w:top w:w="28" w:type="dxa"/>
          <w:left w:w="28" w:type="dxa"/>
          <w:bottom w:w="28" w:type="dxa"/>
          <w:right w:w="28" w:type="dxa"/>
        </w:tblCellMar>
      </w:tblPr>
      <w:tblGrid>
        <w:gridCol w:w="2296"/>
        <w:gridCol w:w="146"/>
        <w:gridCol w:w="586"/>
        <w:gridCol w:w="146"/>
        <w:gridCol w:w="2521"/>
        <w:gridCol w:w="146"/>
        <w:gridCol w:w="344"/>
        <w:gridCol w:w="931"/>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Level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Valuation Methodology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placement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Black-Scholes-Merton Model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Hadron private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Monte Carlo Simulation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Private Placement Warrants was estimated using the following assumptions:</w:t>
      </w:r>
    </w:p>
    <w:p>
      <w:pPr>
        <w:pStyle w:val="TextBody"/>
        <w:bidi w:val="0"/>
        <w:jc w:val="left"/>
        <w:rPr/>
      </w:pPr>
      <w:r>
        <w:rPr/>
        <w:t> </w:t>
      </w:r>
    </w:p>
    <w:tbl>
      <w:tblPr>
        <w:tblW w:w="3939" w:type="dxa"/>
        <w:jc w:val="left"/>
        <w:tblInd w:w="0" w:type="dxa"/>
        <w:tblLayout w:type="fixed"/>
        <w:tblCellMar>
          <w:top w:w="28" w:type="dxa"/>
          <w:left w:w="28" w:type="dxa"/>
          <w:bottom w:w="28" w:type="dxa"/>
          <w:right w:w="28" w:type="dxa"/>
        </w:tblCellMar>
      </w:tblPr>
      <w:tblGrid>
        <w:gridCol w:w="2056"/>
        <w:gridCol w:w="146"/>
        <w:gridCol w:w="344"/>
        <w:gridCol w:w="931"/>
        <w:gridCol w:w="271"/>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to maturity -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Hadron Private Warrants was estimated using the following assumptions:</w:t>
      </w:r>
    </w:p>
    <w:p>
      <w:pPr>
        <w:pStyle w:val="TextBody"/>
        <w:bidi w:val="0"/>
        <w:jc w:val="left"/>
        <w:rPr/>
      </w:pPr>
      <w:r>
        <w:rPr/>
        <w:t> </w:t>
      </w:r>
    </w:p>
    <w:tbl>
      <w:tblPr>
        <w:tblW w:w="7348" w:type="dxa"/>
        <w:jc w:val="left"/>
        <w:tblInd w:w="0" w:type="dxa"/>
        <w:tblLayout w:type="fixed"/>
        <w:tblCellMar>
          <w:top w:w="28" w:type="dxa"/>
          <w:left w:w="28" w:type="dxa"/>
          <w:bottom w:w="28" w:type="dxa"/>
          <w:right w:w="28" w:type="dxa"/>
        </w:tblCellMar>
      </w:tblPr>
      <w:tblGrid>
        <w:gridCol w:w="5611"/>
        <w:gridCol w:w="146"/>
        <w:gridCol w:w="344"/>
        <w:gridCol w:w="931"/>
        <w:gridCol w:w="316"/>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volatility (through reset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Implied Remaining Term Volatility (reset date through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to exercise price reset -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to maturity -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a reconciliation of the Warrant liabilities, measured at fair value on a recurring basis using significant unobservable inputs (Level 3) during the six months ended June 30, 2026:</w:t>
      </w:r>
    </w:p>
    <w:p>
      <w:pPr>
        <w:pStyle w:val="TextBody"/>
        <w:bidi w:val="0"/>
        <w:jc w:val="left"/>
        <w:rPr/>
      </w:pPr>
      <w:r>
        <w:rPr/>
        <w:t> </w:t>
      </w:r>
    </w:p>
    <w:tbl>
      <w:tblPr>
        <w:tblW w:w="8278" w:type="dxa"/>
        <w:jc w:val="left"/>
        <w:tblInd w:w="0" w:type="dxa"/>
        <w:tblLayout w:type="fixed"/>
        <w:tblCellMar>
          <w:top w:w="28" w:type="dxa"/>
          <w:left w:w="28" w:type="dxa"/>
          <w:bottom w:w="28" w:type="dxa"/>
          <w:right w:w="28" w:type="dxa"/>
        </w:tblCellMar>
      </w:tblPr>
      <w:tblGrid>
        <w:gridCol w:w="5611"/>
        <w:gridCol w:w="146"/>
        <w:gridCol w:w="578"/>
        <w:gridCol w:w="1732"/>
        <w:gridCol w:w="21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Private Hadron Warrants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 issued in connection with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a lease at inception by evaluating whether the arrangement conveys the right-of-use (“ROU”) to an identified asset and whether the Company obtains substantially all of the economic benefits from and has the ability to direct the use of the asset. Leases are recorded as an operating lease right-of-use assets and operating lease liabilities on the balance sheets. Leases with an initial term of 12 months or less are not recorded on the balance sheets. Lease ROU assets represent the Company’s right to use an underlying asset for the lease term and lease liabilities represent the Company’s obligation to make lease payments arising from the lease. Lease ROU assets and liabilities are recognized at the commencement date based on the present value of lease payments over the expected lease term, including options to extend the lease when it is reasonably certain that the Company will exercise that option. The Company uses the discount rate implicit in the lease unless that rate cannot be readily determined. In that case, the Company uses its estimated incremental borrowing rate, which is the rate of interest that the Company would have to pay to borrow on a collateralized basis an amount equal to the lease payments over the expected lease term. Operating lease expense for lease payments is recognized on a straight-line basis over the expected lease term. There were no finance leases or operating leases as of June 30, 2026, and the only remaining lease as of June 30, 2026 is a short term lease.</w:t>
      </w:r>
    </w:p>
    <w:p>
      <w:pPr>
        <w:pStyle w:val="TextBody"/>
        <w:bidi w:val="0"/>
        <w:spacing w:before="120" w:after="283"/>
        <w:jc w:val="both"/>
        <w:rPr>
          <w:rFonts w:ascii="Times New Roman" w:hAnsi="Times New Roman"/>
          <w:sz w:val="20"/>
        </w:rPr>
      </w:pPr>
      <w:r>
        <w:rPr>
          <w:rFonts w:ascii="Times New Roman" w:hAnsi="Times New Roman"/>
          <w:b/>
          <w:i/>
          <w:color w:val="000000"/>
          <w:sz w:val="20"/>
        </w:rPr>
        <w:t>Simple Agreements for Future Equity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its SAFEs as a liability stated at fair value. SAFEs are subject to revaluation at the end of each reporting period, with changes in fair value recognized in the condensed consolidated statements of operations and comprehensive income (loss). In connection with the Business Combination, all outstanding SAFEs were converted into common stock of the Company at Closing. Refer to Note 6 for additional details. </w:t>
      </w:r>
    </w:p>
    <w:p>
      <w:pPr>
        <w:pStyle w:val="TextBody"/>
        <w:bidi w:val="0"/>
        <w:spacing w:before="120" w:after="283"/>
        <w:jc w:val="both"/>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(“G&amp;A”) expenses consist primarily of personnel-related expenses for executives, human resources, finance and other G&amp;A employees, including salary, professional services costs and facility and overhead costs. </w:t>
      </w:r>
    </w:p>
    <w:p>
      <w:pPr>
        <w:pStyle w:val="TextBody"/>
        <w:bidi w:val="0"/>
        <w:spacing w:before="120" w:after="283"/>
        <w:jc w:val="both"/>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(“R&amp;D”) expenses represent costs incurred for technology development and regulatory support for the development of the factory manufactured light-water micro modular reactor. The R&amp;D expenses consist of: employee-related expenses, including salaries, benefits, payroll taxes, travel, for personnel in R&amp;D functions; expenses related to technology development; and facilities, overhead, and other expenses. All research and development costs related to product development are expensed as incurred. </w:t>
      </w:r>
    </w:p>
    <w:p>
      <w:pPr>
        <w:pStyle w:val="TextBody"/>
        <w:bidi w:val="0"/>
        <w:spacing w:before="120" w:after="283"/>
        <w:jc w:val="both"/>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is measured using a fair value-based method for all equity-based awards. The cost of awarded equity instruments is recognized based on each instrument’s grant-date fair value over the period during which the award vests. The Company recognizes stock-based compensation expense for awards ratably over the requisite service period. For awards subject to time-based vesting conditions, the service period is generally the vesting period. </w:t>
      </w:r>
    </w:p>
    <w:p>
      <w:pPr>
        <w:pStyle w:val="TextBody"/>
        <w:bidi w:val="0"/>
        <w:spacing w:before="120" w:after="283"/>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tax assets and liabilities are recognized for the future tax consequences attributable to differences between the financial statement carrying amounts of existing assets and liabilities and their respective tax bases. Deferred tax assets, including tax loss and credit carry 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likely-than-not” that deferred tax assets will not be realized. On a regular basis, the Company evaluates the recoverability of deferred tax assets and the need for a valuation allowance. Such evaluations involve the application of significant judgment. The Company considers multiple factors in its evaluation of the need for a valuation allowance. The Company’s net deferred tax assets consist of assets related to net operating losses.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an appropriate level of profitability is attained, the Company expects to maintain a full valuation allowance on its deferred tax assets. Any tax benefits or tax expense recorded on its statements of operations will be offset with a corresponding valuation allowance until such time that the Company changes its determination related to the realization of deferred tax assets. In the event that the Company changes its determination as to the amount of deferred tax assets that can be realized, the Company will adjust its valuation allowance with a corresponding impact to the provision for income taxes in the period in which such a determination is made. For uncertain tax positions that meet a “more likely-than-not” threshold, the Company recognizes the benefit of uncertain tax positions in the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practice is to recognize interest and penalties, if any, related to uncertain tax positions in income tax expense in the accompanying statements of operations and comprehensive income (loss). The prior year tax returns remain subject to examination by taxing jurisdictions. At June 30, 2026 and December 31, 2025, the Company does not believe it has any uncertain tax positions that would require either recognition or disclosure in the accompanying financial statements. </w:t>
      </w:r>
    </w:p>
    <w:p>
      <w:pPr>
        <w:pStyle w:val="TextBody"/>
        <w:bidi w:val="0"/>
        <w:spacing w:before="120" w:after="283"/>
        <w:jc w:val="both"/>
        <w:rPr>
          <w:rFonts w:ascii="Times New Roman" w:hAnsi="Times New Roman"/>
          <w:sz w:val="20"/>
        </w:rPr>
      </w:pPr>
      <w:r>
        <w:rPr>
          <w:rFonts w:ascii="Times New Roman" w:hAnsi="Times New Roman"/>
          <w:b/>
          <w:i/>
          <w:color w:val="000000"/>
          <w:sz w:val="20"/>
        </w:rPr>
        <w:t>Net Income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basic net income (loss) per share of common stock is computed based upon the weighted average number of shares of common stock outstanding for the period. Diluted loss per share includes the effect, if any, from potential conversion of securities, such as the issuance of shares of common stock from SAFE notes. Participating securities (unvested share-based payment awards that contain non-forfeitable rights to dividends or dividend equivalents) are included in the computation of net income (loss) per share, pursuant to the two-class method. The Company’s participating securities consist of unvested restricted stock awards, which have contractual participation rights equivalent to those of stockholders of unrestricted common stock.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 For any period in which the Company is in a net loss position, basic net loss per share is the same as diluted net loss per share, since the effects of potentially dilutive securities are antidilutive.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net income (loss) per common share: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44"/>
        <w:gridCol w:w="346"/>
        <w:gridCol w:w="211"/>
        <w:gridCol w:w="1036"/>
        <w:gridCol w:w="166"/>
        <w:gridCol w:w="146"/>
        <w:gridCol w:w="211"/>
        <w:gridCol w:w="1036"/>
        <w:gridCol w:w="166"/>
        <w:gridCol w:w="146"/>
        <w:gridCol w:w="211"/>
        <w:gridCol w:w="1036"/>
        <w:gridCol w:w="166"/>
        <w:gridCol w:w="146"/>
        <w:gridCol w:w="211"/>
        <w:gridCol w:w="1036"/>
        <w:gridCol w:w="391"/>
      </w:tblGrid>
      <w:tr>
        <w:trPr/>
        <w:tc>
          <w:tcPr>
            <w:tcW w:w="35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Numerator: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Undistributed earnings allocated to participating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 basic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Simple Agreements for Future Equity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Undistributed earnings allocated to participating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Denominator: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basic net income (loss) per share – common</w:t>
              <w:br/>
              <w:t>   shares outstanding</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56,967,986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45,684,836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51,552,343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45,349,227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shares from SAFEs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diluted net loss per share – common</w:t>
              <w:br/>
              <w:t>   shares outstanding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58,902,057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45,684,836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54,240,683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45,349,227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basic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outstanding potentially dilutive shares have been excluded from the calculation of diluted net income (loss) per share for the periods presented because including them would have been antidilutive (in common stock equivalent shares): </w:t>
      </w:r>
    </w:p>
    <w:p>
      <w:pPr>
        <w:pStyle w:val="TextBody"/>
        <w:bidi w:val="0"/>
        <w:jc w:val="both"/>
        <w:rPr/>
      </w:pPr>
      <w:r>
        <w:rPr/>
        <w:t> </w:t>
      </w:r>
    </w:p>
    <w:tbl>
      <w:tblPr>
        <w:tblW w:w="7572" w:type="dxa"/>
        <w:jc w:val="left"/>
        <w:tblInd w:w="0" w:type="dxa"/>
        <w:tblLayout w:type="fixed"/>
        <w:tblCellMar>
          <w:top w:w="28" w:type="dxa"/>
          <w:left w:w="28" w:type="dxa"/>
          <w:bottom w:w="28" w:type="dxa"/>
          <w:right w:w="28" w:type="dxa"/>
        </w:tblCellMar>
      </w:tblPr>
      <w:tblGrid>
        <w:gridCol w:w="4636"/>
        <w:gridCol w:w="146"/>
        <w:gridCol w:w="146"/>
        <w:gridCol w:w="1036"/>
        <w:gridCol w:w="146"/>
        <w:gridCol w:w="146"/>
        <w:gridCol w:w="152"/>
        <w:gridCol w:w="973"/>
        <w:gridCol w:w="1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shares of restricted stock purchase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shares from SAFE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1,874,278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28,719,000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potentially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29,997,824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2,712,802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determined that its Chief Executive Officer (“CEO”), is its chief operating decision maker (“CODM”). The CODM reviews financial information presented for purposes of assessing performance and making decisions on how to allocate resources at the overall Company level. The Company views its operations and manages its business as a single reportable segment with a single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 During the six months ended June 30, 2026 and 2025, the CODM made decisions on resource allocation, assessed performance of the business and monitored actual results using net income (loss), which is provided in the accompanying condensed consolidated statements of operations and comprehensive income (loss). When evaluating how to allocate resources, the CODM primarily focuses on the financial results of the Company on the same level as the Company's condensed consolidated statements of operations and comprehensive income (loss).</w:t>
      </w:r>
    </w:p>
    <w:p>
      <w:pPr>
        <w:pStyle w:val="TextBody"/>
        <w:bidi w:val="0"/>
        <w:spacing w:before="120" w:after="283"/>
        <w:jc w:val="both"/>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the applicability and impact of all ASUs issued by the FASB. The Company reviewed all recently issued accounting pronouncements, and based on its preliminary assessment, the Company has determined that these will not have a material impact on the Company’s unaudited condensed consolidated financial statements or related disclosures, or do not apply to the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27, 2025, GigCapital7 entered into a BCA with Private Hadron and Merger Sub. On May 8, 2026, GigCapital7 completed its domestication from the Cayman Islands to Delaware. On May 22, 2026, the merger subsidiary merged with and into Private Hadron, with Private Hadron surviving as a wholly-owned subsidiary of GigCapital7. In connection with the Closing, the combined company was renamed Hadron Energy,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BCA, each share of Private Hadron common stock outstanding immediately prior to the Effective Time (including shares issued upon conversion of Private Hadron's outstanding SAFEs) was converted into the right to receive shares of the Company's common stock based on an exchange ratio of 49.99. Outstanding Private Hadron options and restricted stock awards were assumed and converted into equivalent awards of the Company on the same exchange ratio. All share and per share amounts for periods prior to the Closing have been retroactively adjusted to reflect the exchange ratio.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received cash proceeds of approximately $22,944 in connection with the Business Combination, after giving effect to proceeds released from the trust account, $5,851 paid under a forward purchase agreement, redemptions of public shares, and transaction costs incurred by GigCapital7 and Private Hadron. Total transaction costs of $2,484 were recorded as a reduction to additional paid-in capital, of which $275 remained unpaid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Business Combination was accounted for as a reverse recapitalization in accordance with GAAP. Under this method of accounting, GigCapital7 was treated as the acquired company and Private Hadron was treated as the accounting acquirer for financial reporting purposes, notwithstanding that GigCapital7 is the legal acquirer. Accordingly, the Business Combination was treated as the equivalent of Private Hadron issuing stock for the net assets of GigCapital7, accompanied by a recapitalization. The net assets of GigCapital7 were stated at historical cost, with no goodwill or other intangible assets recorded, and the historical financial statements of Private Hadron became the historical financial statements of the Company. Operations prior to the Business Combination are those of Private Hadron.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were as follows at June 30, 2026 and December 31, 2025: </w:t>
      </w:r>
    </w:p>
    <w:p>
      <w:pPr>
        <w:pStyle w:val="TextBody"/>
        <w:bidi w:val="0"/>
        <w:jc w:val="left"/>
        <w:rPr/>
      </w:pPr>
      <w:r>
        <w:rPr/>
        <w:t> </w:t>
      </w:r>
    </w:p>
    <w:tbl>
      <w:tblPr>
        <w:tblW w:w="5385" w:type="dxa"/>
        <w:jc w:val="left"/>
        <w:tblInd w:w="0" w:type="dxa"/>
        <w:tblLayout w:type="fixed"/>
        <w:tblCellMar>
          <w:top w:w="28" w:type="dxa"/>
          <w:left w:w="28" w:type="dxa"/>
          <w:bottom w:w="28" w:type="dxa"/>
          <w:right w:w="28" w:type="dxa"/>
        </w:tblCellMar>
      </w:tblPr>
      <w:tblGrid>
        <w:gridCol w:w="2131"/>
        <w:gridCol w:w="146"/>
        <w:gridCol w:w="375"/>
        <w:gridCol w:w="750"/>
        <w:gridCol w:w="146"/>
        <w:gridCol w:w="146"/>
        <w:gridCol w:w="357"/>
        <w:gridCol w:w="1143"/>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card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were as follows at June 30, 2026 and December 31, 2025: </w:t>
      </w:r>
    </w:p>
    <w:p>
      <w:pPr>
        <w:pStyle w:val="TextBody"/>
        <w:bidi w:val="0"/>
        <w:jc w:val="both"/>
        <w:rPr/>
      </w:pPr>
      <w:r>
        <w:rPr/>
        <w:t> </w:t>
      </w:r>
    </w:p>
    <w:tbl>
      <w:tblPr>
        <w:tblW w:w="6310" w:type="dxa"/>
        <w:jc w:val="left"/>
        <w:tblInd w:w="0" w:type="dxa"/>
        <w:tblLayout w:type="fixed"/>
        <w:tblCellMar>
          <w:top w:w="28" w:type="dxa"/>
          <w:left w:w="28" w:type="dxa"/>
          <w:bottom w:w="28" w:type="dxa"/>
          <w:right w:w="28" w:type="dxa"/>
        </w:tblCellMar>
      </w:tblPr>
      <w:tblGrid>
        <w:gridCol w:w="3016"/>
        <w:gridCol w:w="146"/>
        <w:gridCol w:w="404"/>
        <w:gridCol w:w="721"/>
        <w:gridCol w:w="166"/>
        <w:gridCol w:w="146"/>
        <w:gridCol w:w="599"/>
        <w:gridCol w:w="901"/>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Depreciation expense for the six months ended June 30, 2026 and 2025 was $6 and $1, respectively.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SIMPLE AGREEMENTS FOR FUTURE EQUITY (SAFEs)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 ended December 31, 2025 and six months ended June 30, 2026, the Company issued instruments referred to as SAFEs as its primary source of funding. Pursuant the terms of the SAFEs, upon a qualified future equity financing involving preferred shares, the SAFEs would settle into a number of preferred shares equal to the greater of (i) the number of shares of standard preferred stock (“Standard Preferred Stock”) equal to the purchase price divided by the lowest price per share of the Standard Preferred Stock, or (ii) the number of shares of SAFE preferred stock (“SAFE Preferred Stock”) divided by a discounted price to the price investors pay to purchase the standard preferred shares in the financing (with such discounted price calculated by reference to a valuation cap) (“Cap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the occurrence of a change of control, a direct listing or an initial public offering (described as a “liquidity event”) (other than a qualified financing), the investors have the option to receive either (i) cash payment equal to the invested amount under such SAFE, or (ii) a number of shares of common stock equal to the invested amount divided by the liquidity price set forth in the applicable SAFE agreement. If a dissolution event occurs prior to the termination of the SAFEs, the investors would be entitled to receive a portion of the related proceeds equal to the purchase amount (or the amount received for the SAFE).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determined that the SAFEs should be accounted for at fair value as a liability, as they are potentially settled in a variable number of shares based on future valuation, lack substantive equity characteristics, and are potentially redeemable in cash or other assets under certain conditions. Because they are classified as liabilities, the SAFEs are adjusted to fair value at each reporting date. The fair value of the Company’s SAFEs were based on significant inputs not observable in the market, which cause the instrument to be classified as a Level 3 measurement within the fair value hierarchy. The SAFEs are valued using the market approach for intangible asset method, which considers among other things, comparable transactions, relevant market multiples, asset characteristics, transaction type, market conditions and qualitative comparable normalization.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Closing of the Business Combination, all outstanding SAFEs were converted into shares of common stock of the Company in accordance with their respective terms. As a result, as of June 30, 2026, there are no SAFEs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a reconciliation of the liabilities, measured at fair value on a recurring basis using significant unobservable inputs (Level 3) during the six months ended June 30, 2026: </w:t>
      </w:r>
    </w:p>
    <w:p>
      <w:pPr>
        <w:pStyle w:val="TextBody"/>
        <w:bidi w:val="0"/>
        <w:jc w:val="left"/>
        <w:rPr/>
      </w:pPr>
      <w:r>
        <w:rPr/>
        <w:t> </w:t>
      </w:r>
    </w:p>
    <w:tbl>
      <w:tblPr>
        <w:tblW w:w="5220" w:type="dxa"/>
        <w:jc w:val="left"/>
        <w:tblInd w:w="0" w:type="dxa"/>
        <w:tblLayout w:type="fixed"/>
        <w:tblCellMar>
          <w:top w:w="28" w:type="dxa"/>
          <w:left w:w="28" w:type="dxa"/>
          <w:bottom w:w="28" w:type="dxa"/>
          <w:right w:w="28" w:type="dxa"/>
        </w:tblCellMar>
      </w:tblPr>
      <w:tblGrid>
        <w:gridCol w:w="3916"/>
        <w:gridCol w:w="146"/>
        <w:gridCol w:w="211"/>
        <w:gridCol w:w="736"/>
        <w:gridCol w:w="21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SAFEs issued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SAFEs converted into equity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change in fair value during the six months ended June 30, 2026 reflected in the above table, is included in other income (loss) in the accompanying condensed consolidated statements of operations and comprehensive income (loss).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an operating lease for a vehicle entered into in February 2025 that was scheduled to expire in January 2028. There were no renewal options associated with the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lease for office space in Redwood City, California which was entered into in June 2025 and was originally scheduled to expire in June 2026, but was extended through August 2026. Under the terms of the lease, base rent is $6 per month. There are no additional renewal options associated with the lease.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lease costs for the six months ended June 30, 2026 and 2025 were $91 and $21, respectively. Cash payments included in the measurement of operating lease liabilities for the six months ended June 30, 2026 and 2025 were $36 and $51,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utilizes the rate implicit in the lease or the estimated incremental borrowing rate at the commencement of the lease in determining the present value of future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Variable lease expense includes rental increases that are not fixed, such as those based on amounts paid to the lessor based on cost or consumption, such as maintenance and utilities. Operating lease costs are included in general and administrative expenses in the condensed consolidated statements of operations and comprehensive income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STOCKHOLDERS’ EQUITY (DEFICIT) </w:t>
      </w:r>
    </w:p>
    <w:p>
      <w:pPr>
        <w:pStyle w:val="TextBody"/>
        <w:bidi w:val="0"/>
        <w:spacing w:before="120" w:after="283"/>
        <w:jc w:val="left"/>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Charter authorizes the issuance of 625,000,000 shares, consisting of 615,000,000 shares of common stock and 10,000,000 shares of preferred stock. As of May 22, 2026, upon consummation of the Business Combination, there were 70,173,146 shares of common stock and no shares of preferred stock outstanding. The outstanding shares of common stock are duly authorized, validly issued, fully paid and non-assessable.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the Business Combination is accounted for as a reverse recapitalization, historical share amounts for periods prior to the Closing have been retroactively restated to reflect the Exchange Ratio described in Note 3.</w:t>
      </w:r>
    </w:p>
    <w:p>
      <w:pPr>
        <w:pStyle w:val="TextBody"/>
        <w:bidi w:val="0"/>
        <w:spacing w:before="120" w:after="283"/>
        <w:jc w:val="left"/>
        <w:rPr>
          <w:rFonts w:ascii="Times New Roman" w:hAnsi="Times New Roman"/>
          <w:sz w:val="20"/>
        </w:rPr>
      </w:pPr>
      <w:r>
        <w:rPr>
          <w:rFonts w:ascii="Times New Roman" w:hAnsi="Times New Roman"/>
          <w:b/>
          <w:i/>
          <w:color w:val="000000"/>
          <w:sz w:val="20"/>
        </w:rPr>
        <w:t>Stock 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30, 2024, Private Hadron adopted the Hadron Energy, Inc. 2024 Equity Incentive Plan (the “Former Plan”) whereby employees, officers, directors and consultants of the Company and its affiliates and others performing services to the Company may be given an opportunity to acquire up to 100,000 shares of common stock in the form of options and restricted stock purchase agreements (“RSPAs”). The exercise price, vesting and expiry date is determined for each grant by the Company’s Board of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22, 2025, Private Hadron's Board of Directors approved an amendment to the Former Plan to increase the number of shares authorized for issuance under the Former Plan. The maximum aggregate number of shares of common stock that the Company may award under the Former Plan is 160,000. The term of the Former Plan is 10 years. At the Closing, all options under the Former Plan were converted into Exchanged Options, covering shares of the Company's common stock, adjusted based on the Exchange Ratio, as described in Note 3, resulting in 7,999,836 Exchanged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22, 2026, the Hadron Energy, Inc. Equity Incentive Plan (the "Plan") went into effect. The Plan has an initial share reserve of 10,021,784 shares and includes an "evergreen" provision pursuant to which, on the first day of each calendar year beginning with the first full calendar year following the Closing, the share reserve automatically increases by five percent (5%) of the total number of outstanding shares (on a fully diluted basis) on such date, unless otherwise determined by the Board of Directors.</w:t>
      </w:r>
    </w:p>
    <w:p>
      <w:pPr>
        <w:pStyle w:val="TextBody"/>
        <w:bidi w:val="0"/>
        <w:spacing w:before="120" w:after="283"/>
        <w:jc w:val="left"/>
        <w:rPr>
          <w:rFonts w:ascii="Times New Roman" w:hAnsi="Times New Roman"/>
          <w:sz w:val="20"/>
        </w:rPr>
      </w:pPr>
      <w:r>
        <w:rPr>
          <w:rFonts w:ascii="Times New Roman" w:hAnsi="Times New Roman"/>
          <w:b/>
          <w:i/>
          <w:color w:val="000000"/>
          <w:sz w:val="20"/>
        </w:rPr>
        <w:t>Restricted Stock Purchase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issued restricted shares of its common stock under RSPAs to grantees. The grantees were given the right to purchase the shares at a discounted purchase price, with restrictions lapsing over vesting periods ranging from zero to sixty months. For RSPAs with a discounted purchase price, the compensation to the employee is the difference between the fair market value of the Company’s stock and the discounted price paid. This total compensation cost is then amortized to expense over the grantee’s vesting period. Prior to the Closing, no observable market price was available for Private Hadron's common stock, and fair value was estimated using a reasonable valuation method; following the Closing, fair value is determined based on the closing price of the Company's common stock on Nasdaq.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Closing, all outstanding RSPAs were converted into an award for a number of restricted shares of the Company’s common stock (such award, an “Exchanged RSA”), equal to the product (rounded down to the nearest whole number) of (x) the number of shares of Private Hadron Restricted Shares and (y) the Exchange Ratio described in Note 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RSPAs activity during the six months ended June 30, 2026: </w:t>
      </w:r>
    </w:p>
    <w:p>
      <w:pPr>
        <w:pStyle w:val="TextBody"/>
        <w:bidi w:val="0"/>
        <w:jc w:val="left"/>
        <w:rPr/>
      </w:pPr>
      <w:r>
        <w:rPr/>
        <w:t> </w:t>
      </w:r>
    </w:p>
    <w:tbl>
      <w:tblPr>
        <w:tblW w:w="6260" w:type="dxa"/>
        <w:jc w:val="left"/>
        <w:tblInd w:w="0" w:type="dxa"/>
        <w:tblLayout w:type="fixed"/>
        <w:tblCellMar>
          <w:top w:w="28" w:type="dxa"/>
          <w:left w:w="28" w:type="dxa"/>
          <w:bottom w:w="28" w:type="dxa"/>
          <w:right w:w="28" w:type="dxa"/>
        </w:tblCellMar>
      </w:tblPr>
      <w:tblGrid>
        <w:gridCol w:w="2926"/>
        <w:gridCol w:w="146"/>
        <w:gridCol w:w="191"/>
        <w:gridCol w:w="1219"/>
        <w:gridCol w:w="166"/>
        <w:gridCol w:w="146"/>
        <w:gridCol w:w="343"/>
        <w:gridCol w:w="932"/>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1,278,824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total unrecognized compensation cost related to RSPAs was $15,627, which is expected to be recognized over a weighted average period of 1.3 years. The weighted average grant date fair values per share of RSPAs granted during the six months ended June 30, 2026 was $14.05 per share. The weighted average grant date fair values of RSPAs that vested during the six months ended June 30, 2026 was $12.45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stock-based compensation of $10,634 for the six months ended June 30, 2026. The Company recognized stock-based compensation expense of $604 for the six months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stock options were granted during the six months ended June 30, 2026 and 2025.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had three outstanding classes of warrants to purchase common stock: public warrants (the "Public Warrants"), Private Placement Warrants, and Hadron Private Warrants (collectively, the "Warrants").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Public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20,000,000 Public Warrants outstanding, each exercisable for one share of common stock at an exercise price of $11.50 per share, originally issued in GigCapital7's initial public offering in August 2024. Each Public Warrant became exercisable 30 days after the completion of the Business Combination and will expire five years after the Closing. The Company may redeem the outstanding Public Warrants in whole and not in part at a price of $0.01 per warrant, upon a minimum of 30 days' prior written notice, if the closing price of the common stock equals or exceeds $18.00 per share for any 20 trading days within a 30-trading day period ending three trading days before the notice of redemption is sent. The Public Warrants are traded on Nasdaq under the symbol "HDRNW."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 Warrants are classified as equity. Offering costs allocated to the Public Warrants were charged to shareholders' equity upon completion of GigCapital7's initial public offering; the Public Warrants are not subsequently remeasured.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Private Placement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15, 2026, the Company filed a Form S-1 with the SEC for the issuance of up to 3,719,000 shares of common stock that are issuable upon the exercise of 3,719,000 private placement warrants, each exercisable for one share of common stock at a price of $11.50 per warrant. The Private Placement Warrants were originally issued to the Sponsor, GigAcquisitions7 Corp., in a private placement concurrent with its initial public offering, at a price of $0.01561 per warrant. Each Private Placement Warrant became exercisable 30 days after the completion of the Business Combination and will expire five years after the Closing. The Company may redeem the outstanding Private Placement Warrants in whole and not in part at a price of $0.01 per warrant, upon a minimum of 30 days' prior written notice, if the closing price of the common stock equals or exceeds $18.00 per share for any 20 trading days within a 30-trading day period ending three trading days before the notice of redemption is sent.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determined that the Private Placement Warrants are subject to treatment as a liability, as the transfer of the warrants to anyone other than the purchasers or their permitted transferees would result in these warrants having substantially the same terms as the public warrants. Due to the redemption feature embedded in public warrants, the Company determined that a market participant would ascribe a higher value to the Private Placement Warrants than to the Public Warrants, and concluded there is no economic incentive for a transfer that would cause the Private Placement Warrants to convert into Public Warrants. As the path-dependent redemption feature is not applicable to the Private Placement Warrants, the Company estimated the fair value of the Private Placement Warrants using a Black-Scholes-Merton model. At the Closing, the Private Placement Warrants were fair valued at $1,413, utilizing a Black-Scholes-Merton model, with the following assumptions:</w:t>
      </w:r>
    </w:p>
    <w:p>
      <w:pPr>
        <w:pStyle w:val="TextBody"/>
        <w:bidi w:val="0"/>
        <w:spacing w:before="120" w:after="283"/>
        <w:jc w:val="left"/>
        <w:rPr/>
      </w:pPr>
      <w:r>
        <w:rPr/>
        <w:t> </w:t>
      </w:r>
    </w:p>
    <w:tbl>
      <w:tblPr>
        <w:tblW w:w="3703" w:type="dxa"/>
        <w:jc w:val="left"/>
        <w:tblInd w:w="0" w:type="dxa"/>
        <w:tblLayout w:type="fixed"/>
        <w:tblCellMar>
          <w:top w:w="28" w:type="dxa"/>
          <w:left w:w="28" w:type="dxa"/>
          <w:bottom w:w="28" w:type="dxa"/>
          <w:right w:w="28" w:type="dxa"/>
        </w:tblCellMar>
      </w:tblPr>
      <w:tblGrid>
        <w:gridCol w:w="2056"/>
        <w:gridCol w:w="146"/>
        <w:gridCol w:w="320"/>
        <w:gridCol w:w="865"/>
        <w:gridCol w:w="31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Closing Date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to maturity -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Hadron Private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Closing, on June 15, 2026, the Company filed a Form S-1 with the SEC for the issuance of up to 5,000,000 shares of common stock that are issuable upon the exercise of 5,000,000 Hadron Private Warrants, each exercisable for one share of common stock at a price of $12.00 per warrant. The exercise price is subject to reset on the first anniversary of the Closing to the greater of (i) $6.00, or (ii) the lower of (a) the 30-trading-day volume-weighted average price of the common stock prior to such anniversary, or (b) $12.00. The Hadron Private Warrants terminate on the fifth anniversary of the Closing. The Hadron Private Warrants are subject to treatment as a liability as the exercise price automatically resets one year after issuance based on the Company's own stock price rather than in connection with any new stock issuance, which disqualifies the reset from the down round exception and fails the fixed-for-fixed test required for equity classification. At the Closing, the Hadron Private Warrants were fair valued at $6,000, utilizing a Monte Carlo Simulation, with the following assumptions:</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258" w:type="dxa"/>
        <w:jc w:val="left"/>
        <w:tblInd w:w="0" w:type="dxa"/>
        <w:tblLayout w:type="fixed"/>
        <w:tblCellMar>
          <w:top w:w="28" w:type="dxa"/>
          <w:left w:w="28" w:type="dxa"/>
          <w:bottom w:w="28" w:type="dxa"/>
          <w:right w:w="28" w:type="dxa"/>
        </w:tblCellMar>
      </w:tblPr>
      <w:tblGrid>
        <w:gridCol w:w="5611"/>
        <w:gridCol w:w="146"/>
        <w:gridCol w:w="320"/>
        <w:gridCol w:w="865"/>
        <w:gridCol w:w="316"/>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Closing Date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volatility (through reset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Implied Remaining Term Volatility (reset date through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to exercise price reset -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to maturity -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2026 and 2025, the Company recorded no provision for income taxes, resulting in an effective tax rate of 0% for each period. This reflects the U.S. federal statutory rate of 21% on pre-tax loss offset by a full valuation allowance against its net deferred tax assets where it is more likely than not that the deferred tax assets will not be realized. Although the Company generated pretax income during the six months ended June 30, 2026, no income tax expense was recorded due to the existence of a full valuation allowance against the Company’s federal and state deferred tax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the Company had no unrecognized tax benefits. The amount of unrecognized tax benefits is not expected to significantly change over the next twelve months. No amounts, outside of valuation allowance, would impact the effective tax rate on continuing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4, 2025, the One Big Beautiful Bill (“OBBB”) was signed into law, making permanent several provisions of the Tax Cuts and Jobs Act of 2017 and introducing additional reforms to U.S. tax law. Although enacted after the close of fiscal year 2024, certain provisions of the OBBB were retroactively effective or materially influenced tax planning and accounting estimates during the year. Management has evaluated the retroactive and prospective effects of the OBBB and concluded that the bill did not result in a material change to the Company’s effective tax rate for 2026 and 2025. However, the legislation is expected to influence future tax planning, entity structuring, and investment decisions.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tax returns will remain open for examination by the federal and state taxing authorities for three and four years, respectively, from the date of utilization of any net operating loss carryforwards.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RELATED PARTY TRANSACTIONS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related party transactions required to be reported during the three and six months ended June 30, 2026 and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be involved in litigation relating to claims or assessments arising out of its operations in the normal course of business. The Company records a provision for a liability when it believes that it is both probable that a liability has been incurred and the amount can be reasonably estimated. Significant judgment is required to determine both probability and the estimated amount. When only a range of possible loss can be established, the most probable amount in the range is accrued. If no amount within this range is a better estimate than any other amount within the range, the minimum amount in the range is accrued.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engaged in an ongoing legal matter with a former employee related to their departure in December 2025. The Company was expected to incur a settlement cost of $16,345 to resolve the dispute, which was deemed probable and estimable and was recognized within general and administrative expenses during the year ended December 31, 2025. During the six months ended June 30, 2026, upon final resolution of the matter, the settlement included $120 of cash, with the remaining $6,624 settled through the transfer of existing shares from the Company's founder, such that no new shares were issued by the Company, with the Company recognizing a gain of $9,601.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than the above, management is not aware of any other legal proceedings or adverse outcome of which, in management’s opinion, individually or in the aggregate, could have a material adverse effect on the Company’s results of operations, financial position or cash flows.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SUBSEQUENT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evaluated all events or transactions that occurred through the issuance of these unaudited condensed consolidated financial statements. During this period, there were no material subsequent events requiring disclosure.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120" w:after="283"/>
        <w:jc w:val="left"/>
        <w:rPr/>
      </w:pPr>
      <w:r>
        <w:rPr/>
        <w:t> </w:t>
      </w:r>
    </w:p>
    <w:p>
      <w:pPr>
        <w:pStyle w:val="Heading1"/>
        <w:bidi w:val="0"/>
        <w:jc w:val="center"/>
        <w:rPr>
          <w:rFonts w:ascii="Times New Roman" w:hAnsi="Times New Roman"/>
          <w:color w:val="000000"/>
          <w:sz w:val="20"/>
        </w:rPr>
      </w:pPr>
      <w:bookmarkStart w:id="11" w:name="item_2_managements_discussion_and_analys"/>
      <w:bookmarkEnd w:id="11"/>
      <w:r>
        <w:rPr>
          <w:rFonts w:ascii="Times New Roman" w:hAnsi="Times New Roman"/>
          <w:color w:val="000000"/>
          <w:sz w:val="20"/>
        </w:rPr>
        <w:t>ITEM 2. MANAGEMENT'S DISCUSSION AND ANALYSIS OF FINANCIAL CONDITION AND RESULTS OF OPERATIONS OF HADRON ENERGY</w:t>
      </w:r>
    </w:p>
    <w:p>
      <w:pPr>
        <w:pStyle w:val="Heading1"/>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Management's Discussion and Analysis of Financial Condition and Results of Operations should be read together with our unaudited condensed consolidated financial statements and the related notes thereto as of June 30, 2026 and for the three and six months ended June 30, 2026 and 2025 included in this Quarterly Report on Form 10-Q (“Quarterly Report”) and our audited financial statements and the related notes thereto as of and for the year ended December 31, 2025 included in the Company's prospectus filed with the SEC pursuant to Rule 424(b)(3) on June 25, 2026. Unless the context otherwise requires, references in this section to "the Company", "us", "our", "we" or "HDRN" refer to Hadron Energy, Inc. and references to our “management” or our “management team” refer to our officers and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Quarterly Report includes “forward-looking statements” within the meaning of Section 27A of the Securities Act of 1933 and Section 21E of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our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Part II - Item 1A included in this Quarterly Report on Form 10-Q, as well as the Risk Factors section of our final prospectus filed with the SEC on June 25, 2026, and in other documents we may file from time to time with the SEC. Our securities filings can be accessed on the EDGAR section of the SEC’s website at www.sec.gov. Except as expressly required by applicable securities law, we disclaim any intention or obligation to update or revise any forward-looking statements whether as a result of new information, future events or otherwise.</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Company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Delaware corporation that was incorporated in May 2024 and completed our business combination with Hadron Energy, Inc. ("Private Hadron") in May 2026, with Private Hadron becoming a wholly-owned subsidiary renamed Hadron Energy Operating Company, Inc. We are a pioneer in Micro Modular Nuclear Reactor (MMR) technology, developing the Hadron Halo, a 10 megawatt-electric (MWe), 35 megawatt-thermal (MWth) pressurized water reactor designed to deliver reliable, carbon-free power. The Hadron Halo's transportable, factory-fabricated design enables deployment in shipping containers and is deployable on a compact footprint, making it suitable for data centers, industrial hubs, remote communities, and defense installations.</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Product and Technical Specifications</w:t>
      </w:r>
    </w:p>
    <w:p>
      <w:pPr>
        <w:pStyle w:val="TextBody"/>
        <w:bidi w:val="0"/>
        <w:jc w:val="left"/>
        <w:rPr>
          <w:rFonts w:ascii="Times New Roman" w:hAnsi="Times New Roman"/>
          <w:color w:val="000000"/>
          <w:sz w:val="20"/>
        </w:rPr>
      </w:pPr>
      <w:r>
        <w:rPr>
          <w:rFonts w:ascii="Times New Roman" w:hAnsi="Times New Roman"/>
          <w:color w:val="000000"/>
          <w:sz w:val="20"/>
        </w:rPr>
        <w:t>Designed to be built using proven pressurized water reactor ("PWR") technology used in commercial nuclear plants worldwide, the Hadron Halo features a single integrated pressure vessel containing the reactor core, pumps, and steam generator, minimizing external piping and virtually eliminating large-break coolant accident risk. The reactor will operate continuously with multi-year refueling cycles and has a projected useful life of sixty years. It is fueled by Low-Enriched Uranium (LEU), supported by a domestic fuel supply chain partnership with ConverDyn for uranium conversion services.</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Regulatory and Strategic Developments</w:t>
      </w:r>
    </w:p>
    <w:p>
      <w:pPr>
        <w:pStyle w:val="Heading2"/>
        <w:bidi w:val="0"/>
        <w:spacing w:before="0" w:after="120"/>
        <w:jc w:val="left"/>
        <w:rPr>
          <w:rFonts w:ascii="Times New Roman" w:hAnsi="Times New Roman"/>
          <w:b w:val="false"/>
          <w:color w:val="000000"/>
          <w:sz w:val="20"/>
        </w:rPr>
      </w:pPr>
      <w:r>
        <w:rPr>
          <w:rFonts w:ascii="Times New Roman" w:hAnsi="Times New Roman"/>
          <w:b w:val="false"/>
          <w:color w:val="000000"/>
          <w:sz w:val="20"/>
        </w:rPr>
        <w:t>We have pursued proactive pre-application engagements with the U.S. Nuclear Regulatory Commission ("NRC"). In April 2025, we submitted our Letter of Intent and Regulatory Engagement Plan. The NRC issued a final safety evaluation in May 2026 approving Revision 3 of our Quality Assurance Program Description Topical Report for referencing in future licensing applications under 10 CFR Part 52. We have also submitted our Principal Design Criteria White Paper and received favorable NRC feedback on our proposed regulatory approach in December 2025. We are targeting a Manufacturing License and Combined Operating License submission by 2028, with the goal of achieving licensing in approximately 3-4 years, significantly faster than the historical 8-10 years for large reactors.</w:t>
      </w:r>
    </w:p>
    <w:p>
      <w:pPr>
        <w:pStyle w:val="Heading2"/>
        <w:bidi w:val="0"/>
        <w:spacing w:before="0" w:after="120"/>
        <w:jc w:val="left"/>
        <w:rPr>
          <w:rFonts w:ascii="Times New Roman" w:hAnsi="Times New Roman"/>
          <w:color w:val="000000"/>
          <w:sz w:val="20"/>
        </w:rPr>
      </w:pPr>
      <w:r>
        <w:rPr>
          <w:rFonts w:ascii="Times New Roman" w:hAnsi="Times New Roman"/>
          <w:color w:val="000000"/>
          <w:sz w:val="20"/>
        </w:rPr>
        <w:t>Key Partnerships and Strategic Alliances</w:t>
      </w:r>
    </w:p>
    <w:p>
      <w:pPr>
        <w:pStyle w:val="Heading2"/>
        <w:bidi w:val="0"/>
        <w:spacing w:before="0" w:after="120"/>
        <w:jc w:val="left"/>
        <w:rPr>
          <w:rFonts w:ascii="Times New Roman" w:hAnsi="Times New Roman"/>
          <w:sz w:val="20"/>
        </w:rPr>
      </w:pPr>
      <w:r>
        <w:rPr>
          <w:rFonts w:ascii="Times New Roman" w:hAnsi="Times New Roman"/>
          <w:b w:val="false"/>
          <w:color w:val="000000"/>
          <w:sz w:val="20"/>
        </w:rPr>
        <w:t>We have established partnerships with leading technology and infrastructure providers. In March 2026, we entered into a Memorandum of Understanding ("MOU") with Paragon Energy Solutions (a Mirion Technologies company) for collaboration on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120"/>
        <w:jc w:val="left"/>
        <w:rPr>
          <w:rFonts w:ascii="Times New Roman" w:hAnsi="Times New Roman"/>
          <w:b w:val="false"/>
          <w:color w:val="000000"/>
          <w:sz w:val="20"/>
        </w:rPr>
      </w:pPr>
      <w:r>
        <w:rPr>
          <w:rFonts w:ascii="Times New Roman" w:hAnsi="Times New Roman"/>
          <w:b w:val="false"/>
          <w:color w:val="000000"/>
          <w:sz w:val="20"/>
        </w:rPr>
        <w:t>Hadron Halo's Instrumentation and Control architecture. We also selected GSE Performance Solutions as the supplier for a full-scope, high-fidelity training simulator. A Uranium Conversion Services Agreement with ConverDyn, the exclusive marketing agent for the only operating commercial uranium hexafluoride (UF₆) conversion facility in the United States, secured our domestic fuel supply pathway. Additionally, under a non-binding MOU with Smartland Energy, LLC, the parties agreed to collaborate on potential deployment of the Hadron Halo across up to five qualified projects, representing approximately 1.8 gigawatts of aggregate capacity demand by 2035. In connection with this MOU, Smartland made a strategic investment in us.</w:t>
      </w:r>
    </w:p>
    <w:p>
      <w:pPr>
        <w:pStyle w:val="Heading2"/>
        <w:bidi w:val="0"/>
        <w:spacing w:before="0" w:after="120"/>
        <w:jc w:val="left"/>
        <w:rPr>
          <w:rFonts w:ascii="Times New Roman" w:hAnsi="Times New Roman"/>
          <w:color w:val="000000"/>
          <w:sz w:val="20"/>
        </w:rPr>
      </w:pPr>
      <w:r>
        <w:rPr>
          <w:rFonts w:ascii="Times New Roman" w:hAnsi="Times New Roman"/>
          <w:color w:val="000000"/>
          <w:sz w:val="20"/>
        </w:rPr>
        <w:t>Capital Markets and Government Relations</w:t>
      </w:r>
    </w:p>
    <w:p>
      <w:pPr>
        <w:pStyle w:val="Heading2"/>
        <w:bidi w:val="0"/>
        <w:spacing w:before="0" w:after="120"/>
        <w:jc w:val="left"/>
        <w:rPr>
          <w:rFonts w:ascii="Times New Roman" w:hAnsi="Times New Roman"/>
          <w:b w:val="false"/>
          <w:color w:val="000000"/>
          <w:sz w:val="20"/>
        </w:rPr>
      </w:pPr>
      <w:r>
        <w:rPr>
          <w:rFonts w:ascii="Times New Roman" w:hAnsi="Times New Roman"/>
          <w:b w:val="false"/>
          <w:color w:val="000000"/>
          <w:sz w:val="20"/>
        </w:rPr>
        <w:t>In June 2026, we engaged DLA Piper LLP (US) to lead our government affairs and federal policy strategy. The engagement includes a senior, bipartisan team led by Former U.S. Senator Richard Burr (former Chairman of the Senate Select Committee on Intelligence), along with Oliver Wright from DLA Piper's Energy and Natural Resources practice and one of our directors, former U.S. Ambassador to Romania Adrian Zuckerman. In July 2026, we engaged CORE IR, a leading investor relations and capital markets communications firm, to lead shareholder engagement and investor communications strategy as we advance licensing, secure strategic partnerships, and position the Hadron Halo MMR toward commercial deployment.</w:t>
      </w:r>
    </w:p>
    <w:p>
      <w:pPr>
        <w:pStyle w:val="Heading2"/>
        <w:bidi w:val="0"/>
        <w:spacing w:before="0" w:after="120"/>
        <w:jc w:val="left"/>
        <w:rPr>
          <w:rFonts w:ascii="Times New Roman" w:hAnsi="Times New Roman"/>
          <w:color w:val="000000"/>
          <w:sz w:val="20"/>
        </w:rPr>
      </w:pPr>
      <w:r>
        <w:rPr>
          <w:rFonts w:ascii="Times New Roman" w:hAnsi="Times New Roman"/>
          <w:color w:val="000000"/>
          <w:sz w:val="20"/>
        </w:rPr>
        <w:t>Intellectual Property</w:t>
      </w:r>
    </w:p>
    <w:p>
      <w:pPr>
        <w:pStyle w:val="Heading2"/>
        <w:bidi w:val="0"/>
        <w:spacing w:before="0" w:after="120"/>
        <w:jc w:val="left"/>
        <w:rPr>
          <w:rFonts w:ascii="Times New Roman" w:hAnsi="Times New Roman"/>
          <w:b w:val="false"/>
          <w:color w:val="000000"/>
          <w:sz w:val="20"/>
        </w:rPr>
      </w:pPr>
      <w:r>
        <w:rPr>
          <w:rFonts w:ascii="Times New Roman" w:hAnsi="Times New Roman"/>
          <w:b w:val="false"/>
          <w:color w:val="000000"/>
          <w:sz w:val="20"/>
        </w:rPr>
        <w:t>In May 2026, the United States Patent and Trademark Office published our first patent application, "Micro Integral Nuclear Reactor" (Publication No. US 2026/0128185 A1), which was filed on October 31, 2025. The application represents the foundational technical disclosure behind the Hadron Halo and the first entry in our growing intellectual property portfolio. The application names Founder and Chief Executive Officer Samuel Gibson and Chief Nuclear Officer Ross Ridenoure among its inventors.</w:t>
      </w:r>
    </w:p>
    <w:p>
      <w:pPr>
        <w:pStyle w:val="Heading2"/>
        <w:bidi w:val="0"/>
        <w:spacing w:before="0" w:after="120"/>
        <w:jc w:val="left"/>
        <w:rPr>
          <w:rFonts w:ascii="Times New Roman" w:hAnsi="Times New Roman"/>
          <w:color w:val="000000"/>
          <w:sz w:val="20"/>
        </w:rPr>
      </w:pPr>
      <w:r>
        <w:rPr>
          <w:rFonts w:ascii="Times New Roman" w:hAnsi="Times New Roman"/>
          <w:color w:val="000000"/>
          <w:sz w:val="20"/>
        </w:rPr>
        <w:t>Market Position and Competitive Advantages</w:t>
      </w:r>
    </w:p>
    <w:p>
      <w:pPr>
        <w:pStyle w:val="Heading2"/>
        <w:bidi w:val="0"/>
        <w:spacing w:before="0" w:after="120"/>
        <w:jc w:val="left"/>
        <w:rPr>
          <w:rFonts w:ascii="Times New Roman" w:hAnsi="Times New Roman"/>
          <w:b w:val="false"/>
          <w:color w:val="000000"/>
          <w:sz w:val="20"/>
        </w:rPr>
      </w:pPr>
      <w:r>
        <w:rPr>
          <w:rFonts w:ascii="Times New Roman" w:hAnsi="Times New Roman"/>
          <w:b w:val="false"/>
          <w:color w:val="000000"/>
          <w:sz w:val="20"/>
        </w:rPr>
        <w:t>Our modular, factory-built design is intended to enable mass manufacturing with standardized units, reducing costs and deployment times significantly compared to conventional nuclear power plants. This is anticipated to make revenue generation as soon as 12-18 months from groundbreaking, as opposed to the decade-long construction periods for traditional nuclear plants. Our early engagement with regulatory agencies, experienced leadership team (including former NRC regulators and former Chief Nuclear Officers), a customer pipeline spanning data center operators, industrial firms, and government entities, and a secured domestic fuel supply strategy position us advantageously in the advanced nuclear sector. We have received substantial market interest in the Hadron Halo and believe its focus on small, transportable MMRs combined with concurrent engagement with regulators, suppliers, partners, and customers will enable first-mover advantage.</w:t>
      </w:r>
    </w:p>
    <w:p>
      <w:pPr>
        <w:pStyle w:val="Heading2"/>
        <w:bidi w:val="0"/>
        <w:jc w:val="left"/>
        <w:rPr>
          <w:rFonts w:ascii="Times New Roman" w:hAnsi="Times New Roman"/>
          <w:color w:val="000000"/>
          <w:sz w:val="20"/>
        </w:rPr>
      </w:pPr>
      <w:r>
        <w:rPr>
          <w:rFonts w:ascii="Times New Roman" w:hAnsi="Times New Roman"/>
          <w:color w:val="000000"/>
          <w:sz w:val="20"/>
        </w:rPr>
        <w:t>The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27, 2025, GigCapital7 entered into a BCA with Private Hadron and Merger Sub. On May 8, 2026, GigCapital7 completed its domestication from the Cayman Islands to Delaware. On May 22, 2026, the merger subsidiary merged with and into Private Hadron, with Private Hadron surviving as a wholly-owned subsidiary of GigCapital7. In connection with the Closing, the combined company was renamed Hadron Energy,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BCA, each share of Private Hadron common stock outstanding immediately prior to the Effective Time (including shares issued upon conversion of Private Hadron's outstanding SAFEs) was converted into the right to receive shares of our common stock based on an exchange ratio of 49.99. Outstanding Private Hadron options and restricted stock awards were assumed and converted into equivalent awards of us on the same exchange ratio. All share and per share amounts for periods prior to the Closing have been retroactively adjusted to reflect the exchange ratio.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received cash proceeds of approximately $22,944 in connection with the Business Combination, after giving effect to proceeds released from the trust account, amounts paid under a forward purchase agreement, redemptions of public shares, and transaction costs incurred by GigCapital7 and Private Hadron. Total transaction costs of $2,484 were recorded as a reduction to additional paid-in capital, of which $275 remained unpaid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Business Combination was accounted for as a reverse recapitalization in accordance with GAAP. Under this method of accounting, GigCapital7 was treated as the acquired company and Private Hadron was treated as the accounting acquirer for financial reporting purposes, notwithstanding that GigCapital7 is the legal acquirer. Accordingly, the Business Combination was treated as the equivalent of Private Hadron issuing stock for the net assets of GigCapital7, accompanied by a recapitalization. The net assets of GigCapital7 were stated at historical cost, with no goodwill or other intangible assets recorded, and the historical financial statements of Private Hadron became the historical financial statements of us. Operations prior to the Business Combination are those of Private Hadron.</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Key Factors Affecting Our Prospects and Future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performance and future success depend on a number of factors that present significant opportunities for us but also pose risks and challenges, including competition from carbon-based and other non-carbon-based energy generators, the risk of perceived safety issues and their consequences for our reputation and the other factors discussed under the section titled "Risk Factors"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 II - Item 1A included in this Quarterly Report on Form 10-Q, as well in our final prospectus filed with the U.S. SEC on June 25, 2026. We believe that the following factors are key to our success: commencing and expanding commercial launch operations, funding our operations, maintaining and protecting our intellectual property portfolio, obtaining regulatory approvals, and adding operational and financial personnel to support our development efforts and planned future commercialization.</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Impact of Macroeconomic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various trends, events or uncertainties that are reasonably likely to cause our reported financial information not to be necessarily indicative of future operating results or of future financial condition. The macroeconomic environment both in the United States and globally has the potential to impact our business and financial performance. More specifically, factors such as trade agreements, tariffs, interest rates, inflation, tax law, labor trends, supply chain disruptions, fiscal policy and recession risks could impact the cost to construct and operate our factory, and even impact the future profitability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chain vulnerabilities represent a critical area of macro-economic risk for our business. Global disruptions, whether from geopolitical tensions, natural disasters, or public health crises, can severely impact the availability and cost of essential components for energy infrastructure. These disruptions can lead to extended lead times for specialized equipment, shortages of critical materials, and unexpected cost escalations that complicate project planning and execution. Our reliance on supply networks for turbine components, electrical systems, and construction materials creates exposure to these global supply chain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remains a significant concern, particularly as it affects construction materials, specialized equipment, and labor costs throughout our project development cycle. These inflationary pressures can erode project margins and complicate long-term capital planning efforts. Economic growth and recession cycles directly correlate with energy demand across industrial, commercial, and residential sectors. During economic downturns, we will experience reduced consumption patterns, while periods of growth drive increased energy needs, affecting our revenue projections and expansion strategies.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Demand for energy in the United States is currently being driven by the explosive growth in the data center industry, particularly as artificial intelligence (AI) deployment, cloud computing adoption, digital transformation initiatives accelerate across sectors, and industrialization. Should power demand growth in the market slow, customer demand for our baseload low-carbon power could be negatively impacted.</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Key Components of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("G&amp;A") expenses consist primarily of personnel-related expenses for executives, human resources, finance and other G&amp;A employees, including salary, professional services costs and facility and overhead costs. We anticipate that our G&amp;A expenses will increase in the future in connection with one-time costs of becoming a public company as well as ongoing costs of operating as a public company, including expanding headcount and increased fees for directors and outside advisors. We expect to incur significant costs to comply with corporate governance, internal controls, and similar requirements applicable to public companies. Additionally, we expect to incur increased costs associated with establishing sales, marketing and commercialization functions prior to any potential future regulatory approvals or commercialization of our technology. G&amp;A also includes adjustments to our estimated liability for an expected legal settlement, including any subsequent reversals of previously accrued amounts.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("R&amp;D") expenses consist primarily of internal and external R&amp;D expenses. We focus our R&amp;D activities on technology development and regulatory support for the development of the factory light-water micro modular reactor. Our R&amp;D expenses consist of: employee-related expenses, including salaries, benefits, payroll taxes, travel, for personnel in R&amp;D functions; expenses related to technology development; and facilities, overhead, and other expenses. We expect our R&amp;D expenses to increase in the future as we continue to develop our technology. Our R&amp;D activities are a critical component of achieving commercialization of any of our technology development and realizing our business strategy. We remain focused on using our resources to further develop our existing pipeline.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is measured using a fair value-based method for all equity-based awards, with the cost of awarded equity instruments recognized over the period during which the award vests. Stock-based compensation expense relates primarily to the vesting and cancellation of restricted shares granted to employees pursuant to the Hadron Energy Equity Incentive Plan (the "Former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Business Combination consummated on May 22, 2026, the Hadron Energy, Inc. Equity Incentive Plan (the "Plan") went into effect. The Plan has an initial share reserve of 10,021,784 shares and includes an evergreen provision under which the share reserve automatically increases on the first day of each calendar year, beginning with the first full calendar year following the Closing, by 5% of the total number of shares outstanding on a fully diluted basis. Following the Closing, new equity-based awards are expected to be granted under the Plan rather than the Former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legal settlement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legal settlement liability represents the periodic remeasurement of a previously accrued estimated legal settlement liability that was originally recorded during the year ended December 31, 2025. Changes in the estimated liability, including subsequent reversals of previously accrued amounts, are recognized within operating expenses in the period in which the estimate is revised.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Simple Agreements for Future Equity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change in fair value of Simple Agreements for Future Equity ("SAFEs") represents the periodic remeasurement of the fair value related to the SAFEs. We determined that the SAFEs should be accounted for at fair value as a liability under ASC 480, </w:t>
      </w:r>
      <w:r>
        <w:rPr>
          <w:rFonts w:ascii="Times New Roman" w:hAnsi="Times New Roman"/>
          <w:i/>
          <w:color w:val="000000"/>
          <w:sz w:val="20"/>
        </w:rPr>
        <w:t>Distinguishing Liabilities from Equity</w:t>
      </w:r>
      <w:r>
        <w:rPr>
          <w:rFonts w:ascii="Times New Roman" w:hAnsi="Times New Roman"/>
          <w:color w:val="000000"/>
          <w:sz w:val="20"/>
        </w:rPr>
        <w:t>, as they are potentially settled in a variable number of shares based on future valuation, lack substantive equity characteristics, and are potentially redeemable in cash or other assets under certain conditions. Because they are classified as liabilities, the SAFEs are adjusted to fair value at each reporting date, with changes in fair value recorded in the statement of operations. Upon the Closing of the Business Combination on May 22, 2026, all of Private Hadron's outstanding SAFEs converted into shares of our common stock in accordance with their respective terms.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warrant liabilities represents the periodic remeasurement of the Private Placement Warrants and the Hadron Private Warrants that were originally recorded as part of the Business Combination consummated on May 22, 2026. Changes in the estimated liability are recognized within other income (loss) in the period in which the estimate is revised.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U.S. federal and state income taxes based on enacted rates, as adjusted for allowable credits, deductions, uncertain tax positions, changes in deferred tax assets and liabilities and changes in tax laws. Provision for income taxes primarily relates to changes in deferred taxes, fully offset by valuation allowances.</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the three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w:t>
      </w:r>
    </w:p>
    <w:p>
      <w:pPr>
        <w:pStyle w:val="TextBody"/>
        <w:bidi w:val="0"/>
        <w:jc w:val="left"/>
        <w:rPr/>
      </w:pPr>
      <w:r>
        <w:rPr/>
        <w:t> </w:t>
      </w:r>
    </w:p>
    <w:tbl>
      <w:tblPr>
        <w:tblW w:w="9300" w:type="dxa"/>
        <w:jc w:val="left"/>
        <w:tblInd w:w="0" w:type="dxa"/>
        <w:tblLayout w:type="fixed"/>
        <w:tblCellMar>
          <w:top w:w="28" w:type="dxa"/>
          <w:left w:w="28" w:type="dxa"/>
          <w:bottom w:w="28" w:type="dxa"/>
          <w:right w:w="28" w:type="dxa"/>
        </w:tblCellMar>
      </w:tblPr>
      <w:tblGrid>
        <w:gridCol w:w="5041"/>
        <w:gridCol w:w="146"/>
        <w:gridCol w:w="382"/>
        <w:gridCol w:w="1223"/>
        <w:gridCol w:w="166"/>
        <w:gridCol w:w="146"/>
        <w:gridCol w:w="402"/>
        <w:gridCol w:w="1203"/>
        <w:gridCol w:w="59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legal settlement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Other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Simple Agreements for Future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and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G&amp;A expenses were $1,983 for the three months ended June 30, 2026 compared to $373 for the three months ended June 30, 2025, an increase of $1,610 over the corresponding prior-year period due primarily to the expansion of personnel-related costs and third-party advisory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R&amp;D expenses were $1,154 for the three months ended June 30, 2026 compared to $24 for the three months ended June 30, 2025. R&amp;D expenses relate to employee-related expenses, including salaries, benefits, payroll taxes, and travel, for personnel in R&amp;D functions; expenses related to technology development; and other expenses. The increase reflects the continued ramp-up of our R&amp;D function, including the addition of personnel performing R&amp;D activities and increased technology development expenditures supporting the design of our pressurized light-water micro modular reactor.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was $7,900 for the three months ended June 30, 2026 compared to $595 for the three months ended June 30, 2025. The increase of $7,305 was primarily driven by the recognition of expense related to restricted share grants under the Former Plan. Stock-based compensation is measured at the estimated fair value of the shares on the grant date and recognized over the requisite service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Depreciation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expense was $5 for the three months ended June 30, 2026 compared to $1 for the three months ended June 30, 2025. The increase reflects depreciation of property and equipment, principally furniture, fixtures and computer equipment, that has been placed in service since inception. There were no purchases of property and equipment during the three months ended June 30,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Simple Agreements for Future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SAFEs was a gain of $18,427 for the three months ended June 30, 2026 compared to a loss of $5,769 for the three months ended June 30, 2025, in each case representing the remeasurement of the fair value of the SAFEs at the end of the reporting period.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legal settlement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legal settlement liability was a gain of $4,911 for the three months ended June 30, 2026 due to the finalization of the actual settlement amount.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warrant liabilities was a gain of $5,262 for the three months ended June 30, 2026 due to the remeasurement of the warrant liabilities.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income taxes was $0 for the three months ended June 30, 2026 and $0 for the three months ended June 30, 2025, in each case primarily due to changes in deferred tax balances offset by valuation allowances against our deferred tax assets.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the six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w:t>
      </w:r>
    </w:p>
    <w:p>
      <w:pPr>
        <w:pStyle w:val="TextBody"/>
        <w:bidi w:val="0"/>
        <w:jc w:val="left"/>
        <w:rPr/>
      </w:pPr>
      <w:r>
        <w:rPr/>
        <w:t> </w:t>
      </w:r>
    </w:p>
    <w:tbl>
      <w:tblPr>
        <w:tblW w:w="8910" w:type="dxa"/>
        <w:jc w:val="left"/>
        <w:tblInd w:w="0" w:type="dxa"/>
        <w:tblLayout w:type="fixed"/>
        <w:tblCellMar>
          <w:top w:w="28" w:type="dxa"/>
          <w:left w:w="28" w:type="dxa"/>
          <w:bottom w:w="28" w:type="dxa"/>
          <w:right w:w="28" w:type="dxa"/>
        </w:tblCellMar>
      </w:tblPr>
      <w:tblGrid>
        <w:gridCol w:w="5041"/>
        <w:gridCol w:w="146"/>
        <w:gridCol w:w="335"/>
        <w:gridCol w:w="1075"/>
        <w:gridCol w:w="166"/>
        <w:gridCol w:w="146"/>
        <w:gridCol w:w="353"/>
        <w:gridCol w:w="1057"/>
        <w:gridCol w:w="59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legal settlement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Other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Simple Agreements for Future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both"/>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and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G&amp;A expenses were $3,546 for the six months ended June 30, 2026 compared to $522 for the six months ended June 30, 2025, an increase of $3,024 over the corresponding prior-year period due primarily to the expansion of personnel-related costs and third-party advisory services.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R&amp;D expenses were $1,597 for the six months ended June 30, 2026 compared to $30 for the six months ended June 30, 2025. R&amp;D expenses relate to employee-related expenses, including salaries, benefits, payroll taxes, and travel, for personnel in R&amp;D functions; expenses related to technology development; and other expenses. The increase reflects the continued ramp-up of our R&amp;D function, including the addition of personnel performing R&amp;D activities and increased technology development expenditures supporting the design of our pressurized light-water micro modular reactor.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was $10,634 for the six months ended June 30, 2026 compared to $604 for the six months ended June 30, 2025. The increase of $10,030 was primarily driven by the recognition of expense related to restricted share grants under the Former Plan, including the modification and commencement of vesting of new grants of 1,674,966 restricted shares to employees and advisors during the six months ended June 30, 2026. Stock-based compensation is measured at the estimated fair value of the shares on the grant date, equal to $14.05 per share, and recognized over the requisite service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Depreciation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expense was $6 for the six months ended June 30, 2026 compared to $1 for the six months ended June 30, 2025. The increase reflects depreciation of property and equipment, principally furniture, fixtures and computer equipment, that has been placed in service since inception. There were no purchases of property and equipment during the six months ended June 30,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Simple Agreements for Future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SAFEs was a gain of $31,846 for the six months ended June 30, 2026 compared to a loss of $5,825 for the six months ended June 30, 2025, in each case representing the remeasurement of the fair value of the SAFEs at the end of the reporting period.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legal settlement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legal settlement liability was a gain of $9,601 for the six months ended June 30, 2026 due to the finalization of the actual settlement amount.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warrant liabilities was a gain of $5,262 for the six months ended June 30, 2026 due to the remeasurement of the warrant liabilities.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income taxes was $0 for the six months ended June 30, 2026 and $0 for the six months ended June 30, 2025, in each case primarily due to changes in deferred tax balances offset by valuation allowances against our deferred tax assets.</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we raised significant capital through the Business Combination with GigCapital7, which was consummated on May 22, 2026 and resulted in proceeds of approximately $22,944 released from the trust account previously held by GigCapital7, after paying all de-SPAC expenses, which has alleviated the substantial doubt about our ability to continue as a going concern. As of June 30, 2026, we have no debt. We believe that our existing cash will be sufficient to support operations for at least one year from the issuance date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cash flows for the six months ended June 30, 2026 and 2025:</w:t>
      </w:r>
    </w:p>
    <w:p>
      <w:pPr>
        <w:pStyle w:val="TextBody"/>
        <w:bidi w:val="0"/>
        <w:jc w:val="left"/>
        <w:rPr/>
      </w:pPr>
      <w:r>
        <w:rPr/>
        <w:t> </w:t>
      </w:r>
    </w:p>
    <w:tbl>
      <w:tblPr>
        <w:tblW w:w="5310" w:type="dxa"/>
        <w:jc w:val="left"/>
        <w:tblInd w:w="0" w:type="dxa"/>
        <w:tblLayout w:type="fixed"/>
        <w:tblCellMar>
          <w:top w:w="28" w:type="dxa"/>
          <w:left w:w="28" w:type="dxa"/>
          <w:bottom w:w="28" w:type="dxa"/>
          <w:right w:w="28" w:type="dxa"/>
        </w:tblCellMar>
      </w:tblPr>
      <w:tblGrid>
        <w:gridCol w:w="2686"/>
        <w:gridCol w:w="146"/>
        <w:gridCol w:w="220"/>
        <w:gridCol w:w="706"/>
        <w:gridCol w:w="173"/>
        <w:gridCol w:w="152"/>
        <w:gridCol w:w="220"/>
        <w:gridCol w:w="596"/>
        <w:gridCol w:w="4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24,842</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22,217</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cash used in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of $4,382 for the six months ended June 30, 2026 was primarily attributable to a change in fair value of SAFEs of $31,846, a change in fair value of the warrant liabilities of $5,262, and a $9,601 change in fair value of legal settlement liability, partially offset by net income of $30,926, changes in operating assets and liabilities of $680, $10,634 of stock-based compensation, $6 of depreciation and $81 of noncash operating lease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of $644 for the six months ended June 30, 2025 was primarily attributable to a net loss of $6,982 and changes in operating assets and liabilities of $(92), partially offset by a change in fair value of SAFEs of $5,825, stock-based compensation of $604 and $1 of depreciation.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cash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cash used in investing activities during the six months ended June 30, 2026, as we made no purchases of property and equipment during the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material cash used in investing activities during the six months ended June 30,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cash provided by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of $24,842 for the six months ended June 30, 2026 was primarily attributable to proceeds from the issuance of SAFEs and net proceeds received from the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of $1,227 for the six months ended June 30, 2025 was attributable to proceeds from the issuance of SAFEs.</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have any material commitments or contractual obligations as of June 30, 2026.</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did not have any off-balance sheet arrangements as defined in Item 303(a)(4) of Regulation S-K.</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 xml:space="preserve">Critical Accounting Policies </w:t>
      </w:r>
    </w:p>
    <w:p>
      <w:pPr>
        <w:pStyle w:val="Heading2"/>
        <w:bidi w:val="0"/>
        <w:spacing w:before="120" w:after="283"/>
        <w:jc w:val="left"/>
        <w:rPr>
          <w:rFonts w:ascii="Times New Roman" w:hAnsi="Times New Roman"/>
          <w:sz w:val="20"/>
        </w:rPr>
      </w:pPr>
      <w:r>
        <w:rPr>
          <w:rFonts w:ascii="Times New Roman" w:hAnsi="Times New Roman"/>
          <w:b w:val="false"/>
          <w:color w:val="000000"/>
          <w:sz w:val="20"/>
        </w:rPr>
        <w:t>Our financial statements have been prepared in accordance with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There have been no significant changes to our critical accounting policies in the preparation of our condensed consolidated financial statements during the six months ended June 30, 2026 compared to those disclosed in our audited financial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left"/>
        <w:rPr>
          <w:rFonts w:ascii="Times New Roman" w:hAnsi="Times New Roman"/>
          <w:b w:val="false"/>
          <w:color w:val="000000"/>
          <w:sz w:val="20"/>
        </w:rPr>
      </w:pPr>
      <w:r>
        <w:rPr>
          <w:rFonts w:ascii="Times New Roman" w:hAnsi="Times New Roman"/>
          <w:b w:val="false"/>
          <w:color w:val="000000"/>
          <w:sz w:val="20"/>
        </w:rPr>
        <w:t>statements for the year ended December 31, 2025, included in the prospectus dated as of, and filed with the SEC pursuant to Rule 424(b)(3) on June 25, 2026.</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Critical Accounting Estimates</w:t>
      </w:r>
    </w:p>
    <w:p>
      <w:pPr>
        <w:pStyle w:val="Heading2"/>
        <w:bidi w:val="0"/>
        <w:jc w:val="left"/>
        <w:rPr>
          <w:rFonts w:ascii="Times New Roman" w:hAnsi="Times New Roman"/>
          <w:b w:val="false"/>
          <w:color w:val="000000"/>
          <w:sz w:val="20"/>
        </w:rPr>
      </w:pPr>
      <w:r>
        <w:rPr>
          <w:rFonts w:ascii="Times New Roman" w:hAnsi="Times New Roman"/>
          <w:b w:val="false"/>
          <w:color w:val="000000"/>
          <w:sz w:val="20"/>
        </w:rPr>
        <w:t>There have been no significant changes to our critical accounting estimates in the preparation of our condensed consolidated financial statements during the six months ended June 30, 2026 compared to those disclosed in our audited financial statements for the year ended December 31, 2025, included in the prospectus dated as of, and filed with the SEC pursuant to Rule 424(b)(3) on June 25, 2026.</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Recently Issued and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considered the applicability and impact of all accounting standards updates ("ASUs") issued by the Financial Accounting Standards Board ("FASB"). We reviewed all recently issued accounting pronouncements, and based on our preliminary assessment, we have determined that these will not have a material impact on our unaudited condensed consolidated financial statements or related disclosures, or do not apply to us.</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Emerging Growth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("JOBS Act"). The JOBS Act provides emerging growth companies with certain exemptions from public company reporting requirements for up to five fiscal years while a company remains an emerging growth company. As part of these exemptions, we have reduced disclosure obligations such as for executive compensation, and it is not required to comply with auditor attestation requirements from Section 404(b) of the Sarbanes-Oxley Act of 2002, as amended, regarding its internal control over financial reporting. Additionally, the JOBS Act has allowed the Company the option to delay adoption of new or revised financial accounting standards until private companies are required to comply with new or revised financial accounting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qualify as a "smaller reporting company," as such term is defined in Rule 12b-2 of the Securities Exchange Act of 1934, as amended. As a smaller reporting company, we may continue to rely on certain reduced disclosure requirements available to smaller reporting companies.</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Quantitative and Qualitative Disclosure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"smaller reporting company" as defined by Rule 12b-2 of the Exchange Act, and pursuant to Item 305 of Regulation S-K, we are not required to disclose information under this section.</w:t>
      </w:r>
    </w:p>
    <w:p>
      <w:pPr>
        <w:pStyle w:val="TextBody"/>
        <w:bidi w:val="0"/>
        <w:spacing w:before="120" w:after="283"/>
        <w:jc w:val="left"/>
        <w:rPr>
          <w:rFonts w:ascii="Times New Roman" w:hAnsi="Times New Roman"/>
          <w:b/>
          <w:color w:val="000000"/>
          <w:sz w:val="20"/>
        </w:rPr>
      </w:pPr>
      <w:bookmarkStart w:id="12" w:name="item_3_quantitative_and_qualitative"/>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“smaller reporting company” as defined by Rule 12b-2 of the Exchange Act, and pursuant to Item 305 of Regulation S-K, we are not required to disclose information under this section. </w:t>
      </w:r>
    </w:p>
    <w:p>
      <w:pPr>
        <w:pStyle w:val="TextBody"/>
        <w:bidi w:val="0"/>
        <w:spacing w:before="120" w:after="283"/>
        <w:jc w:val="left"/>
        <w:rPr>
          <w:rFonts w:ascii="Times New Roman" w:hAnsi="Times New Roman"/>
          <w:b/>
          <w:color w:val="000000"/>
          <w:sz w:val="20"/>
        </w:rPr>
      </w:pPr>
      <w:bookmarkStart w:id="13" w:name="item_4_controls_and_procedure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Disclosure controls and procedures are controls and other procedures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Chief Executive Officer and Chief Financial Officer (together, the “Certifying Officers”), or persons performing similar functions,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Certifying Officers, we carried out an evaluation of the effectiveness of the design and operation of our disclosure controls and procedures as defined in Rules 13a-15(e) and 15d-15(e) under the Exchange Act. Based on the foregoing, our Certifying Officers concluded that our disclosure controls and procedures were effective as of the end of the quarterly period ended June 30,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identified in connection with the evaluation required by Rule 13a-15(d) and 15d-15(d) of the Exchange Act that occurred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_ii_other_information"/>
      <w:bookmarkEnd w:id="14"/>
      <w:r>
        <w:rPr>
          <w:rFonts w:ascii="Times New Roman" w:hAnsi="Times New Roman"/>
          <w:b/>
          <w:color w:val="000000"/>
          <w:sz w:val="20"/>
        </w:rPr>
        <w:t>PART II—OTHER INFORMATION</w:t>
      </w:r>
    </w:p>
    <w:p>
      <w:pPr>
        <w:pStyle w:val="TextBody"/>
        <w:bidi w:val="0"/>
        <w:spacing w:before="120" w:after="283"/>
        <w:jc w:val="left"/>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a party to any material legal proceedings. We previously had a dispute with a former employee that was fully and finally settled prior to the Closing of the Business Combination; the settlement is reflected in our financial statements. Other than the matter described above, we have not been subject to any significant litigation, and we are not aware of any threatened lawsuits or regulatory actions that would have a material adverse effect on us. From time to time, we may be subject to claims, disputes, or legal matters in the normal course of business. We maintain policies and practices to minimize legal risks, including robust IP management and compliance programs.</w:t>
      </w:r>
    </w:p>
    <w:p>
      <w:pPr>
        <w:pStyle w:val="TextBody"/>
        <w:bidi w:val="0"/>
        <w:jc w:val="left"/>
        <w:rPr/>
      </w:pPr>
      <w:r>
        <w:rPr/>
        <w:t> </w:t>
      </w:r>
    </w:p>
    <w:p>
      <w:pPr>
        <w:pStyle w:val="TextBody"/>
        <w:bidi w:val="0"/>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identified the following risks and uncertainties that may have a material adverse effect on our business, financial condition, results of operations or reputation. The risks described below are not the only risks we face. Additional risks not presently known to us or that we currently believe are not material may also significantly affect our business, financial condition, results of operations or reputation. Our business could be harmed by any of these risks. In assessing these risks, you should also refer to the financial statements and related notes contained in this report.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These risk factors are not exhaustive, and investors are encouraged to perform their own investigation with respect to the business, financial condition, and prospects of Hadron Energy and our business, financial condition, and prospects. You should carefully consider the following risk factors in addition to the other information included in our public filings, including in the Company's prospectus filed with the SEC pursuant to Rule 424(b)(3) on June 25, 2026 (the “Prospectus”).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may face additional risks and uncertainties that are not presently known to us, or that we currently deem immaterial, which may also impair our business or financial condition. The following discussion should be read in conjunction with the financial statements of Hadron Energy and notes to the financial statements included in the Prospectus.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losses from operations and have not generated any revenue since our inception. We anticipate that we will continue to incur losses, and expect that we will not generate revenue, for the foreseeable future, at least until our reactors become commercially viable, which may never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operating losses since our inception, including an operating loss of $6,182 thousand for the six months ended June 30, 2026 and net loss of $6,982 thousand for the six months ended June 30, 2025. As of June 30, 2026 , the Company had cash of $22,217 thousand and accumulated deficit of $41,442 thousand; and for the six months ended June 30, 2026, negative cash flows from operations of $4,382 thousand. Although we recorded net income of $30,926 thousand for the six months ended June 30, 2026, this was primarily attributable to non-cash gains of $31,846 thousand, $9,601 thousand and $5,262 thousand recognized upon the remeasurement of our SAFE liability, legal settlement liability and warrant liability respectively. Since inception, the Company has incurred and expects to continue to incur net losses and negative operating cash flow.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still in our early stages of development and expect to continue to incur significant expenses, operating losses, and negative operating cash flows for the foreseeable future due to increase in expenses from historical levels because of additional costs and expenses related to the development of technology and factory and the development of market and strategic relationships with other businesses. To date, we have not generated any revenue. We do not expect to generate any revenue unless and until we are able to commercialize our reactors and/or other lines of business. As we have incurred losses and experienced negative operating cash flows since our inception, and accordingly we have undertaken equity financing from investors to satisfy our funding needs; however, we may not raise adequate funding to offset our expenses and losses. Moreover, we may encounter unforeseen expenses, difficulties, complications, delays, and other unknown factors that may adversely affect our business. The magnitude of our future net losses will depend, in part, on the rate of future growth of our expenses and our ability to generate and grow revenue. We cannot predict the outcome of the actions to generate liquidity to fund our operations, whether such actions would generate the expected liquidity to fund our operations as currently planned or whether the costs of such actions will be available on reasonable terms or at all. Our continued solvency is dependent upon our ability to obtain additional working capital to complete our reactor development, to successfully market our reactors and to achieve commerciality for our reactors. Our prior losses and expected future losses have had and may continue to have adverse effects on our stockholders’ equity (deficit) and working capital and may lead to the failure of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Hadron Halo design has not yet been approved or licensed for use at any site by the NRC, and approval or licensing of our design is not guaranteed.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submitted its letter of intent to the NRC in April 2025 and its regulatory engagement plan to the NRC in May 2025. The NRC issued a final safety evaluation in May 2026 accepting Revision 3 of our Quality Assurance Program Description Topical Report for referencing in future licensing applications under 10 CFR Part 52. We have also submitted our Principal Design Criteria White Paper and received favorable NRC feedback on our proposed regulatory approach in December 2025. We are targeting a Manufacturing License submission by 2027-2028. Notwithstanding these actions, the Hadron Halo design has not yet been licensed, certified or approved by the NRC, and there are currently no MMRs that have been fully licensed by the NRC. If the NRC disagrees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our, or our customers’, licensing approach or the technical bases supporting the nuclear safety and environmental impact evaluations, the construction and operating license application processes could take longer than currently expected, or a license may not be granted at all, which could materially and adversely affect our business. Further, the NRC could impose conditions in a license that are not acceptable to us or our customers, which could materially and adversely affect our business. Any delays, conditions or unexpected requirements may increase costs for us or our customers and may result in uncertainty regarding the ability to deploy our technology in a predictable way, which may adversely impact our competitiveness.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Company’s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sales, or the perception of future sales, of our common stock by us or our existing stockholders in the public market could cause the market price of our common stock to drop significantly, even if our business is doing well.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common stock in the public market, including the resale of the shares of common stock held by our stockholders pursuant to this prospectus or pursuant to Rule 144, could occur at any time. These sales, or the perception in the market that the holders of a large number of shares of common stock intend to sell shares, could reduce the market price of our common stock. These sales, or the possibility that these sales may occur, also might make it more difficult for us to sell equity securities in the future at a time and at a price that we deem appropriate.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shares issued as merger consideration in the Business Combination are freely tradable without registration under the Securities Act and without restriction by persons other than our “affiliates” (as defined under Rule 144 under the Securities Act), including our directors, executive officers and other affiliates. We have registered in this resale registration statement on Form S-1 securities held by certain of our stockholders who have the right, subject to certain conditions, to require us to register the sale of their shares of common stock under the Securities Act, pursuant to the terms of the Amended and Restated Registration Rights Agreement entered into in connection with the Business Combination. Registration Rights Holders holding at least a majority in interest of the registrable securities are entitled to make a written demand for registration under the Securities Act of all or part of their registrable securities, up to a total of three such demands, and also have “piggy-back” registration rights. The sale of a large number of shares by these stockholders could cause the prevailing market price of shares of our common stock to decline. Significant sales of shares of common stock may have negative pressure on the public trading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shares being registered for resale by the Selling Securityholders pursuant to the Prospectus represent a substantial portion of the total number of shares of our common stock outstanding, based on the number of shares outstanding as of June 12, 2026. Certain of our stockholders, including the Sponsor, acquired their shares at prices substantially below the current market price of our common stock. For example, the Sponsor acquired Founder Shares at an effective purchase price of $0.00979696 per share. Certain of our stockholders may have an incentive to sell their shares because they will still profit on sales due to the significantly lower prices at which they purchased their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certain of our stockholders are subject to the Lock-Up Agreement, which restricts transfers of shares until the earlier of (a) six months following the Closing, (b) subsequent to the Closing, the date on which the closing price of our common stock equals or exceeds $11.50 per share for any twenty trading days within any thirty consecutive trading day period commencing at least ninety days after the Closing, or (c) subsequent to the Closing, the date on which the Company completes a liquidation, merger, stock exchange or other similar transaction. Upon the expiration of the applicable lock-up periods, such stockholders will not be restricted from selling shares of our common stock held by them, other than by applicable securities laws, and a significant number of additional shares will become eligible for sale in the public market, which could cause the market price of our common stock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requirements of being a public company in the U.S. may strain the Company’s resources and divert management’s attention, and the increases in legal, accounting and compliance expenses that result from being a public company in the U.S. may be greater than we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associated with being a public company in the United States require significant resources and management attention. We are subject to certain reporting requirements of the Exchange Act, and the other rules and regulations of the SEC, and Nasdaq. We are also subject to various other regulatory requirements, including the Sarbanes-Oxley Act. We expect these rules and regulations to increase our legal, accounting and financial compliance costs and to make some activities more time-consuming and costly. For example, we expect that these rules and regulations may make it more difficult and more expensive for us to obtain directors’ and officers’ liability insurance, which could make it more difficult for us to attract and retain qualified members of our Board. We cannot predict or estimate the amount of additional costs we will incur as a public company or the timing of such costs. In addition, complying with rules and regulations and the increasingly complex laws pertaining to public companies requires substantial attention from our senior management, which could divert their attention away from the day-to-day management of our business. These cost increases and the diversion of management’s attention could materially and adversely affect our business, results of operations and financial condition. We may also need to hire additional personnel to support our financial reporting function and may face challenges in doing so.</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There is no guarantee that the Warrants will ever be in the money, and they may expire worthless.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exercise price for the Warrants is either $11.50 or $12.00 per share of common stock, subject to adjustment. There is no guarantee that the Warrants will ever be in the money prior to their expiration, and as such, the Warrants may expire worthless.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Your unexpired Public Warrants may be redeemed prior to their exercise at a time that is disadvantageous to you, thereby making your Public Warrants worthless.</w:t>
      </w:r>
    </w:p>
    <w:p>
      <w:pPr>
        <w:pStyle w:val="TextBody"/>
        <w:bidi w:val="0"/>
        <w:spacing w:before="120" w:after="283"/>
        <w:jc w:val="left"/>
        <w:rPr>
          <w:rFonts w:ascii="Times New Roman" w:hAnsi="Times New Roman"/>
          <w:sz w:val="20"/>
        </w:rPr>
      </w:pPr>
      <w:r>
        <w:rPr>
          <w:rFonts w:ascii="Times New Roman" w:hAnsi="Times New Roman"/>
          <w:color w:val="000000"/>
          <w:sz w:val="20"/>
        </w:rPr>
        <w:t>Outstanding Public Warrants may be redeemed at any time after they become exercisable and prior to their expiration, at a price of $0.01 per Public Warrant, provided that the last reported sales price of our common stock equals or exceeds $18.00 per share (as adjusted for stock splits, stock capitalizations, reorganizations, recapitalizations and the like) for any twenty (20) Trading Days within a thirty (30) Trading-Day period ending on the third (3</w:t>
      </w:r>
      <w:r>
        <w:rPr>
          <w:rFonts w:ascii="Times New Roman" w:hAnsi="Times New Roman"/>
          <w:color w:val="000000"/>
          <w:sz w:val="13"/>
        </w:rPr>
        <w:t>rd</w:t>
      </w:r>
      <w:r>
        <w:rPr>
          <w:rFonts w:ascii="Times New Roman" w:hAnsi="Times New Roman"/>
          <w:color w:val="000000"/>
          <w:sz w:val="20"/>
        </w:rPr>
        <w:t>) Trading Day prior to the date the Company sends the notice of redemption to the Warrant holders. If and when the Public Warrants become redeemable by the Company, the Company may exercise its redemption rights if there is an effective registration statement covering the common stock issuable upon exercise of the Public Warrants, and a current prospectus relating thereto, available throughout the 30-day redemption period or the Company has elected to require the exercise of the Warrants on a “cashless basis”; provided, however, that if and when the Public Warrants become redeemable by the Company, the Company may not exercise such redemption right if the issuance of common stock upon exercise of the Public Warrants is not exempt from registration or qualification under applicable state blue sky laws or the Company is unable to effect such registration or qualification. Redemption of the outstanding Public Warrants could force you (a) to exercise your Public Warrants and pay the exercise price at a time when it may be disadvantageous for you to do so, (b) to sell your Public Warrants at the then-current market price when you might otherwise wish to hold your Public Warrants or (c) to accept the nominal redemption price which, at the time the outstanding Public Warrants are called for redemption, is likely to be substantially less than the market value of your Warrants.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Company does not maintain a current and effective Prospectus relating to the shares of common stock issuable upon exercise of the Warrants, public holders will only be able to exercise such warrants on a “cashless basis” which would result in a fewer number of shares of common stock being issued to the holder had such holder exercised the warrants for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Company does not maintain a current and effective prospectus relating to the common stock issuable upon exercise of the public warrants at the time that holders wish to exercise such Warrants, they will only be able to exercise them on a “cashless basis” provided that an exemption from registration is available. As a result, the number of warrant shares that a holder will receive upon exercise of its public warrants will be fewer than it would have been had such holder exercised its warrant for cash. Further, if an exemption from registration is not available, holders would not be able to exercise their warrants on a cashless basis and would only be able to exercise their warrants for cash if a current and effective prospectus relating to the warrant shares issuable upon exercise of the warrants is available. Under the terms of the warrant agreement, the Company has agreed to use its best efforts to file with the SEC a registration statement for the registration under the Securities Act of the warrant shares and thereafter use its best efforts to cause the registration statement to become effective and to maintain the effectiveness of such registration statement until the expiration of the warrants. However, we cannot assure you that we will be able to do so. If we are unable to do so, the potential “upside” of the holder’s investment in our company may be reduced or the warrants may expire worthless. In no event will the Company be required to net cash settle any warrant, or issue securities or other compensation in exchange for the warrants in the event that the Company is unable to register or qualify the shares underlying the warrants under the Securities Act or applicable state securities laws. If the issuance of the shares of common stock upon exercise of the warrants is not so registered or qualified or exempt from registration or qualification, the holder of such warrants shall not be entitled to exercise such warrants and such warrants may have no value and expire worthless. In such event, holders who acquired their public warrants as part of a purchase of public units will have paid the full unit purchase price solely for the shares of common stock included in the public units. Notwithstanding the foregoing, the private placement warrants may be exercisable for unregistered warrant shares for cash even if the prospectus relating to the warrant shares issuable upon exercise of the warrants is not current and effective.</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item_2_unregistered_sales_of_equity"/>
      <w:bookmarkEnd w:id="17"/>
      <w:r>
        <w:rPr>
          <w:rFonts w:ascii="Times New Roman" w:hAnsi="Times New Roman"/>
          <w:b/>
          <w:color w:val="000000"/>
          <w:sz w:val="20"/>
        </w:rPr>
        <w:t>Item 2. Unregistered Sales of Equity Securities and Use of Proceeds.</w:t>
      </w:r>
    </w:p>
    <w:p>
      <w:pPr>
        <w:pStyle w:val="TextBody"/>
        <w:bidi w:val="0"/>
        <w:spacing w:before="108" w:after="283"/>
        <w:jc w:val="left"/>
        <w:rPr>
          <w:rFonts w:ascii="Times New Roman" w:hAnsi="Times New Roman"/>
          <w:b/>
          <w:i/>
          <w:color w:val="000000"/>
          <w:sz w:val="20"/>
        </w:rPr>
      </w:pPr>
      <w:r>
        <w:rPr>
          <w:rFonts w:ascii="Times New Roman" w:hAnsi="Times New Roman"/>
          <w:b/>
          <w:i/>
          <w:color w:val="000000"/>
          <w:sz w:val="20"/>
        </w:rPr>
        <w:t>Recent Sales of Unregistered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08" w:after="283"/>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0" w:name="item_5_other_information"/>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0"/>
        <w:gridCol w:w="146"/>
        <w:gridCol w:w="9299"/>
      </w:tblGrid>
      <w:tr>
        <w:trPr/>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9" w:type="dxa"/>
            <w:tcBorders/>
            <w:vAlign w:val="center"/>
          </w:tcPr>
          <w:p>
            <w:pPr>
              <w:pStyle w:val="TableContents"/>
              <w:bidi w:val="0"/>
              <w:spacing w:before="0" w:after="283"/>
              <w:jc w:val="left"/>
              <w:rPr>
                <w:sz w:val="4"/>
                <w:szCs w:val="4"/>
              </w:rPr>
            </w:pPr>
            <w:r>
              <w:rPr>
                <w:sz w:val="4"/>
                <w:szCs w:val="4"/>
              </w:rPr>
            </w:r>
          </w:p>
        </w:tc>
      </w:tr>
      <w:tr>
        <w:trPr/>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Hadron Energy, Inc. (incorporated by reference to Exhibit 3.1 to Current Report on Form 8-K filed with the SEC on June 1, 2026).</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Hadron Energy, Inc. (incorporated by reference to Exhibit 3.2 to Current Report on Form 8-K filed with the SEC on June 1, 2026).</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Common Stock Certificate (incorporated by reference to Exhibit 4.1 to Registration Statement on Form S-8 filed with the SEC on August 3, 2026).</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Warrant Agreement, dated August 28, 2024, by and between the Company and Continental Stock Transfer &amp; Trust Company, LLC (incorporated by reference to Exhibit 4.1 to the Current Report on Form 8-K filed with the SEC on September 3, 2024).</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Insider Letter Agreement, dated August 28, 2024, by and among Hadron Energy, Inc., its directors and officers, and GigAcquisitions7 Corp. (incorporated by reference to Exhibit 10.1 to the Current Report on Form 8-K filed with the SEC on September 3, 2024).</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Registration Rights Agreement, dated May 22, 2026, by and among Hadron Energy, Inc., GigAcquisitions7 Corp. and certain stockholders (incorporated by reference to Exhibit 10.1 to the Current Report on Form 8-K filed with the SEC on May 28, 2026).</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Sponsor Support Agreement, dated September 27, 2025, by and among GigCapital7 Corp., GigAcquisitions7 Corp. and Hadron Energy, Inc. (incorporated by reference to Exhibit 10.1 to the Current Report on Form 8-K filed with the SEC on September 29, 2025).</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Lock-Up Agreement, dated May 22, 2026, by and among Hadron Energy, Inc., Hadron Energy Operating Company Inc. and the Lock-Up Parties listed therein (incorporated by reference to Exhibit 10.2 to the Current Report on Form 8-K filed with the SEC on May 28, 2026).</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2026 Equity Incentive Plan (incorporated by reference to Exhibit 10.2 to the Current Report on Form 8-K filed with the SEC on June 1, 2026).</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Forward Purchase Agreement (incorporated by reference to Exhibit 10.2 to the Current Report on Form 8-K filed with the SEC on May 7, 2026).</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Non-Redemption Agreement (incorporated by reference to Exhibit 10.1 to the Current Report on Form 8-K filed with the SEC on May 1, 2026).</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1951"/>
        <w:gridCol w:w="109"/>
        <w:gridCol w:w="631"/>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HADRON ENERGY,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Samuel Gibson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Samuel Gibson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7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5144" w:type="dxa"/>
        <w:jc w:val="left"/>
        <w:tblInd w:w="0" w:type="dxa"/>
        <w:tblLayout w:type="fixed"/>
        <w:tblCellMar>
          <w:top w:w="28" w:type="dxa"/>
          <w:left w:w="28" w:type="dxa"/>
          <w:bottom w:w="28" w:type="dxa"/>
          <w:right w:w="28" w:type="dxa"/>
        </w:tblCellMar>
      </w:tblPr>
      <w:tblGrid>
        <w:gridCol w:w="1951"/>
        <w:gridCol w:w="146"/>
        <w:gridCol w:w="631"/>
        <w:gridCol w:w="241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Rahul Shukla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Rahul Shukla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1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Samuel Gibson,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10-Q of Hadron Energy,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33" w:type="dxa"/>
        <w:jc w:val="left"/>
        <w:tblInd w:w="0" w:type="dxa"/>
        <w:tblLayout w:type="fixed"/>
        <w:tblCellMar>
          <w:top w:w="28" w:type="dxa"/>
          <w:left w:w="28" w:type="dxa"/>
          <w:bottom w:w="28" w:type="dxa"/>
          <w:right w:w="28" w:type="dxa"/>
        </w:tblCellMar>
      </w:tblPr>
      <w:tblGrid>
        <w:gridCol w:w="1951"/>
        <w:gridCol w:w="40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Samuel Gibson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Samuel Gibson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Rahul Shukla,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10-Q of Hadron Energy,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73" w:type="dxa"/>
        <w:jc w:val="left"/>
        <w:tblInd w:w="0" w:type="dxa"/>
        <w:tblLayout w:type="fixed"/>
        <w:tblCellMar>
          <w:top w:w="28" w:type="dxa"/>
          <w:left w:w="28" w:type="dxa"/>
          <w:bottom w:w="28" w:type="dxa"/>
          <w:right w:w="28" w:type="dxa"/>
        </w:tblCellMar>
      </w:tblPr>
      <w:tblGrid>
        <w:gridCol w:w="1951"/>
        <w:gridCol w:w="406"/>
        <w:gridCol w:w="241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Rahul Shukla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Rahul Shukla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Hadron Energy,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both"/>
        <w:rPr/>
      </w:pPr>
      <w:r>
        <w:rPr/>
        <w:t> </w:t>
      </w:r>
    </w:p>
    <w:tbl>
      <w:tblPr>
        <w:tblW w:w="4979" w:type="dxa"/>
        <w:jc w:val="left"/>
        <w:tblInd w:w="0" w:type="dxa"/>
        <w:tblLayout w:type="fixed"/>
        <w:tblCellMar>
          <w:top w:w="28" w:type="dxa"/>
          <w:left w:w="28" w:type="dxa"/>
          <w:bottom w:w="28" w:type="dxa"/>
          <w:right w:w="28" w:type="dxa"/>
        </w:tblCellMar>
      </w:tblPr>
      <w:tblGrid>
        <w:gridCol w:w="1951"/>
        <w:gridCol w:w="146"/>
        <w:gridCol w:w="40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Samuel Gibson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Samuel Gibson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Hadron Energy,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both"/>
        <w:rPr/>
      </w:pPr>
      <w:r>
        <w:rPr/>
        <w:t> </w:t>
      </w:r>
    </w:p>
    <w:tbl>
      <w:tblPr>
        <w:tblW w:w="4919" w:type="dxa"/>
        <w:jc w:val="left"/>
        <w:tblInd w:w="0" w:type="dxa"/>
        <w:tblLayout w:type="fixed"/>
        <w:tblCellMar>
          <w:top w:w="28" w:type="dxa"/>
          <w:left w:w="28" w:type="dxa"/>
          <w:bottom w:w="28" w:type="dxa"/>
          <w:right w:w="28" w:type="dxa"/>
        </w:tblCellMar>
      </w:tblPr>
      <w:tblGrid>
        <w:gridCol w:w="1951"/>
        <w:gridCol w:w="146"/>
        <w:gridCol w:w="406"/>
        <w:gridCol w:w="241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Rahul Shukla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Rahul Shukla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23730/000119312526249151/d26249dex31.htm" TargetMode="External"/><Relationship Id="rId3" Type="http://schemas.openxmlformats.org/officeDocument/2006/relationships/hyperlink" Target="https://www.sec.gov/Archives/edgar/data/2023730/000119312526249151/d26249dex32.htm" TargetMode="External"/><Relationship Id="rId4" Type="http://schemas.openxmlformats.org/officeDocument/2006/relationships/hyperlink" Target="https://www.sec.gov/Archives/edgar/data/2023730/000119312526330538/d148261dex41.htm" TargetMode="External"/><Relationship Id="rId5" Type="http://schemas.openxmlformats.org/officeDocument/2006/relationships/hyperlink" Target="https://www.sec.gov/Archives/edgar/data/2023730/000119312524212131/d890800dex41.htm" TargetMode="External"/><Relationship Id="rId6" Type="http://schemas.openxmlformats.org/officeDocument/2006/relationships/hyperlink" Target="https://www.sec.gov/Archives/edgar/data/2023730/000119312524212131/d890800dex101.htm" TargetMode="External"/><Relationship Id="rId7" Type="http://schemas.openxmlformats.org/officeDocument/2006/relationships/hyperlink" Target="https://www.sec.gov/Archives/edgar/data/2023730/000119312526242343/d23892dex101.htm" TargetMode="External"/><Relationship Id="rId8" Type="http://schemas.openxmlformats.org/officeDocument/2006/relationships/hyperlink" Target="https://www.sec.gov/Archives/edgar/data/2023730/000119312525221780/d63557dex101.htm" TargetMode="External"/><Relationship Id="rId9" Type="http://schemas.openxmlformats.org/officeDocument/2006/relationships/hyperlink" Target="https://www.sec.gov/Archives/edgar/data/2023730/000119312526242343/d23892dex102.htm" TargetMode="External"/><Relationship Id="rId10" Type="http://schemas.openxmlformats.org/officeDocument/2006/relationships/hyperlink" Target="https://www.sec.gov/Archives/edgar/data/2023730/000119312526249151/d26249dex102.htm" TargetMode="External"/><Relationship Id="rId11" Type="http://schemas.openxmlformats.org/officeDocument/2006/relationships/hyperlink" Target="https://www.sec.gov/Archives/edgar/data/2023730/000119312526211817/d152235dex102.htm" TargetMode="External"/><Relationship Id="rId12" Type="http://schemas.openxmlformats.org/officeDocument/2006/relationships/hyperlink" Target="https://www.sec.gov/Archives/edgar/data/2023730/000119312526201664/d72539dex101.htm" TargetMode="External"/><Relationship Id="rId13" Type="http://schemas.openxmlformats.org/officeDocument/2006/relationships/hyperlink" Target="https://www.sec.gov/Archives/edgar/data/2023730/000119312526346814/hdrn-ex31_1.htm" TargetMode="External"/><Relationship Id="rId14" Type="http://schemas.openxmlformats.org/officeDocument/2006/relationships/hyperlink" Target="https://www.sec.gov/Archives/edgar/data/2023730/000119312526346814/hdrn-ex31_2.htm" TargetMode="External"/><Relationship Id="rId15" Type="http://schemas.openxmlformats.org/officeDocument/2006/relationships/hyperlink" Target="https://www.sec.gov/Archives/edgar/data/2023730/000119312526346814/hdrn-ex32_1.htm" TargetMode="External"/><Relationship Id="rId16" Type="http://schemas.openxmlformats.org/officeDocument/2006/relationships/hyperlink" Target="https://www.sec.gov/Archives/edgar/data/2023730/000119312526346814/hdrn-ex32_2.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19017</Words>
  <Characters>103596</Characters>
  <CharactersWithSpaces>122968</CharactersWithSpaces>
  <Paragraphs>3556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