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6485d8k.htm"/>
      <w:bookmarkStart w:id="1" w:name="ksd12648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Hadron Energy,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160" w:type="dxa"/>
        <w:jc w:val="left"/>
        <w:tblInd w:w="0" w:type="dxa"/>
        <w:tblLayout w:type="fixed"/>
        <w:tblCellMar>
          <w:top w:w="0" w:type="dxa"/>
          <w:left w:w="0" w:type="dxa"/>
          <w:bottom w:w="0" w:type="dxa"/>
          <w:right w:w="0" w:type="dxa"/>
        </w:tblCellMar>
      </w:tblPr>
      <w:tblGrid>
        <w:gridCol w:w="2285"/>
        <w:gridCol w:w="60"/>
        <w:gridCol w:w="13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001-42262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33-4336458</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3 Twin Dolphin Drive, Ste 260</w:t>
      </w:r>
    </w:p>
    <w:p>
      <w:pPr>
        <w:pStyle w:val="TextBody"/>
        <w:bidi w:val="0"/>
        <w:spacing w:before="0" w:after="0"/>
        <w:jc w:val="center"/>
        <w:rPr>
          <w:rFonts w:ascii="Times New Roman" w:hAnsi="Times New Roman"/>
          <w:b/>
          <w:sz w:val="20"/>
        </w:rPr>
      </w:pPr>
      <w:r>
        <w:rPr>
          <w:rFonts w:ascii="Times New Roman" w:hAnsi="Times New Roman"/>
          <w:b/>
          <w:sz w:val="20"/>
        </w:rPr>
        <w:t>Redwood City, CA 94065</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276-7040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6"/>
        <w:gridCol w:w="60"/>
        <w:gridCol w:w="950"/>
        <w:gridCol w:w="60"/>
        <w:gridCol w:w="2039"/>
      </w:tblGrid>
      <w:tr>
        <w:trPr/>
        <w:tc>
          <w:tcPr>
            <w:tcW w:w="7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709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0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7096"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r>
        <w:trPr/>
        <w:tc>
          <w:tcPr>
            <w:tcW w:w="7096" w:type="dxa"/>
            <w:tcBorders/>
            <w:vAlign w:val="center"/>
          </w:tcPr>
          <w:p>
            <w:pPr>
              <w:pStyle w:val="TableContents"/>
              <w:bidi w:val="0"/>
              <w:spacing w:before="0" w:after="283"/>
              <w:jc w:val="center"/>
              <w:rPr/>
            </w:pPr>
            <w:r>
              <w:rPr/>
              <w:t>Redeemable warrants, each full warrant exercisable for one share of Common Stock at an exercise price of $11.50 per share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HDRNW</w:t>
            </w:r>
          </w:p>
        </w:tc>
        <w:tc>
          <w:tcPr>
            <w:tcW w:w="60"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Form of RSU Documents </w:t>
      </w:r>
    </w:p>
    <w:p>
      <w:pPr>
        <w:pStyle w:val="TextBody"/>
        <w:bidi w:val="0"/>
        <w:spacing w:before="120" w:after="0"/>
        <w:jc w:val="left"/>
        <w:rPr>
          <w:rFonts w:ascii="Times New Roman" w:hAnsi="Times New Roman"/>
          <w:sz w:val="20"/>
        </w:rPr>
      </w:pPr>
      <w:r>
        <w:rPr>
          <w:rFonts w:ascii="Times New Roman" w:hAnsi="Times New Roman"/>
          <w:sz w:val="20"/>
        </w:rPr>
        <w:t>As previously reported in the Current Report on Form 8-K filed with the SEC on May 8, 2026, at an extraordinary general meeting, the shareholders of GigCapital7 Corp. (now known as Hadron Energy, Inc.) approved the Hadron Energy, Inc. 2026 Equity Incentive Plan (the “</w:t>
      </w:r>
      <w:r>
        <w:rPr>
          <w:rFonts w:ascii="Times New Roman" w:hAnsi="Times New Roman"/>
          <w:b/>
          <w:i/>
          <w:sz w:val="20"/>
        </w:rPr>
        <w:t>Plan</w:t>
      </w:r>
      <w:r>
        <w:rPr>
          <w:rFonts w:ascii="Times New Roman" w:hAnsi="Times New Roman"/>
          <w:sz w:val="20"/>
        </w:rPr>
        <w:t xml:space="preserve">”) and reserved 10,021,784 shares of common stock for issuance thereunder. </w:t>
      </w:r>
    </w:p>
    <w:p>
      <w:pPr>
        <w:pStyle w:val="TextBody"/>
        <w:bidi w:val="0"/>
        <w:spacing w:before="240" w:after="0"/>
        <w:jc w:val="left"/>
        <w:rPr>
          <w:rFonts w:ascii="Times New Roman" w:hAnsi="Times New Roman"/>
          <w:sz w:val="20"/>
        </w:rPr>
      </w:pPr>
      <w:r>
        <w:rPr>
          <w:rFonts w:ascii="Times New Roman" w:hAnsi="Times New Roman"/>
          <w:sz w:val="20"/>
        </w:rPr>
        <w:t>In connection with the approval of the Plan, the Compensation Committee (the “</w:t>
      </w:r>
      <w:r>
        <w:rPr>
          <w:rFonts w:ascii="Times New Roman" w:hAnsi="Times New Roman"/>
          <w:b/>
          <w:i/>
          <w:sz w:val="20"/>
        </w:rPr>
        <w:t>Compensation Committee</w:t>
      </w:r>
      <w:r>
        <w:rPr>
          <w:rFonts w:ascii="Times New Roman" w:hAnsi="Times New Roman"/>
          <w:sz w:val="20"/>
        </w:rPr>
        <w:t>”) of the Board of Directors (the “</w:t>
      </w:r>
      <w:r>
        <w:rPr>
          <w:rFonts w:ascii="Times New Roman" w:hAnsi="Times New Roman"/>
          <w:b/>
          <w:i/>
          <w:sz w:val="20"/>
        </w:rPr>
        <w:t>Board</w:t>
      </w:r>
      <w:r>
        <w:rPr>
          <w:rFonts w:ascii="Times New Roman" w:hAnsi="Times New Roman"/>
          <w:sz w:val="20"/>
        </w:rPr>
        <w:t>”) of Hadron Energy, Inc. (the “</w:t>
      </w:r>
      <w:r>
        <w:rPr>
          <w:rFonts w:ascii="Times New Roman" w:hAnsi="Times New Roman"/>
          <w:b/>
          <w:i/>
          <w:sz w:val="20"/>
        </w:rPr>
        <w:t>Company</w:t>
      </w:r>
      <w:r>
        <w:rPr>
          <w:rFonts w:ascii="Times New Roman" w:hAnsi="Times New Roman"/>
          <w:sz w:val="20"/>
        </w:rPr>
        <w:t>”) has adopted a Form of Restricted Stock Units Agreement (the “</w:t>
      </w:r>
      <w:r>
        <w:rPr>
          <w:rFonts w:ascii="Times New Roman" w:hAnsi="Times New Roman"/>
          <w:b/>
          <w:i/>
          <w:sz w:val="20"/>
        </w:rPr>
        <w:t>Form RSU Agreement</w:t>
      </w:r>
      <w:r>
        <w:rPr>
          <w:rFonts w:ascii="Times New Roman" w:hAnsi="Times New Roman"/>
          <w:sz w:val="20"/>
        </w:rPr>
        <w:t>”), a Form of Notice of Grant of Restricted Stock Units (U.S. Participants) (the “</w:t>
      </w:r>
      <w:r>
        <w:rPr>
          <w:rFonts w:ascii="Times New Roman" w:hAnsi="Times New Roman"/>
          <w:b/>
          <w:i/>
          <w:sz w:val="20"/>
        </w:rPr>
        <w:t>Form of</w:t>
      </w:r>
      <w:r>
        <w:rPr>
          <w:rFonts w:ascii="Times New Roman" w:hAnsi="Times New Roman"/>
          <w:sz w:val="20"/>
        </w:rPr>
        <w:t xml:space="preserve"> </w:t>
      </w:r>
      <w:r>
        <w:rPr>
          <w:rFonts w:ascii="Times New Roman" w:hAnsi="Times New Roman"/>
          <w:b/>
          <w:i/>
          <w:sz w:val="20"/>
        </w:rPr>
        <w:t>Participant Notice</w:t>
      </w:r>
      <w:r>
        <w:rPr>
          <w:rFonts w:ascii="Times New Roman" w:hAnsi="Times New Roman"/>
          <w:sz w:val="20"/>
        </w:rPr>
        <w:t>”) and a Form of Notice of Grant of Restricted Stock Units (U.S. Participants – Non-Employee Directors) (the “</w:t>
      </w:r>
      <w:r>
        <w:rPr>
          <w:rFonts w:ascii="Times New Roman" w:hAnsi="Times New Roman"/>
          <w:b/>
          <w:i/>
          <w:sz w:val="20"/>
        </w:rPr>
        <w:t>Form of Director Notice</w:t>
      </w:r>
      <w:r>
        <w:rPr>
          <w:rFonts w:ascii="Times New Roman" w:hAnsi="Times New Roman"/>
          <w:sz w:val="20"/>
        </w:rPr>
        <w:t>” and together with the Form of Participant Notice and the Form RSU Agreement, the “</w:t>
      </w:r>
      <w:r>
        <w:rPr>
          <w:rFonts w:ascii="Times New Roman" w:hAnsi="Times New Roman"/>
          <w:b/>
          <w:i/>
          <w:sz w:val="20"/>
        </w:rPr>
        <w:t>Form</w:t>
      </w:r>
      <w:r>
        <w:rPr>
          <w:rFonts w:ascii="Times New Roman" w:hAnsi="Times New Roman"/>
          <w:sz w:val="20"/>
        </w:rPr>
        <w:t xml:space="preserve"> </w:t>
      </w:r>
      <w:r>
        <w:rPr>
          <w:rFonts w:ascii="Times New Roman" w:hAnsi="Times New Roman"/>
          <w:b/>
          <w:i/>
          <w:sz w:val="20"/>
        </w:rPr>
        <w:t>RSU Documents</w:t>
      </w:r>
      <w:r>
        <w:rPr>
          <w:rFonts w:ascii="Times New Roman" w:hAnsi="Times New Roman"/>
          <w:sz w:val="20"/>
        </w:rPr>
        <w:t xml:space="preserve">”) that the Company will use for grants under its Plan. The Form RSU Agreement provides that restricted stock units will vest over a fixed period and be paid as shares of common stock, and unvested restricted stock units will expire upon certain terminations of the grantees’ employment or relationship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Form RSU Documents is qualified in its entirety by reference to the Form RSU Documents, which are attached hereto as Exhibits 10.1, 10.2 and 10.3,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EVP of Engineering Restricted Stock Unit Grant </w:t>
      </w:r>
    </w:p>
    <w:p>
      <w:pPr>
        <w:pStyle w:val="TextBody"/>
        <w:bidi w:val="0"/>
        <w:spacing w:before="120" w:after="0"/>
        <w:jc w:val="left"/>
        <w:rPr>
          <w:rFonts w:ascii="Times New Roman" w:hAnsi="Times New Roman"/>
          <w:sz w:val="20"/>
        </w:rPr>
      </w:pPr>
      <w:r>
        <w:rPr>
          <w:rFonts w:ascii="Times New Roman" w:hAnsi="Times New Roman"/>
          <w:sz w:val="20"/>
        </w:rPr>
        <w:t>On September 2, 2026 (the “</w:t>
      </w:r>
      <w:r>
        <w:rPr>
          <w:rFonts w:ascii="Times New Roman" w:hAnsi="Times New Roman"/>
          <w:b/>
          <w:i/>
          <w:sz w:val="20"/>
        </w:rPr>
        <w:t>Approval Date</w:t>
      </w:r>
      <w:r>
        <w:rPr>
          <w:rFonts w:ascii="Times New Roman" w:hAnsi="Times New Roman"/>
          <w:sz w:val="20"/>
        </w:rPr>
        <w:t>”), the Board, upon the recommendation of the Compensation Committee, approved a grant of 750,000 Restricted Stock Units (“</w:t>
      </w:r>
      <w:r>
        <w:rPr>
          <w:rFonts w:ascii="Times New Roman" w:hAnsi="Times New Roman"/>
          <w:b/>
          <w:i/>
          <w:sz w:val="20"/>
        </w:rPr>
        <w:t>RSUs</w:t>
      </w:r>
      <w:r>
        <w:rPr>
          <w:rFonts w:ascii="Times New Roman" w:hAnsi="Times New Roman"/>
          <w:sz w:val="20"/>
        </w:rPr>
        <w:t>”) to its Executive Vice President of Engineering, Eric Williams, under the Plan (the “</w:t>
      </w:r>
      <w:r>
        <w:rPr>
          <w:rFonts w:ascii="Times New Roman" w:hAnsi="Times New Roman"/>
          <w:b/>
          <w:i/>
          <w:sz w:val="20"/>
        </w:rPr>
        <w:t>Williams Grant</w:t>
      </w:r>
      <w:r>
        <w:rPr>
          <w:rFonts w:ascii="Times New Roman" w:hAnsi="Times New Roman"/>
          <w:sz w:val="20"/>
        </w:rPr>
        <w:t xml:space="preserve">”). The Williams Grant is subject to the terms of the Plan and has been made using the Company’s Form RSU Agreement and Form of Participant Notice. Twenty-five percent of the Williams Grant will vest on November 15, 2027, and the remaining seventy-five percent will vest in twelve equal quarterly installments on February 15, May 15, August 15, and November 15, such that the Williams Grant will be fully vested on November 15, 2030, subject to Mr. Williams’s continued services with the Company through the applicable vesting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Chief Financial Officer Restricted Stock Unit Grant </w:t>
      </w:r>
    </w:p>
    <w:p>
      <w:pPr>
        <w:pStyle w:val="TextBody"/>
        <w:bidi w:val="0"/>
        <w:spacing w:before="120" w:after="0"/>
        <w:jc w:val="left"/>
        <w:rPr>
          <w:rFonts w:ascii="Times New Roman" w:hAnsi="Times New Roman"/>
          <w:sz w:val="20"/>
        </w:rPr>
      </w:pPr>
      <w:r>
        <w:rPr>
          <w:rFonts w:ascii="Times New Roman" w:hAnsi="Times New Roman"/>
          <w:sz w:val="20"/>
        </w:rPr>
        <w:t>Also on the Approval Date, the Board, upon the recommendation of the Compensation Committee, approved a grant to the Company’s Chief Financial Officer, Rahul Shukla, under the Plan of 500,000 RSUs (the “</w:t>
      </w:r>
      <w:r>
        <w:rPr>
          <w:rFonts w:ascii="Times New Roman" w:hAnsi="Times New Roman"/>
          <w:b/>
          <w:i/>
          <w:sz w:val="20"/>
        </w:rPr>
        <w:t>Shukla Grant</w:t>
      </w:r>
      <w:r>
        <w:rPr>
          <w:rFonts w:ascii="Times New Roman" w:hAnsi="Times New Roman"/>
          <w:sz w:val="20"/>
        </w:rPr>
        <w:t xml:space="preserve">”). The Shukla Grant is subject to the terms of the Plan and has been made using the Company’s Form RSU Agreement and Form of Participant Notice. Twenty-five percent of the Shukla Grant will vest on November 15, 2027, and the remaining seventy-five percent will vest in twelve equal quarterly installments on February 15, May 15, August 15, and November 15, such that the Shukla Grant will be fully vested on November 15, 2030, subject to Mr. Shukla’s continued services with the Company through the applicable vesting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Chief Operating Officer Restricted Stock Unit Grant </w:t>
      </w:r>
    </w:p>
    <w:p>
      <w:pPr>
        <w:pStyle w:val="TextBody"/>
        <w:bidi w:val="0"/>
        <w:spacing w:before="120" w:after="0"/>
        <w:jc w:val="left"/>
        <w:rPr>
          <w:rFonts w:ascii="Times New Roman" w:hAnsi="Times New Roman"/>
          <w:sz w:val="20"/>
        </w:rPr>
      </w:pPr>
      <w:r>
        <w:rPr>
          <w:rFonts w:ascii="Times New Roman" w:hAnsi="Times New Roman"/>
          <w:sz w:val="20"/>
        </w:rPr>
        <w:t>Also on the Approval Date, the Board, upon the recommendation of the Compensation Committee, approved a grant to the Company’s Chief Operating Officer, Kenneth Canavan, under the Plan of 500,000 RSUs (the “</w:t>
      </w:r>
      <w:r>
        <w:rPr>
          <w:rFonts w:ascii="Times New Roman" w:hAnsi="Times New Roman"/>
          <w:b/>
          <w:i/>
          <w:sz w:val="20"/>
        </w:rPr>
        <w:t>Canavan Grant</w:t>
      </w:r>
      <w:r>
        <w:rPr>
          <w:rFonts w:ascii="Times New Roman" w:hAnsi="Times New Roman"/>
          <w:sz w:val="20"/>
        </w:rPr>
        <w:t xml:space="preserve">”). The Canavan Grant is subject to the terms of the Plan and has been made using the Company’s Form RSU Agreement and Form of Participant Notice. Twenty-five percent of the Canavan Grant will vest on November 15, 2027, and the remaining seventy-five percent will vest in twelve equal quarterly installments on February 15, May 15, August 15, and November 15, such that the Canavan Grant will be fully vested on November 15, 2030, subject to Mr. Canavan’s continued services with the Company through the applicable vesting dates.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85"/>
        <w:gridCol w:w="120"/>
        <w:gridCol w:w="926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b/>
              </w:rPr>
            </w:pPr>
            <w:r>
              <w:rPr>
                <w:b/>
              </w:rPr>
              <w:t>Item</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26485dex101.htm">
              <w:r>
                <w:rPr>
                  <w:rStyle w:val="InternetLink"/>
                </w:rPr>
                <w:t xml:space="preserve">Form of Restricted Stock Units Agreement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26485dex102.htm">
              <w:r>
                <w:rPr>
                  <w:rStyle w:val="InternetLink"/>
                </w:rPr>
                <w:t xml:space="preserve">Form of Notice of Grant of Restricted Stock Units (U.S. Participants)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hyperlink w:anchor="d126485dex103.htm">
              <w:r>
                <w:rPr>
                  <w:rStyle w:val="InternetLink"/>
                </w:rPr>
                <w:t xml:space="preserve">Form of Notice of Grant of Restricted Stock Units (U.S. Participants – Non-Employee Directors)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38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lineRule="atLeast" w:line="160" w:before="0" w:after="40"/>
        <w:jc w:val="left"/>
        <w:rPr>
          <w:bdr w:val="single" w:sz="2" w:space="1" w:color="000000"/>
        </w:rPr>
      </w:pPr>
      <w:r>
        <w:rPr>
          <w:bdr w:val="single" w:sz="2" w:space="1" w:color="000000"/>
        </w:rPr>
        <w:t> </w:t>
      </w:r>
    </w:p>
    <w:tbl>
      <w:tblPr>
        <w:tblW w:w="6745" w:type="dxa"/>
        <w:jc w:val="left"/>
        <w:tblInd w:w="0" w:type="dxa"/>
        <w:tblLayout w:type="fixed"/>
        <w:tblCellMar>
          <w:top w:w="0" w:type="dxa"/>
          <w:left w:w="0" w:type="dxa"/>
          <w:bottom w:w="0" w:type="dxa"/>
          <w:right w:w="0" w:type="dxa"/>
        </w:tblCellMar>
      </w:tblPr>
      <w:tblGrid>
        <w:gridCol w:w="155"/>
        <w:gridCol w:w="6590"/>
      </w:tblGrid>
      <w:tr>
        <w:trPr/>
        <w:tc>
          <w:tcPr>
            <w:tcW w:w="155"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a management contract or compensatory plan, contract or arrangement.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94" w:type="dxa"/>
        <w:jc w:val="left"/>
        <w:tblInd w:w="0" w:type="dxa"/>
        <w:tblLayout w:type="fixed"/>
        <w:tblCellMar>
          <w:top w:w="0" w:type="dxa"/>
          <w:left w:w="0" w:type="dxa"/>
          <w:bottom w:w="0" w:type="dxa"/>
          <w:right w:w="0" w:type="dxa"/>
        </w:tblCellMar>
      </w:tblPr>
      <w:tblGrid>
        <w:gridCol w:w="785"/>
        <w:gridCol w:w="1241"/>
        <w:gridCol w:w="483"/>
        <w:gridCol w:w="60"/>
        <w:gridCol w:w="365"/>
        <w:gridCol w:w="60"/>
        <w:gridCol w:w="2300"/>
      </w:tblGrid>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Hadron Energy, Inc.</w:t>
            </w:r>
          </w:p>
        </w:tc>
      </w:tr>
      <w:tr>
        <w:trPr/>
        <w:tc>
          <w:tcPr>
            <w:tcW w:w="2509" w:type="dxa"/>
            <w:gridSpan w:val="3"/>
            <w:tcBorders/>
            <w:vAlign w:val="center"/>
          </w:tcPr>
          <w:p>
            <w:pPr>
              <w:pStyle w:val="TableContents"/>
              <w:bidi w:val="0"/>
              <w:spacing w:before="0" w:after="283"/>
              <w:jc w:val="left"/>
              <w:rPr/>
            </w:pPr>
            <w:r>
              <w:rPr/>
              <w:t>Dated: September 8, 2026</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sz w:val="4"/>
                <w:szCs w:val="4"/>
              </w:rPr>
            </w:pPr>
            <w:r>
              <w:rPr>
                <w:sz w:val="4"/>
                <w:szCs w:val="4"/>
              </w:rPr>
            </w:r>
          </w:p>
        </w:tc>
        <w:tc>
          <w:tcPr>
            <w:tcW w:w="1724"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Gibson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pPr>
            <w:r>
              <w:rPr/>
              <w:t> </w:t>
            </w:r>
          </w:p>
        </w:tc>
        <w:tc>
          <w:tcPr>
            <w:tcW w:w="4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26485dex101.htm"/>
      <w:bookmarkStart w:id="3" w:name="ksd126485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UNITS AGREEMENT </w:t>
      </w:r>
    </w:p>
    <w:p>
      <w:pPr>
        <w:pStyle w:val="TextBody"/>
        <w:bidi w:val="0"/>
        <w:spacing w:before="240" w:after="0"/>
        <w:jc w:val="left"/>
        <w:rPr>
          <w:rFonts w:ascii="Times New Roman" w:hAnsi="Times New Roman"/>
          <w:sz w:val="20"/>
        </w:rPr>
      </w:pPr>
      <w:r>
        <w:rPr>
          <w:rFonts w:ascii="Times New Roman" w:hAnsi="Times New Roman"/>
          <w:sz w:val="20"/>
        </w:rPr>
        <w:t>Hadron Energy, Inc., a Delaware corporation (the “</w:t>
      </w:r>
      <w:r>
        <w:rPr>
          <w:rFonts w:ascii="Times New Roman" w:hAnsi="Times New Roman"/>
          <w:b/>
          <w:i/>
          <w:sz w:val="20"/>
        </w:rPr>
        <w:t>Company</w:t>
      </w:r>
      <w:r>
        <w:rPr>
          <w:rFonts w:ascii="Times New Roman" w:hAnsi="Times New Roman"/>
          <w:sz w:val="20"/>
        </w:rPr>
        <w:t xml:space="preserve">”), has granted to the Participant named in the </w:t>
      </w:r>
      <w:r>
        <w:rPr>
          <w:rFonts w:ascii="Times New Roman" w:hAnsi="Times New Roman"/>
          <w:i/>
          <w:sz w:val="20"/>
        </w:rPr>
        <w:t>Notice of Grant of Restricted Stock Units</w:t>
      </w:r>
      <w:r>
        <w:rPr>
          <w:rFonts w:ascii="Times New Roman" w:hAnsi="Times New Roman"/>
          <w:sz w:val="20"/>
        </w:rPr>
        <w:t xml:space="preserve"> (the “</w:t>
      </w:r>
      <w:r>
        <w:rPr>
          <w:rFonts w:ascii="Times New Roman" w:hAnsi="Times New Roman"/>
          <w:b/>
          <w:i/>
          <w:sz w:val="20"/>
        </w:rPr>
        <w:t>Grant Notice</w:t>
      </w:r>
      <w:r>
        <w:rPr>
          <w:rFonts w:ascii="Times New Roman" w:hAnsi="Times New Roman"/>
          <w:sz w:val="20"/>
        </w:rPr>
        <w:t>”) to which this Restricted Stock Units Agreement (the “</w:t>
      </w:r>
      <w:r>
        <w:rPr>
          <w:rFonts w:ascii="Times New Roman" w:hAnsi="Times New Roman"/>
          <w:b/>
          <w:i/>
          <w:sz w:val="20"/>
        </w:rPr>
        <w:t>Agreement</w:t>
      </w:r>
      <w:r>
        <w:rPr>
          <w:rFonts w:ascii="Times New Roman" w:hAnsi="Times New Roman"/>
          <w:sz w:val="20"/>
        </w:rPr>
        <w:t>”) is attached an Award consisting of Restricted Stock Units (each a “</w:t>
      </w:r>
      <w:r>
        <w:rPr>
          <w:rFonts w:ascii="Times New Roman" w:hAnsi="Times New Roman"/>
          <w:b/>
          <w:i/>
          <w:sz w:val="20"/>
        </w:rPr>
        <w:t>Unit</w:t>
      </w:r>
      <w:r>
        <w:rPr>
          <w:rFonts w:ascii="Times New Roman" w:hAnsi="Times New Roman"/>
          <w:sz w:val="20"/>
        </w:rPr>
        <w:t>”) subject to the terms and conditions set forth in the Grant Notice and this Agreement. The Award has been granted pursuant to and shall in all respects be subject to the terms and conditions of the Hadron Energy, Inc. 2026 Equity Incentive Plan (the “</w:t>
      </w:r>
      <w:r>
        <w:rPr>
          <w:rFonts w:ascii="Times New Roman" w:hAnsi="Times New Roman"/>
          <w:b/>
          <w:i/>
          <w:sz w:val="20"/>
        </w:rPr>
        <w:t>Plan</w:t>
      </w:r>
      <w:r>
        <w:rPr>
          <w:rFonts w:ascii="Times New Roman" w:hAnsi="Times New Roman"/>
          <w:sz w:val="20"/>
        </w:rPr>
        <w:t>”), as amended,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b/>
          <w:i/>
          <w:sz w:val="20"/>
        </w:rPr>
        <w:t>Plan Prospectus</w:t>
      </w:r>
      <w:r>
        <w:rPr>
          <w:rFonts w:ascii="Times New Roman" w:hAnsi="Times New Roman"/>
          <w:sz w:val="20"/>
        </w:rPr>
        <w:t xml:space="preserve">”),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 AND CONSTRUCTION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Definitions</w:t>
      </w:r>
      <w:r>
        <w:rPr>
          <w:rFonts w:ascii="Times New Roman" w:hAnsi="Times New Roman"/>
          <w:b/>
          <w:i/>
          <w:sz w:val="20"/>
        </w:rPr>
        <w:t>.</w:t>
      </w:r>
      <w:r>
        <w:rPr>
          <w:rFonts w:ascii="Times New Roman" w:hAnsi="Times New Roman"/>
          <w:sz w:val="20"/>
        </w:rPr>
        <w:t xml:space="preserve"> Unless otherwise defined herein, capitalized terms shall have the meanings assigned to such terms in the Grant Notice or the Plan.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Construction</w:t>
      </w:r>
      <w:r>
        <w:rPr>
          <w:rFonts w:ascii="Times New Roman" w:hAnsi="Times New Roman"/>
          <w:b/>
          <w:i/>
          <w:sz w:val="20"/>
        </w:rPr>
        <w:t>.</w:t>
      </w:r>
      <w:r>
        <w:rPr>
          <w:rFonts w:ascii="Times New Roman" w:hAnsi="Times New Roman"/>
          <w:sz w:val="20"/>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u w:val="single"/>
        </w:rPr>
        <w:t>ADMINISTRATION</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THE AWARD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Grant of Units.</w:t>
      </w:r>
      <w:r>
        <w:rPr>
          <w:rFonts w:ascii="Times New Roman" w:hAnsi="Times New Roman"/>
          <w:sz w:val="20"/>
        </w:rPr>
        <w:t xml:space="preserve"> 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No Monetary Payment Required.</w:t>
      </w:r>
      <w:r>
        <w:rPr>
          <w:rFonts w:ascii="Times New Roman" w:hAnsi="Times New Roman"/>
          <w:sz w:val="20"/>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u w:val="single"/>
        </w:rPr>
        <w:t>VESTING OF UNITS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Units acquired pursuant to this Agreement shall become Vested Units as provided in the Grant Notice.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u w:val="single"/>
        </w:rPr>
        <w:t>COMPANY REACQUISITION RIGHT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Grant of Company Reacquisition Right.</w:t>
      </w:r>
      <w:r>
        <w:rPr>
          <w:rFonts w:ascii="Times New Roman" w:hAnsi="Times New Roman"/>
          <w:sz w:val="20"/>
        </w:rPr>
        <w:t xml:space="preserve"> 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hAnsi="Times New Roman"/>
          <w:b/>
          <w:i/>
          <w:sz w:val="20"/>
        </w:rPr>
        <w:t>Unvested Units”</w:t>
      </w:r>
      <w:r>
        <w:rPr>
          <w:rFonts w:ascii="Times New Roman" w:hAnsi="Times New Roman"/>
          <w:i/>
          <w:sz w:val="20"/>
        </w:rPr>
        <w:t>)</w:t>
      </w:r>
      <w:r>
        <w:rPr>
          <w:rFonts w:ascii="Times New Roman" w:hAnsi="Times New Roman"/>
          <w:sz w:val="20"/>
        </w:rPr>
        <w:t>, and the Participant shall not be entitled to any payment therefor (the “</w:t>
      </w:r>
      <w:r>
        <w:rPr>
          <w:rFonts w:ascii="Times New Roman" w:hAnsi="Times New Roman"/>
          <w:b/>
          <w:i/>
          <w:sz w:val="20"/>
        </w:rPr>
        <w:t>Company Reacquisition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Ownership Change Event, Non-Cash Dividends, Distributions and Adjustments</w:t>
      </w:r>
      <w:r>
        <w:rPr>
          <w:rFonts w:ascii="Times New Roman" w:hAnsi="Times New Roman"/>
          <w:b/>
          <w:i/>
          <w:sz w:val="20"/>
        </w:rPr>
        <w:t>.</w:t>
      </w:r>
      <w:r>
        <w:rPr>
          <w:rFonts w:ascii="Times New Roman" w:hAnsi="Times New Roman"/>
          <w:sz w:val="20"/>
        </w:rPr>
        <w:t xml:space="preserve"> 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b/>
          <w:sz w:val="20"/>
          <w:u w:val="single"/>
        </w:rPr>
        <w:t>SETTLEMENT OF THE AWARD</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Issuance of Shares of Stock</w:t>
      </w:r>
      <w:r>
        <w:rPr>
          <w:rFonts w:ascii="Times New Roman" w:hAnsi="Times New Roman"/>
          <w:b/>
          <w:i/>
          <w:sz w:val="20"/>
        </w:rPr>
        <w:t>.</w:t>
      </w:r>
      <w:r>
        <w:rPr>
          <w:rFonts w:ascii="Times New Roman" w:hAnsi="Times New Roman"/>
          <w:sz w:val="20"/>
        </w:rPr>
        <w:t xml:space="preserve"> Subject to the provisions of Section 6.3, the Company shall issue to the Participant within 30 days of the Settlement Date with respect to each Vested Unit to be settled on such date one (1) share of Stock. The Settlement Date with respect to a Unit shall be the date on which such Unit becomes a Vested Unit as provided by the Grant Notice (an “</w:t>
      </w:r>
      <w:r>
        <w:rPr>
          <w:rFonts w:ascii="Times New Roman" w:hAnsi="Times New Roman"/>
          <w:b/>
          <w:i/>
          <w:sz w:val="20"/>
        </w:rPr>
        <w:t>Original Settlement Date</w:t>
      </w:r>
      <w:r>
        <w:rPr>
          <w:rFonts w:ascii="Times New Roman" w:hAnsi="Times New Roman"/>
          <w:sz w:val="20"/>
        </w:rPr>
        <w:t xml:space="preserve">”);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shall be on or before the last day of the calendar year that includes the Original Settlement Date, provided that if such later Settlement Date is permitted without triggering adverse tax consequences under Section 409A of the Code, the Settlement Date may occur not later than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Beneficial Ownership of Shares; Certificate Registration</w:t>
      </w:r>
      <w:r>
        <w:rPr>
          <w:rFonts w:ascii="Times New Roman" w:hAnsi="Times New Roman"/>
          <w:b/>
          <w:i/>
          <w:sz w:val="20"/>
        </w:rPr>
        <w:t>.</w:t>
      </w:r>
      <w:r>
        <w:rPr>
          <w:rFonts w:ascii="Times New Roman" w:hAnsi="Times New Roman"/>
          <w:sz w:val="20"/>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Restrictions on Grant of the Award and Issuance of Shares</w:t>
      </w:r>
      <w:r>
        <w:rPr>
          <w:rFonts w:ascii="Times New Roman" w:hAnsi="Times New Roman"/>
          <w:b/>
          <w:i/>
          <w:sz w:val="20"/>
        </w:rPr>
        <w:t>.</w:t>
      </w:r>
      <w:r>
        <w:rPr>
          <w:rFonts w:ascii="Times New Roman" w:hAnsi="Times New Roman"/>
          <w:sz w:val="20"/>
        </w:rPr>
        <w:t xml:space="preserve"> 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Fractional Shares</w:t>
      </w:r>
      <w:r>
        <w:rPr>
          <w:rFonts w:ascii="Times New Roman" w:hAnsi="Times New Roman"/>
          <w:b/>
          <w:i/>
          <w:sz w:val="20"/>
        </w:rPr>
        <w:t>.</w:t>
      </w:r>
      <w:r>
        <w:rPr>
          <w:rFonts w:ascii="Times New Roman" w:hAnsi="Times New Roman"/>
          <w:sz w:val="20"/>
        </w:rPr>
        <w:t xml:space="preserve"> The Company shall not be required to issue fractional shares upon the settlement of the Award.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u w:val="single"/>
        </w:rPr>
        <w:t>TAX WITHHOLDING</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In General.</w:t>
      </w:r>
      <w:r>
        <w:rPr>
          <w:rFonts w:ascii="Times New Roman" w:hAnsi="Times New Roman"/>
          <w:sz w:val="20"/>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Assignment of Sale Proceeds.</w:t>
      </w:r>
      <w:r>
        <w:rPr>
          <w:rFonts w:ascii="Times New Roman" w:hAnsi="Times New Roman"/>
          <w:sz w:val="20"/>
        </w:rPr>
        <w:t xml:space="preserve"> Subject to compliance with applicable law 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Withholding in Shares.</w:t>
      </w:r>
      <w:r>
        <w:rPr>
          <w:rFonts w:ascii="Times New Roman" w:hAnsi="Times New Roman"/>
          <w:sz w:val="20"/>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statutory withholding rates if required to avoid liability classification of the Award under generally accepted accounting principles in the United States. Any determination by the Company with respect to whether to permit the withholding of shares of Stock to satisfy the tax withholding obligation shall be made by the Committee if the Participant is subject to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u w:val="single"/>
        </w:rPr>
        <w:t>EFFECT OF CHANGE IN CONTROL</w:t>
      </w:r>
      <w:r>
        <w:rPr>
          <w:rFonts w:ascii="Times New Roman" w:hAnsi="Times New Roman"/>
          <w:b/>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the Award shall be subject to and treated as set forth in Section 13 of the Plan.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u w:val="single"/>
        </w:rPr>
        <w:t>ADJUSTMENTS FOR CHANGES IN CAPITAL STRUCTURE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Award shall be subject to and treated as set forth in Section 4.3 of the Plan.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u w:val="single"/>
        </w:rPr>
        <w:t>RIGHTS AS A STOCKHOLDER, DIRECTOR, EMPLOYEE OR CONSULTANT</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u w:val="single"/>
        </w:rPr>
        <w:t>LEGENDS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u w:val="single"/>
        </w:rPr>
        <w:t>COMPLIANCE WITH SECTION 409A</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compliance with or an exemption from Section 409A, the following shall apply: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b/>
          <w:sz w:val="20"/>
        </w:rPr>
        <w:t xml:space="preserve">Separation from Service; Required Delay in Payment to Specified Employee. </w:t>
      </w:r>
      <w:r>
        <w:rPr>
          <w:rFonts w:ascii="Times New Roman" w:hAnsi="Times New Roman"/>
          <w:sz w:val="20"/>
        </w:rPr>
        <w:t>Notwithstanding anything set forth herein to the contrary, no amount payable pursuant to this Agreement on account of the Participant’s termination of Service which constitutes Section 409A Deferred Compensation shall be paid unless and until the Participant has incurred a “separation from service” within the meaning of the Treasury Regulations issued pursuant to Section 409A of the Code (the “</w:t>
      </w:r>
      <w:r>
        <w:rPr>
          <w:rFonts w:ascii="Times New Roman" w:hAnsi="Times New Roman"/>
          <w:b/>
          <w:i/>
          <w:sz w:val="20"/>
        </w:rPr>
        <w:t>Section</w:t>
      </w:r>
      <w:r>
        <w:rPr>
          <w:rFonts w:ascii="Times New Roman" w:hAnsi="Times New Roman"/>
          <w:sz w:val="20"/>
        </w:rPr>
        <w:t> </w:t>
      </w:r>
      <w:r>
        <w:rPr>
          <w:rFonts w:ascii="Times New Roman" w:hAnsi="Times New Roman"/>
          <w:b/>
          <w:i/>
          <w:sz w:val="20"/>
        </w:rPr>
        <w:t>409A Regulations</w:t>
      </w:r>
      <w:r>
        <w:rPr>
          <w:rFonts w:ascii="Times New Roman" w:hAnsi="Times New Roman"/>
          <w:sz w:val="20"/>
        </w:rPr>
        <w:t>”). Furthermore, to the extent that the Participant is a “specified employee” within the meaning of the Section 409A Regulations as of the date of the Participant’s separation from service, no Section 409A Deferred Compensation which is payable on account of the Participant’s separation from service shall be paid to the Participant before the date (the “</w:t>
      </w:r>
      <w:r>
        <w:rPr>
          <w:rFonts w:ascii="Times New Roman" w:hAnsi="Times New Roman"/>
          <w:b/>
          <w:i/>
          <w:sz w:val="20"/>
        </w:rPr>
        <w:t>Delayed Payment Date</w:t>
      </w:r>
      <w:r>
        <w:rPr>
          <w:rFonts w:ascii="Times New Roman" w:hAnsi="Times New Roman"/>
          <w:sz w:val="20"/>
        </w:rPr>
        <w:t xml:space="preserve">”)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b/>
          <w:sz w:val="20"/>
        </w:rPr>
        <w:t>Other Changes in Time of Payment.</w:t>
      </w:r>
      <w:r>
        <w:rPr>
          <w:rFonts w:ascii="Times New Roman" w:hAnsi="Times New Roman"/>
          <w:sz w:val="20"/>
        </w:rPr>
        <w:t xml:space="preserve"> Neither the Participant nor the Company shall take any action to accelerate or delay the payment of any benefits under this Agreement in any manner which would not be in compliance with the Section 409A Regulations.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b/>
          <w:sz w:val="20"/>
        </w:rPr>
        <w:t>Installment Payments</w:t>
      </w:r>
      <w:r>
        <w:rPr>
          <w:rFonts w:ascii="Times New Roman" w:hAnsi="Times New Roman"/>
          <w:sz w:val="20"/>
        </w:rPr>
        <w:t xml:space="preserve">. It is the intent that any right of Participant to receive installment payments (within the meaning of Section 409A) with respect to the Units subject to this Agreement shall, for all purposes of Section 409A, be treated as a right to a series of separate payments. </w:t>
      </w:r>
    </w:p>
    <w:p>
      <w:pPr>
        <w:pStyle w:val="TextBody"/>
        <w:bidi w:val="0"/>
        <w:spacing w:before="240" w:after="0"/>
        <w:jc w:val="left"/>
        <w:rPr>
          <w:rFonts w:ascii="Times New Roman" w:hAnsi="Times New Roman"/>
          <w:sz w:val="20"/>
        </w:rPr>
      </w:pPr>
      <w:r>
        <w:rPr>
          <w:rFonts w:ascii="Times New Roman" w:hAnsi="Times New Roman"/>
          <w:sz w:val="20"/>
        </w:rPr>
        <w:t xml:space="preserve">12.4 </w:t>
      </w:r>
      <w:r>
        <w:rPr>
          <w:rFonts w:ascii="Times New Roman" w:hAnsi="Times New Roman"/>
          <w:b/>
          <w:sz w:val="20"/>
        </w:rPr>
        <w:t>Amendments to Comply with Section</w:t>
      </w:r>
      <w:r>
        <w:rPr>
          <w:rFonts w:ascii="Times New Roman" w:hAnsi="Times New Roman"/>
          <w:sz w:val="20"/>
        </w:rPr>
        <w:t> </w:t>
      </w:r>
      <w:r>
        <w:rPr>
          <w:rFonts w:ascii="Times New Roman" w:hAnsi="Times New Roman"/>
          <w:b/>
          <w:sz w:val="20"/>
        </w:rPr>
        <w:t>409A; Indemnification.</w:t>
      </w:r>
      <w:r>
        <w:rPr>
          <w:rFonts w:ascii="Times New Roman" w:hAnsi="Times New Roman"/>
          <w:sz w:val="20"/>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or be exempt from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12.5 </w:t>
      </w:r>
      <w:r>
        <w:rPr>
          <w:rFonts w:ascii="Times New Roman" w:hAnsi="Times New Roman"/>
          <w:b/>
          <w:sz w:val="20"/>
        </w:rPr>
        <w:t>Advice of Independent Tax Advisor.</w:t>
      </w:r>
      <w:r>
        <w:rPr>
          <w:rFonts w:ascii="Times New Roman" w:hAnsi="Times New Roman"/>
          <w:sz w:val="20"/>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u w:val="single"/>
        </w:rPr>
        <w:t>MISCELLANEOUS PROVISIONS</w:t>
      </w:r>
      <w:r>
        <w:rPr>
          <w:rFonts w:ascii="Times New Roman" w:hAnsi="Times New Roman"/>
          <w:b/>
          <w:sz w:val="20"/>
        </w:rPr>
        <w: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13.1 </w:t>
      </w:r>
      <w:r>
        <w:rPr>
          <w:rFonts w:ascii="Times New Roman" w:hAnsi="Times New Roman"/>
          <w:b/>
          <w:sz w:val="20"/>
        </w:rPr>
        <w:t>Termination or Amendment.</w:t>
      </w:r>
      <w:r>
        <w:rPr>
          <w:rFonts w:ascii="Times New Roman" w:hAnsi="Times New Roman"/>
          <w:sz w:val="20"/>
        </w:rPr>
        <w:t xml:space="preserve"> 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b/>
          <w:sz w:val="20"/>
        </w:rPr>
        <w:t>Nontransferability of the Award.</w:t>
      </w:r>
      <w:r>
        <w:rPr>
          <w:rFonts w:ascii="Times New Roman" w:hAnsi="Times New Roman"/>
          <w:sz w:val="20"/>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13.3 </w:t>
      </w:r>
      <w:r>
        <w:rPr>
          <w:rFonts w:ascii="Times New Roman" w:hAnsi="Times New Roman"/>
          <w:b/>
          <w:sz w:val="20"/>
        </w:rPr>
        <w:t>Further Instruments.</w:t>
      </w:r>
      <w:r>
        <w:rPr>
          <w:rFonts w:ascii="Times New Roman" w:hAnsi="Times New Roman"/>
          <w:sz w:val="20"/>
        </w:rPr>
        <w:t xml:space="preserve"> The parties hereto agree to execute such further instruments and to take such further action as may reasonably be necessary to carry out the intent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13.4 </w:t>
      </w:r>
      <w:r>
        <w:rPr>
          <w:rFonts w:ascii="Times New Roman" w:hAnsi="Times New Roman"/>
          <w:b/>
          <w:sz w:val="20"/>
        </w:rPr>
        <w:t>Binding Effect.</w:t>
      </w:r>
      <w:r>
        <w:rPr>
          <w:rFonts w:ascii="Times New Roman" w:hAnsi="Times New Roman"/>
          <w:sz w:val="20"/>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13.5 </w:t>
      </w:r>
      <w:r>
        <w:rPr>
          <w:rFonts w:ascii="Times New Roman" w:hAnsi="Times New Roman"/>
          <w:b/>
          <w:sz w:val="20"/>
        </w:rPr>
        <w:t>Delivery of Documents and Notices.</w:t>
      </w:r>
      <w:r>
        <w:rPr>
          <w:rFonts w:ascii="Times New Roman" w:hAnsi="Times New Roman"/>
          <w:sz w:val="20"/>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i/>
          <w:sz w:val="20"/>
        </w:rPr>
        <w:t>Description of Electronic Delivery and Signature.</w:t>
      </w:r>
      <w:r>
        <w:rPr>
          <w:rFonts w:ascii="Times New Roman" w:hAnsi="Times New Roman"/>
          <w:sz w:val="20"/>
        </w:rPr>
        <w:t xml:space="preserve"> 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i/>
          <w:sz w:val="20"/>
        </w:rPr>
        <w:t>Consent to Electronic Delivery and Signature.</w:t>
      </w:r>
      <w:r>
        <w:rPr>
          <w:rFonts w:ascii="Times New Roman" w:hAnsi="Times New Roman"/>
          <w:sz w:val="20"/>
        </w:rPr>
        <w:t xml:space="preserve"> 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13.6 </w:t>
      </w:r>
      <w:r>
        <w:rPr>
          <w:rFonts w:ascii="Times New Roman" w:hAnsi="Times New Roman"/>
          <w:b/>
          <w:sz w:val="20"/>
        </w:rPr>
        <w:t xml:space="preserve">Repayment/Forfeiture. </w:t>
      </w:r>
      <w:r>
        <w:rPr>
          <w:rFonts w:ascii="Times New Roman" w:hAnsi="Times New Roman"/>
          <w:sz w:val="20"/>
        </w:rPr>
        <w:t xml:space="preserve">Any benefits Participant may receive hereunder shall be subject to repayment or forfeiture as required to comply with (a) 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Company’s. Incentive Compensation Repayment Policy, or (d) any other repayment or forfeiture policies adopted by the Company, each to the extent determined by the Company in its discretion to be applicable to Participant. </w:t>
      </w:r>
    </w:p>
    <w:p>
      <w:pPr>
        <w:pStyle w:val="TextBody"/>
        <w:bidi w:val="0"/>
        <w:spacing w:before="240" w:after="0"/>
        <w:jc w:val="left"/>
        <w:rPr>
          <w:rFonts w:ascii="Times New Roman" w:hAnsi="Times New Roman"/>
          <w:sz w:val="20"/>
        </w:rPr>
      </w:pPr>
      <w:r>
        <w:rPr>
          <w:rFonts w:ascii="Times New Roman" w:hAnsi="Times New Roman"/>
          <w:sz w:val="20"/>
        </w:rPr>
        <w:t xml:space="preserve">13.7 </w:t>
      </w:r>
      <w:r>
        <w:rPr>
          <w:rFonts w:ascii="Times New Roman" w:hAnsi="Times New Roman"/>
          <w:b/>
          <w:sz w:val="20"/>
        </w:rPr>
        <w:t>Integrated Agreement.</w:t>
      </w:r>
      <w:r>
        <w:rPr>
          <w:rFonts w:ascii="Times New Roman" w:hAnsi="Times New Roman"/>
          <w:sz w:val="20"/>
        </w:rPr>
        <w:t xml:space="preserve"> 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13.8 </w:t>
      </w:r>
      <w:r>
        <w:rPr>
          <w:rFonts w:ascii="Times New Roman" w:hAnsi="Times New Roman"/>
          <w:b/>
          <w:sz w:val="20"/>
        </w:rPr>
        <w:t>Applicable Law.</w:t>
      </w:r>
      <w:r>
        <w:rPr>
          <w:rFonts w:ascii="Times New Roman" w:hAnsi="Times New Roman"/>
          <w:sz w:val="20"/>
        </w:rPr>
        <w:t xml:space="preserve"> This Agreement shall be governed by the laws of the State of Delaware as such laws are applied to agreements between Delaware residents entered into and to be performed entirely within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13.9 </w:t>
      </w:r>
      <w:r>
        <w:rPr>
          <w:rFonts w:ascii="Times New Roman" w:hAnsi="Times New Roman"/>
          <w:b/>
          <w:sz w:val="20"/>
        </w:rPr>
        <w:t>Counterparts.</w:t>
      </w:r>
      <w:r>
        <w:rPr>
          <w:rFonts w:ascii="Times New Roman" w:hAnsi="Times New Roman"/>
          <w:sz w:val="20"/>
        </w:rPr>
        <w:t xml:space="preserve"> The Grant Notice may be executed in counterparts, each of which shall be deemed an original, but all of which together shall constitute one and the same instrument. </w:t>
      </w:r>
    </w:p>
    <w:p>
      <w:pPr>
        <w:pStyle w:val="TextBody"/>
        <w:bidi w:val="0"/>
        <w:spacing w:before="0" w:after="0"/>
        <w:jc w:val="right"/>
        <w:rPr>
          <w:rFonts w:ascii="Times New Roman" w:hAnsi="Times New Roman"/>
          <w:b/>
          <w:sz w:val="20"/>
        </w:rPr>
      </w:pPr>
      <w:bookmarkStart w:id="4" w:name="d126485dex102.htm"/>
      <w:bookmarkStart w:id="5" w:name="ksd126485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GRANT OF RESTRICTED STOCK UNITS </w:t>
      </w:r>
    </w:p>
    <w:p>
      <w:pPr>
        <w:pStyle w:val="TextBody"/>
        <w:bidi w:val="0"/>
        <w:spacing w:before="0" w:after="0"/>
        <w:jc w:val="center"/>
        <w:rPr>
          <w:rFonts w:ascii="Times New Roman" w:hAnsi="Times New Roman"/>
          <w:b/>
          <w:sz w:val="20"/>
        </w:rPr>
      </w:pPr>
      <w:r>
        <w:rPr>
          <w:rFonts w:ascii="Times New Roman" w:hAnsi="Times New Roman"/>
          <w:b/>
          <w:sz w:val="20"/>
        </w:rPr>
        <w:t xml:space="preserve">(U.S. Participants) </w:t>
      </w:r>
    </w:p>
    <w:p>
      <w:pPr>
        <w:pStyle w:val="TextBody"/>
        <w:bidi w:val="0"/>
        <w:spacing w:before="240" w:after="0"/>
        <w:jc w:val="left"/>
        <w:rPr>
          <w:rFonts w:ascii="Times New Roman" w:hAnsi="Times New Roman"/>
          <w:sz w:val="20"/>
        </w:rPr>
      </w:pPr>
      <w:r>
        <w:rPr>
          <w:rFonts w:ascii="Times New Roman" w:hAnsi="Times New Roman"/>
          <w:sz w:val="20"/>
        </w:rPr>
        <w:t>Hadron Energy, Inc., a Delaware corporation (the “</w:t>
      </w:r>
      <w:r>
        <w:rPr>
          <w:rFonts w:ascii="Times New Roman" w:hAnsi="Times New Roman"/>
          <w:b/>
          <w:i/>
          <w:sz w:val="20"/>
        </w:rPr>
        <w:t>Company</w:t>
      </w:r>
      <w:r>
        <w:rPr>
          <w:rFonts w:ascii="Times New Roman" w:hAnsi="Times New Roman"/>
          <w:sz w:val="20"/>
        </w:rPr>
        <w:t>”) has granted to the Participant an award (the “</w:t>
      </w:r>
      <w:r>
        <w:rPr>
          <w:rFonts w:ascii="Times New Roman" w:hAnsi="Times New Roman"/>
          <w:b/>
          <w:i/>
          <w:sz w:val="20"/>
        </w:rPr>
        <w:t>Award</w:t>
      </w:r>
      <w:r>
        <w:rPr>
          <w:rFonts w:ascii="Times New Roman" w:hAnsi="Times New Roman"/>
          <w:sz w:val="20"/>
        </w:rPr>
        <w:t>”) of certain units pursuant to the Hadron Energy, Inc. 2026 Equity Incentive Plan (the “</w:t>
      </w:r>
      <w:r>
        <w:rPr>
          <w:rFonts w:ascii="Times New Roman" w:hAnsi="Times New Roman"/>
          <w:b/>
          <w:i/>
          <w:sz w:val="20"/>
        </w:rPr>
        <w:t>Plan</w:t>
      </w:r>
      <w:r>
        <w:rPr>
          <w:rFonts w:ascii="Times New Roman" w:hAnsi="Times New Roman"/>
          <w:sz w:val="20"/>
        </w:rPr>
        <w:t xml:space="preserve">”), each of which represents the right to receive on the applicable Settlement Date one (1) share of Stock,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1"/>
        <w:gridCol w:w="120"/>
        <w:gridCol w:w="6229"/>
        <w:gridCol w:w="129"/>
        <w:gridCol w:w="1346"/>
      </w:tblGrid>
      <w:tr>
        <w:trPr/>
        <w:tc>
          <w:tcPr>
            <w:tcW w:w="238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22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Participant:</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u w:val="single"/>
              </w:rPr>
              <w:t>           </w:t>
            </w:r>
            <w:r>
              <w:rPr/>
              <w:t xml:space="preserve">               </w:t>
            </w:r>
            <w:r>
              <w:rPr>
                <w:b/>
              </w:rPr>
              <w:t>Employee ID:</w:t>
            </w:r>
            <w:r>
              <w:rPr/>
              <w:t>   </w:t>
            </w:r>
            <w:r>
              <w:rPr>
                <w:u w:val="single"/>
              </w:rPr>
              <w:t>       </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6349"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Date of Grant:</w:t>
            </w:r>
          </w:p>
        </w:tc>
        <w:tc>
          <w:tcPr>
            <w:tcW w:w="120" w:type="dxa"/>
            <w:tcBorders/>
            <w:vAlign w:val="bottom"/>
          </w:tcPr>
          <w:p>
            <w:pPr>
              <w:pStyle w:val="TableContents"/>
              <w:bidi w:val="0"/>
              <w:spacing w:before="0" w:after="283"/>
              <w:jc w:val="left"/>
              <w:rPr/>
            </w:pPr>
            <w:r>
              <w:rPr/>
              <w:t>  </w:t>
            </w:r>
          </w:p>
        </w:tc>
        <w:tc>
          <w:tcPr>
            <w:tcW w:w="6229" w:type="dxa"/>
            <w:tcBorders/>
          </w:tcPr>
          <w:p>
            <w:pPr>
              <w:pStyle w:val="TableContents"/>
              <w:bidi w:val="0"/>
              <w:spacing w:before="0" w:after="283"/>
              <w:jc w:val="left"/>
              <w:rPr>
                <w:u w:val="single"/>
              </w:rPr>
            </w:pPr>
            <w:r>
              <w:rPr>
                <w:u w:val="single"/>
              </w:rPr>
              <w:t>           </w:t>
            </w:r>
          </w:p>
        </w:tc>
        <w:tc>
          <w:tcPr>
            <w:tcW w:w="129"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left"/>
              <w:rPr>
                <w:sz w:val="4"/>
                <w:szCs w:val="4"/>
              </w:rPr>
            </w:pPr>
            <w:r>
              <w:rPr>
                <w:sz w:val="4"/>
                <w:szCs w:val="4"/>
              </w:rPr>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7824" w:type="dxa"/>
            <w:gridSpan w:val="4"/>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Total Number of Units:</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u w:val="single"/>
              </w:rPr>
              <w:t>      </w:t>
            </w:r>
            <w:r>
              <w:rPr/>
              <w:t xml:space="preserve"> </w:t>
            </w:r>
            <w:r>
              <w:rPr/>
              <w:t>(each a “</w:t>
            </w:r>
            <w:r>
              <w:rPr>
                <w:b/>
                <w:i/>
              </w:rPr>
              <w:t>Unit</w:t>
            </w:r>
            <w:r>
              <w:rPr/>
              <w:t>”), subject to adjustment as provided by the Restricted Stock Units Agreement.</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7824" w:type="dxa"/>
            <w:gridSpan w:val="4"/>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Vesting Start Date:</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t>[February 15, [____]][May 15, [____]][August 15, [____]][November 15, [____]]</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7824" w:type="dxa"/>
            <w:gridSpan w:val="4"/>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Settlement Date:</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t>Except as provided by the Restricted Stock Units Agreement, the date on which a Unit becomes a Vested Unit.</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7824" w:type="dxa"/>
            <w:gridSpan w:val="4"/>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Vested Units:</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t>Except as provided in the Restricted Stock Units Agreement and provided that the Participant’s Service has not terminated prior to the applicable date, the number of Vested Units (disregarding any resulting fractional Unit) shall cumulatively increase on each respective date set forth below by the Vested Ratio set forth opposite such date, as follows</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6349"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29" w:type="dxa"/>
            <w:tcBorders/>
          </w:tcPr>
          <w:p>
            <w:pPr>
              <w:pStyle w:val="TableContents"/>
              <w:bidi w:val="0"/>
              <w:spacing w:before="0" w:after="283"/>
              <w:jc w:val="center"/>
              <w:rPr>
                <w:b/>
              </w:rPr>
            </w:pPr>
            <w:r>
              <w:rPr>
                <w:b/>
              </w:rPr>
              <w:t>Vesting Date</w:t>
            </w:r>
          </w:p>
        </w:tc>
        <w:tc>
          <w:tcPr>
            <w:tcW w:w="129"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center"/>
              <w:rPr>
                <w:b/>
              </w:rPr>
            </w:pPr>
            <w:r>
              <w:rPr>
                <w:b/>
              </w:rPr>
              <w:t>Vested Ratio</w:t>
            </w:r>
          </w:p>
        </w:tc>
      </w:tr>
      <w:tr>
        <w:trPr/>
        <w:tc>
          <w:tcPr>
            <w:tcW w:w="2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29" w:type="dxa"/>
            <w:tcBorders/>
          </w:tcPr>
          <w:p>
            <w:pPr>
              <w:pStyle w:val="TableContents"/>
              <w:bidi w:val="0"/>
              <w:spacing w:before="0" w:after="283"/>
              <w:jc w:val="left"/>
              <w:rPr/>
            </w:pPr>
            <w:r>
              <w:rPr/>
              <w:t>Prior to first anniversary of Vesting Start Date</w:t>
            </w:r>
          </w:p>
        </w:tc>
        <w:tc>
          <w:tcPr>
            <w:tcW w:w="129"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center"/>
              <w:rPr/>
            </w:pPr>
            <w:r>
              <w:rPr/>
              <w:t>0</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6349"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29" w:type="dxa"/>
            <w:tcBorders/>
          </w:tcPr>
          <w:p>
            <w:pPr>
              <w:pStyle w:val="TableContents"/>
              <w:bidi w:val="0"/>
              <w:spacing w:before="0" w:after="283"/>
              <w:jc w:val="left"/>
              <w:rPr/>
            </w:pPr>
            <w:r>
              <w:rPr/>
              <w:t>On first anniversary of Vesting Start Date (the “Initial Vesting Date”)</w:t>
            </w:r>
          </w:p>
        </w:tc>
        <w:tc>
          <w:tcPr>
            <w:tcW w:w="129"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center"/>
              <w:rPr/>
            </w:pPr>
            <w:r>
              <w:rPr/>
              <w:t>1/4</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6349" w:type="dxa"/>
            <w:gridSpan w:val="2"/>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229" w:type="dxa"/>
            <w:tcBorders/>
          </w:tcPr>
          <w:p>
            <w:pPr>
              <w:pStyle w:val="TableContents"/>
              <w:bidi w:val="0"/>
              <w:spacing w:before="0" w:after="283"/>
              <w:jc w:val="left"/>
              <w:rPr/>
            </w:pPr>
            <w:r>
              <w:rPr/>
              <w:t>On each three- (3-) month anniversary of the Vesting Start Date following the Initial Vesting Date until the Vested Ratio equals 1/1</w:t>
            </w:r>
          </w:p>
        </w:tc>
        <w:tc>
          <w:tcPr>
            <w:tcW w:w="129" w:type="dxa"/>
            <w:tcBorders/>
            <w:vAlign w:val="bottom"/>
          </w:tcPr>
          <w:p>
            <w:pPr>
              <w:pStyle w:val="TableContents"/>
              <w:bidi w:val="0"/>
              <w:spacing w:before="0" w:after="283"/>
              <w:jc w:val="left"/>
              <w:rPr/>
            </w:pPr>
            <w:r>
              <w:rPr/>
              <w:t>  </w:t>
            </w:r>
          </w:p>
        </w:tc>
        <w:tc>
          <w:tcPr>
            <w:tcW w:w="1346" w:type="dxa"/>
            <w:tcBorders/>
          </w:tcPr>
          <w:p>
            <w:pPr>
              <w:pStyle w:val="TableContents"/>
              <w:bidi w:val="0"/>
              <w:spacing w:before="0" w:after="283"/>
              <w:jc w:val="center"/>
              <w:rPr/>
            </w:pPr>
            <w:r>
              <w:rPr/>
              <w:t>1/16</w:t>
            </w:r>
          </w:p>
        </w:tc>
      </w:tr>
      <w:tr>
        <w:trPr>
          <w:trHeight w:val="120" w:hRule="atLeast"/>
        </w:trPr>
        <w:tc>
          <w:tcPr>
            <w:tcW w:w="2381" w:type="dxa"/>
            <w:tcBorders/>
            <w:vAlign w:val="center"/>
          </w:tcPr>
          <w:p>
            <w:pPr>
              <w:pStyle w:val="TableContents"/>
              <w:bidi w:val="0"/>
              <w:spacing w:before="0" w:after="283"/>
              <w:jc w:val="left"/>
              <w:rPr>
                <w:sz w:val="4"/>
                <w:szCs w:val="4"/>
              </w:rPr>
            </w:pPr>
            <w:r>
              <w:rPr>
                <w:sz w:val="4"/>
                <w:szCs w:val="4"/>
              </w:rPr>
            </w:r>
          </w:p>
        </w:tc>
        <w:tc>
          <w:tcPr>
            <w:tcW w:w="7824" w:type="dxa"/>
            <w:gridSpan w:val="4"/>
            <w:tcBorders/>
            <w:vAlign w:val="center"/>
          </w:tcPr>
          <w:p>
            <w:pPr>
              <w:pStyle w:val="TableContents"/>
              <w:bidi w:val="0"/>
              <w:spacing w:before="0" w:after="283"/>
              <w:jc w:val="left"/>
              <w:rPr>
                <w:sz w:val="4"/>
                <w:szCs w:val="4"/>
              </w:rPr>
            </w:pPr>
            <w:r>
              <w:rPr>
                <w:sz w:val="4"/>
                <w:szCs w:val="4"/>
              </w:rPr>
            </w:r>
          </w:p>
        </w:tc>
      </w:tr>
      <w:tr>
        <w:trPr/>
        <w:tc>
          <w:tcPr>
            <w:tcW w:w="2381" w:type="dxa"/>
            <w:tcBorders/>
          </w:tcPr>
          <w:p>
            <w:pPr>
              <w:pStyle w:val="TableContents"/>
              <w:bidi w:val="0"/>
              <w:spacing w:before="0" w:after="283"/>
              <w:jc w:val="left"/>
              <w:rPr>
                <w:b/>
              </w:rPr>
            </w:pPr>
            <w:r>
              <w:rPr>
                <w:b/>
              </w:rPr>
              <w:t>Superseding Agreement:</w:t>
            </w:r>
          </w:p>
        </w:tc>
        <w:tc>
          <w:tcPr>
            <w:tcW w:w="120" w:type="dxa"/>
            <w:tcBorders/>
            <w:vAlign w:val="bottom"/>
          </w:tcPr>
          <w:p>
            <w:pPr>
              <w:pStyle w:val="TableContents"/>
              <w:bidi w:val="0"/>
              <w:spacing w:before="0" w:after="283"/>
              <w:jc w:val="left"/>
              <w:rPr/>
            </w:pPr>
            <w:r>
              <w:rPr/>
              <w:t>  </w:t>
            </w:r>
          </w:p>
        </w:tc>
        <w:tc>
          <w:tcPr>
            <w:tcW w:w="7704" w:type="dxa"/>
            <w:gridSpan w:val="3"/>
            <w:tcBorders/>
          </w:tcPr>
          <w:p>
            <w:pPr>
              <w:pStyle w:val="TableContents"/>
              <w:bidi w:val="0"/>
              <w:spacing w:before="0" w:after="283"/>
              <w:jc w:val="left"/>
              <w:rPr/>
            </w:pPr>
            <w:r>
              <w:rPr/>
              <w:t>None.</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4497"/>
        <w:gridCol w:w="101"/>
        <w:gridCol w:w="407"/>
        <w:gridCol w:w="60"/>
        <w:gridCol w:w="23"/>
        <w:gridCol w:w="101"/>
        <w:gridCol w:w="4609"/>
      </w:tblGrid>
      <w:tr>
        <w:trPr/>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Pr>
          <w:p>
            <w:pPr>
              <w:pStyle w:val="TableContents"/>
              <w:bidi w:val="0"/>
              <w:spacing w:before="0" w:after="283"/>
              <w:jc w:val="left"/>
              <w:rPr>
                <w:b/>
              </w:rPr>
            </w:pPr>
            <w:r>
              <w:rPr>
                <w:b/>
              </w:rPr>
              <w:t>HADRON ENERGY, INC.</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b/>
              </w:rPr>
            </w:pPr>
            <w:r>
              <w:rPr>
                <w:b/>
              </w:rPr>
              <w:t>PARTICIPANT</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Samuel Gibson</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Signature</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Chief Executive Officer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Date</w:t>
            </w:r>
          </w:p>
        </w:tc>
      </w:tr>
      <w:tr>
        <w:trPr/>
        <w:tc>
          <w:tcPr>
            <w:tcW w:w="4904" w:type="dxa"/>
            <w:gridSpan w:val="3"/>
            <w:tcBorders/>
          </w:tcPr>
          <w:p>
            <w:pPr>
              <w:pStyle w:val="TableContents"/>
              <w:bidi w:val="0"/>
              <w:spacing w:before="0" w:after="283"/>
              <w:jc w:val="left"/>
              <w:rPr/>
            </w:pPr>
            <w:r>
              <w:rPr/>
              <w:t>Address:</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Address</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ATTACHMENTS: 2026 Equity Incentive Plan, Restricted Stock Units Agreement and Plan Prospectus </w:t>
      </w:r>
    </w:p>
    <w:p>
      <w:pPr>
        <w:pStyle w:val="TextBody"/>
        <w:bidi w:val="0"/>
        <w:spacing w:before="0" w:after="0"/>
        <w:jc w:val="right"/>
        <w:rPr>
          <w:rFonts w:ascii="Times New Roman" w:hAnsi="Times New Roman"/>
          <w:b/>
          <w:sz w:val="20"/>
        </w:rPr>
      </w:pPr>
      <w:bookmarkStart w:id="6" w:name="d126485dex103.htm"/>
      <w:bookmarkStart w:id="7" w:name="ksd126485dex103"/>
      <w:bookmarkEnd w:id="6"/>
      <w:bookmarkEnd w:id="7"/>
      <w:r>
        <w:rPr>
          <w:rFonts w:ascii="Times New Roman" w:hAnsi="Times New Roman"/>
          <w:b/>
          <w:sz w:val="20"/>
        </w:rPr>
        <w:t xml:space="preserve">Exhibit 10.3 </w:t>
      </w:r>
      <w:r>
        <w:br w:type="page"/>
      </w:r>
    </w:p>
    <w:p>
      <w:pPr>
        <w:pStyle w:val="TextBody"/>
        <w:bidi w:val="0"/>
        <w:spacing w:before="0" w:after="0"/>
        <w:jc w:val="center"/>
        <w:rPr>
          <w:rFonts w:ascii="Times New Roman" w:hAnsi="Times New Roman"/>
          <w:b/>
          <w:sz w:val="20"/>
        </w:rPr>
      </w:pPr>
      <w:r>
        <w:rPr>
          <w:rFonts w:ascii="Times New Roman" w:hAnsi="Times New Roman"/>
          <w:b/>
          <w:sz w:val="20"/>
        </w:rPr>
        <w:t xml:space="preserve">HADRON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GRANT OF RESTRICTED STOCK UNITS </w:t>
      </w:r>
    </w:p>
    <w:p>
      <w:pPr>
        <w:pStyle w:val="TextBody"/>
        <w:bidi w:val="0"/>
        <w:spacing w:before="0" w:after="0"/>
        <w:jc w:val="center"/>
        <w:rPr>
          <w:rFonts w:ascii="Times New Roman" w:hAnsi="Times New Roman"/>
          <w:b/>
          <w:sz w:val="20"/>
        </w:rPr>
      </w:pPr>
      <w:r>
        <w:rPr>
          <w:rFonts w:ascii="Times New Roman" w:hAnsi="Times New Roman"/>
          <w:b/>
          <w:sz w:val="20"/>
        </w:rPr>
        <w:t xml:space="preserve">(U.S. Participants – Non-Employee Directors) </w:t>
      </w:r>
    </w:p>
    <w:p>
      <w:pPr>
        <w:pStyle w:val="TextBody"/>
        <w:bidi w:val="0"/>
        <w:spacing w:before="240" w:after="0"/>
        <w:jc w:val="left"/>
        <w:rPr>
          <w:rFonts w:ascii="Times New Roman" w:hAnsi="Times New Roman"/>
          <w:sz w:val="20"/>
        </w:rPr>
      </w:pPr>
      <w:r>
        <w:rPr>
          <w:rFonts w:ascii="Times New Roman" w:hAnsi="Times New Roman"/>
          <w:sz w:val="20"/>
        </w:rPr>
        <w:t>Hadron Energy, Inc., a Delaware corporation (the “</w:t>
      </w:r>
      <w:r>
        <w:rPr>
          <w:rFonts w:ascii="Times New Roman" w:hAnsi="Times New Roman"/>
          <w:b/>
          <w:i/>
          <w:sz w:val="20"/>
        </w:rPr>
        <w:t>Company</w:t>
      </w:r>
      <w:r>
        <w:rPr>
          <w:rFonts w:ascii="Times New Roman" w:hAnsi="Times New Roman"/>
          <w:sz w:val="20"/>
        </w:rPr>
        <w:t>”) has granted to the Participant an award (the “</w:t>
      </w:r>
      <w:r>
        <w:rPr>
          <w:rFonts w:ascii="Times New Roman" w:hAnsi="Times New Roman"/>
          <w:b/>
          <w:i/>
          <w:sz w:val="20"/>
        </w:rPr>
        <w:t>Award</w:t>
      </w:r>
      <w:r>
        <w:rPr>
          <w:rFonts w:ascii="Times New Roman" w:hAnsi="Times New Roman"/>
          <w:sz w:val="20"/>
        </w:rPr>
        <w:t>”) of certain units pursuant to the Hadron Energy, Inc. 2026 Equity Incentive Plan (the “</w:t>
      </w:r>
      <w:r>
        <w:rPr>
          <w:rFonts w:ascii="Times New Roman" w:hAnsi="Times New Roman"/>
          <w:b/>
          <w:i/>
          <w:sz w:val="20"/>
        </w:rPr>
        <w:t>Plan</w:t>
      </w:r>
      <w:r>
        <w:rPr>
          <w:rFonts w:ascii="Times New Roman" w:hAnsi="Times New Roman"/>
          <w:sz w:val="20"/>
        </w:rPr>
        <w:t xml:space="preserve">”), each of which represents the right to receive on the applicable Settlement Date one (1) share of Stock,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0"/>
        <w:gridCol w:w="108"/>
        <w:gridCol w:w="1469"/>
        <w:gridCol w:w="120"/>
        <w:gridCol w:w="6148"/>
      </w:tblGrid>
      <w:tr>
        <w:trPr/>
        <w:tc>
          <w:tcPr>
            <w:tcW w:w="23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148" w:type="dxa"/>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Participant:</w:t>
            </w:r>
          </w:p>
        </w:tc>
        <w:tc>
          <w:tcPr>
            <w:tcW w:w="108" w:type="dxa"/>
            <w:tcBorders/>
            <w:vAlign w:val="bottom"/>
          </w:tcPr>
          <w:p>
            <w:pPr>
              <w:pStyle w:val="TableContents"/>
              <w:bidi w:val="0"/>
              <w:spacing w:before="0" w:after="283"/>
              <w:jc w:val="left"/>
              <w:rPr/>
            </w:pPr>
            <w:r>
              <w:rPr/>
              <w:t> </w:t>
            </w:r>
          </w:p>
        </w:tc>
        <w:tc>
          <w:tcPr>
            <w:tcW w:w="146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6148" w:type="dxa"/>
            <w:tcBorders/>
          </w:tcPr>
          <w:p>
            <w:pPr>
              <w:pStyle w:val="TableContents"/>
              <w:bidi w:val="0"/>
              <w:spacing w:before="0" w:after="283"/>
              <w:jc w:val="left"/>
              <w:rPr>
                <w:sz w:val="4"/>
                <w:szCs w:val="4"/>
              </w:rPr>
            </w:pPr>
            <w:r>
              <w:rPr>
                <w:sz w:val="4"/>
                <w:szCs w:val="4"/>
              </w:rPr>
            </w:r>
          </w:p>
        </w:tc>
      </w:tr>
      <w:tr>
        <w:trPr>
          <w:trHeight w:val="120" w:hRule="atLeast"/>
        </w:trPr>
        <w:tc>
          <w:tcPr>
            <w:tcW w:w="2360" w:type="dxa"/>
            <w:tcBorders/>
            <w:vAlign w:val="center"/>
          </w:tcPr>
          <w:p>
            <w:pPr>
              <w:pStyle w:val="TableContents"/>
              <w:bidi w:val="0"/>
              <w:spacing w:before="0" w:after="283"/>
              <w:jc w:val="left"/>
              <w:rPr>
                <w:sz w:val="4"/>
                <w:szCs w:val="4"/>
              </w:rPr>
            </w:pPr>
            <w:r>
              <w:rPr>
                <w:sz w:val="4"/>
                <w:szCs w:val="4"/>
              </w:rPr>
            </w:r>
          </w:p>
        </w:tc>
        <w:tc>
          <w:tcPr>
            <w:tcW w:w="1577" w:type="dxa"/>
            <w:gridSpan w:val="2"/>
            <w:tcBorders/>
            <w:vAlign w:val="center"/>
          </w:tcPr>
          <w:p>
            <w:pPr>
              <w:pStyle w:val="TableContents"/>
              <w:bidi w:val="0"/>
              <w:spacing w:before="0" w:after="283"/>
              <w:jc w:val="left"/>
              <w:rPr>
                <w:sz w:val="4"/>
                <w:szCs w:val="4"/>
              </w:rPr>
            </w:pPr>
            <w:r>
              <w:rPr>
                <w:sz w:val="4"/>
                <w:szCs w:val="4"/>
              </w:rPr>
            </w:r>
          </w:p>
        </w:tc>
        <w:tc>
          <w:tcPr>
            <w:tcW w:w="6268"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Date of Grant:</w:t>
            </w:r>
          </w:p>
        </w:tc>
        <w:tc>
          <w:tcPr>
            <w:tcW w:w="108" w:type="dxa"/>
            <w:tcBorders/>
            <w:vAlign w:val="bottom"/>
          </w:tcPr>
          <w:p>
            <w:pPr>
              <w:pStyle w:val="TableContents"/>
              <w:bidi w:val="0"/>
              <w:spacing w:before="0" w:after="283"/>
              <w:jc w:val="left"/>
              <w:rPr/>
            </w:pPr>
            <w:r>
              <w:rPr/>
              <w:t> </w:t>
            </w:r>
          </w:p>
        </w:tc>
        <w:tc>
          <w:tcPr>
            <w:tcW w:w="146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6148" w:type="dxa"/>
            <w:tcBorders/>
          </w:tcPr>
          <w:p>
            <w:pPr>
              <w:pStyle w:val="TableContents"/>
              <w:bidi w:val="0"/>
              <w:spacing w:before="0" w:after="283"/>
              <w:jc w:val="left"/>
              <w:rPr>
                <w:sz w:val="4"/>
                <w:szCs w:val="4"/>
              </w:rPr>
            </w:pPr>
            <w:r>
              <w:rPr>
                <w:sz w:val="4"/>
                <w:szCs w:val="4"/>
              </w:rPr>
            </w:r>
          </w:p>
        </w:tc>
      </w:tr>
      <w:tr>
        <w:trPr>
          <w:trHeight w:val="120" w:hRule="atLeast"/>
        </w:trPr>
        <w:tc>
          <w:tcPr>
            <w:tcW w:w="2360" w:type="dxa"/>
            <w:tcBorders/>
            <w:vAlign w:val="center"/>
          </w:tcPr>
          <w:p>
            <w:pPr>
              <w:pStyle w:val="TableContents"/>
              <w:bidi w:val="0"/>
              <w:spacing w:before="0" w:after="283"/>
              <w:jc w:val="left"/>
              <w:rPr>
                <w:sz w:val="4"/>
                <w:szCs w:val="4"/>
              </w:rPr>
            </w:pPr>
            <w:r>
              <w:rPr>
                <w:sz w:val="4"/>
                <w:szCs w:val="4"/>
              </w:rPr>
            </w:r>
          </w:p>
        </w:tc>
        <w:tc>
          <w:tcPr>
            <w:tcW w:w="1577" w:type="dxa"/>
            <w:gridSpan w:val="2"/>
            <w:tcBorders/>
            <w:vAlign w:val="center"/>
          </w:tcPr>
          <w:p>
            <w:pPr>
              <w:pStyle w:val="TableContents"/>
              <w:bidi w:val="0"/>
              <w:spacing w:before="0" w:after="283"/>
              <w:jc w:val="left"/>
              <w:rPr>
                <w:sz w:val="4"/>
                <w:szCs w:val="4"/>
              </w:rPr>
            </w:pPr>
            <w:r>
              <w:rPr>
                <w:sz w:val="4"/>
                <w:szCs w:val="4"/>
              </w:rPr>
            </w:r>
          </w:p>
        </w:tc>
        <w:tc>
          <w:tcPr>
            <w:tcW w:w="6268"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Total Number of Units:</w:t>
            </w:r>
          </w:p>
        </w:tc>
        <w:tc>
          <w:tcPr>
            <w:tcW w:w="108" w:type="dxa"/>
            <w:tcBorders/>
            <w:vAlign w:val="bottom"/>
          </w:tcPr>
          <w:p>
            <w:pPr>
              <w:pStyle w:val="TableContents"/>
              <w:bidi w:val="0"/>
              <w:spacing w:before="0" w:after="283"/>
              <w:jc w:val="left"/>
              <w:rPr/>
            </w:pPr>
            <w:r>
              <w:rPr/>
              <w:t> </w:t>
            </w:r>
          </w:p>
        </w:tc>
        <w:tc>
          <w:tcPr>
            <w:tcW w:w="1469" w:type="dxa"/>
            <w:tcBorders/>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6148" w:type="dxa"/>
            <w:tcBorders/>
          </w:tcPr>
          <w:p>
            <w:pPr>
              <w:pStyle w:val="TableContents"/>
              <w:bidi w:val="0"/>
              <w:spacing w:before="0" w:after="283"/>
              <w:jc w:val="left"/>
              <w:rPr/>
            </w:pPr>
            <w:r>
              <w:rPr/>
              <w:t>(each a “</w:t>
            </w:r>
            <w:r>
              <w:rPr>
                <w:b/>
                <w:i/>
              </w:rPr>
              <w:t>Unit</w:t>
            </w:r>
            <w:r>
              <w:rPr/>
              <w:t>”), subject to adjustment as provided by the Restricted Stock Units Agreement.</w:t>
            </w:r>
          </w:p>
        </w:tc>
      </w:tr>
      <w:tr>
        <w:trPr>
          <w:trHeight w:val="120" w:hRule="atLeast"/>
        </w:trPr>
        <w:tc>
          <w:tcPr>
            <w:tcW w:w="2360" w:type="dxa"/>
            <w:tcBorders/>
            <w:vAlign w:val="center"/>
          </w:tcPr>
          <w:p>
            <w:pPr>
              <w:pStyle w:val="TableContents"/>
              <w:bidi w:val="0"/>
              <w:spacing w:before="0" w:after="283"/>
              <w:jc w:val="left"/>
              <w:rPr>
                <w:sz w:val="4"/>
                <w:szCs w:val="4"/>
              </w:rPr>
            </w:pPr>
            <w:r>
              <w:rPr>
                <w:sz w:val="4"/>
                <w:szCs w:val="4"/>
              </w:rPr>
            </w:r>
          </w:p>
        </w:tc>
        <w:tc>
          <w:tcPr>
            <w:tcW w:w="7845"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Settlement Date:</w:t>
            </w:r>
          </w:p>
        </w:tc>
        <w:tc>
          <w:tcPr>
            <w:tcW w:w="108" w:type="dxa"/>
            <w:tcBorders/>
            <w:vAlign w:val="bottom"/>
          </w:tcPr>
          <w:p>
            <w:pPr>
              <w:pStyle w:val="TableContents"/>
              <w:bidi w:val="0"/>
              <w:spacing w:before="0" w:after="283"/>
              <w:jc w:val="left"/>
              <w:rPr/>
            </w:pPr>
            <w:r>
              <w:rPr/>
              <w:t> </w:t>
            </w:r>
          </w:p>
        </w:tc>
        <w:tc>
          <w:tcPr>
            <w:tcW w:w="7737" w:type="dxa"/>
            <w:gridSpan w:val="3"/>
            <w:tcBorders/>
          </w:tcPr>
          <w:p>
            <w:pPr>
              <w:pStyle w:val="TableContents"/>
              <w:bidi w:val="0"/>
              <w:spacing w:before="0" w:after="283"/>
              <w:jc w:val="left"/>
              <w:rPr/>
            </w:pPr>
            <w:r>
              <w:rPr/>
              <w:t>Except as provided by the Restricted Stock Units Agreement, the date on which a Unit becomes a Vested Unit.</w:t>
            </w:r>
          </w:p>
        </w:tc>
      </w:tr>
      <w:tr>
        <w:trPr>
          <w:trHeight w:val="120" w:hRule="atLeast"/>
        </w:trPr>
        <w:tc>
          <w:tcPr>
            <w:tcW w:w="2360" w:type="dxa"/>
            <w:tcBorders/>
            <w:vAlign w:val="center"/>
          </w:tcPr>
          <w:p>
            <w:pPr>
              <w:pStyle w:val="TableContents"/>
              <w:bidi w:val="0"/>
              <w:spacing w:before="0" w:after="283"/>
              <w:jc w:val="left"/>
              <w:rPr>
                <w:sz w:val="4"/>
                <w:szCs w:val="4"/>
              </w:rPr>
            </w:pPr>
            <w:r>
              <w:rPr>
                <w:sz w:val="4"/>
                <w:szCs w:val="4"/>
              </w:rPr>
            </w:r>
          </w:p>
        </w:tc>
        <w:tc>
          <w:tcPr>
            <w:tcW w:w="7845"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Vesting Start Date:</w:t>
            </w:r>
          </w:p>
        </w:tc>
        <w:tc>
          <w:tcPr>
            <w:tcW w:w="108" w:type="dxa"/>
            <w:tcBorders/>
            <w:vAlign w:val="bottom"/>
          </w:tcPr>
          <w:p>
            <w:pPr>
              <w:pStyle w:val="TableContents"/>
              <w:bidi w:val="0"/>
              <w:spacing w:before="0" w:after="283"/>
              <w:jc w:val="left"/>
              <w:rPr/>
            </w:pPr>
            <w:r>
              <w:rPr/>
              <w:t> </w:t>
            </w:r>
          </w:p>
        </w:tc>
        <w:tc>
          <w:tcPr>
            <w:tcW w:w="7737" w:type="dxa"/>
            <w:gridSpan w:val="3"/>
            <w:tcBorders/>
          </w:tcPr>
          <w:p>
            <w:pPr>
              <w:pStyle w:val="TableContents"/>
              <w:bidi w:val="0"/>
              <w:spacing w:before="0" w:after="283"/>
              <w:jc w:val="left"/>
              <w:rPr/>
            </w:pPr>
            <w:r>
              <w:rPr/>
              <w:t>[February 15, [____]][May 15, [____]][August 15, [____]][November 15, [____]]</w:t>
            </w:r>
          </w:p>
        </w:tc>
      </w:tr>
      <w:tr>
        <w:trPr>
          <w:trHeight w:val="120" w:hRule="atLeast"/>
        </w:trPr>
        <w:tc>
          <w:tcPr>
            <w:tcW w:w="2360" w:type="dxa"/>
            <w:tcBorders/>
            <w:vAlign w:val="center"/>
          </w:tcPr>
          <w:p>
            <w:pPr>
              <w:pStyle w:val="TableContents"/>
              <w:bidi w:val="0"/>
              <w:spacing w:before="0" w:after="283"/>
              <w:jc w:val="left"/>
              <w:rPr>
                <w:sz w:val="4"/>
                <w:szCs w:val="4"/>
              </w:rPr>
            </w:pPr>
            <w:r>
              <w:rPr>
                <w:sz w:val="4"/>
                <w:szCs w:val="4"/>
              </w:rPr>
            </w:r>
          </w:p>
        </w:tc>
        <w:tc>
          <w:tcPr>
            <w:tcW w:w="7845"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tcPr>
          <w:p>
            <w:pPr>
              <w:pStyle w:val="TableContents"/>
              <w:bidi w:val="0"/>
              <w:spacing w:before="0" w:after="283"/>
              <w:jc w:val="left"/>
              <w:rPr>
                <w:b/>
              </w:rPr>
            </w:pPr>
            <w:r>
              <w:rPr>
                <w:b/>
              </w:rPr>
              <w:t>Vested Units:</w:t>
            </w:r>
          </w:p>
        </w:tc>
        <w:tc>
          <w:tcPr>
            <w:tcW w:w="108" w:type="dxa"/>
            <w:tcBorders/>
            <w:vAlign w:val="bottom"/>
          </w:tcPr>
          <w:p>
            <w:pPr>
              <w:pStyle w:val="TableContents"/>
              <w:bidi w:val="0"/>
              <w:spacing w:before="0" w:after="283"/>
              <w:jc w:val="left"/>
              <w:rPr/>
            </w:pPr>
            <w:r>
              <w:rPr/>
              <w:t> </w:t>
            </w:r>
          </w:p>
        </w:tc>
        <w:tc>
          <w:tcPr>
            <w:tcW w:w="7737" w:type="dxa"/>
            <w:gridSpan w:val="3"/>
            <w:tcBorders/>
          </w:tcPr>
          <w:p>
            <w:pPr>
              <w:pStyle w:val="TableContents"/>
              <w:bidi w:val="0"/>
              <w:spacing w:before="0" w:after="283"/>
              <w:jc w:val="left"/>
              <w:rPr/>
            </w:pPr>
            <w:r>
              <w:rPr/>
              <w:t>Except as provided in the Restricted Stock Units Agreement or this Grant Notice and provided that the Participant’s Service has not terminated prior to the applicable date, the number of Vested Units (disregarding any resulting fractional Unit) shall cumulatively increase on each respective date set forth below by the Vested Percentage set forth opposite such date, as follows: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38"/>
        <w:gridCol w:w="286"/>
        <w:gridCol w:w="6680"/>
        <w:gridCol w:w="342"/>
        <w:gridCol w:w="1159"/>
      </w:tblGrid>
      <w:tr>
        <w:trPr/>
        <w:tc>
          <w:tcPr>
            <w:tcW w:w="1738"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1738" w:type="dxa"/>
            <w:vMerge w:val="restart"/>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6680" w:type="dxa"/>
            <w:tcBorders/>
            <w:vAlign w:val="bottom"/>
          </w:tcPr>
          <w:p>
            <w:pPr>
              <w:pStyle w:val="TableContents"/>
              <w:bidi w:val="0"/>
              <w:spacing w:before="0" w:after="283"/>
              <w:jc w:val="center"/>
              <w:rPr>
                <w:b/>
              </w:rPr>
            </w:pPr>
            <w:r>
              <w:rPr>
                <w:b/>
              </w:rPr>
              <w:t>Vesting Date</w:t>
            </w:r>
          </w:p>
        </w:tc>
        <w:tc>
          <w:tcPr>
            <w:tcW w:w="342" w:type="dxa"/>
            <w:tcBorders/>
            <w:vAlign w:val="bottom"/>
          </w:tcPr>
          <w:p>
            <w:pPr>
              <w:pStyle w:val="TableContents"/>
              <w:bidi w:val="0"/>
              <w:spacing w:before="0" w:after="283"/>
              <w:jc w:val="left"/>
              <w:rPr/>
            </w:pPr>
            <w:r>
              <w:rPr/>
              <w:t>  </w:t>
            </w:r>
          </w:p>
        </w:tc>
        <w:tc>
          <w:tcPr>
            <w:tcW w:w="1159" w:type="dxa"/>
            <w:tcBorders>
              <w:bottom w:val="single" w:sz="8" w:space="0" w:color="000000"/>
            </w:tcBorders>
            <w:tcMar>
              <w:bottom w:w="28" w:type="dxa"/>
            </w:tcMar>
            <w:vAlign w:val="bottom"/>
          </w:tcPr>
          <w:p>
            <w:pPr>
              <w:pStyle w:val="TableContents"/>
              <w:bidi w:val="0"/>
              <w:spacing w:before="0" w:after="283"/>
              <w:jc w:val="center"/>
              <w:rPr>
                <w:b/>
              </w:rPr>
            </w:pPr>
            <w:r>
              <w:rPr>
                <w:b/>
              </w:rPr>
              <w:t>Vested</w:t>
              <w:br/>
              <w:t>Percentage</w:t>
            </w:r>
          </w:p>
        </w:tc>
      </w:tr>
      <w:tr>
        <w:trPr/>
        <w:tc>
          <w:tcPr>
            <w:tcW w:w="1738" w:type="dxa"/>
            <w:vMerge w:val="continue"/>
            <w:tcBorders/>
            <w:shd w:fill="CCEEFF" w:val="clear"/>
            <w:vAlign w:val="bottom"/>
          </w:tcPr>
          <w:p>
            <w:pPr>
              <w:pStyle w:val="Normal"/>
              <w:bidi w:val="0"/>
              <w:jc w:val="left"/>
              <w:rPr/>
            </w:pPr>
            <w:r>
              <w:rPr/>
            </w:r>
          </w:p>
        </w:tc>
        <w:tc>
          <w:tcPr>
            <w:tcW w:w="286" w:type="dxa"/>
            <w:tcBorders/>
            <w:shd w:fill="CCEEFF" w:val="clear"/>
            <w:vAlign w:val="bottom"/>
          </w:tcPr>
          <w:p>
            <w:pPr>
              <w:pStyle w:val="TableContents"/>
              <w:bidi w:val="0"/>
              <w:spacing w:before="0" w:after="283"/>
              <w:jc w:val="left"/>
              <w:rPr/>
            </w:pPr>
            <w:r>
              <w:rPr/>
              <w:t> </w:t>
            </w:r>
          </w:p>
        </w:tc>
        <w:tc>
          <w:tcPr>
            <w:tcW w:w="6680" w:type="dxa"/>
            <w:tcBorders/>
            <w:shd w:fill="CCEEFF" w:val="clear"/>
            <w:vAlign w:val="bottom"/>
          </w:tcPr>
          <w:p>
            <w:pPr>
              <w:pStyle w:val="TableContents"/>
              <w:bidi w:val="0"/>
              <w:spacing w:before="0" w:after="283"/>
              <w:jc w:val="left"/>
              <w:rPr/>
            </w:pPr>
            <w:r>
              <w:rPr/>
              <w:t>Prior to the three- (3-) month anniversary of Vesting Start Date</w:t>
            </w:r>
          </w:p>
        </w:tc>
        <w:tc>
          <w:tcPr>
            <w:tcW w:w="342"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center"/>
              <w:rPr/>
            </w:pPr>
            <w:r>
              <w:rPr/>
              <w:t>0%</w:t>
            </w:r>
          </w:p>
        </w:tc>
      </w:tr>
      <w:tr>
        <w:trPr/>
        <w:tc>
          <w:tcPr>
            <w:tcW w:w="1738" w:type="dxa"/>
            <w:vMerge w:val="continue"/>
            <w:tcBorders/>
            <w:vAlign w:val="bottom"/>
          </w:tcPr>
          <w:p>
            <w:pPr>
              <w:pStyle w:val="Normal"/>
              <w:bidi w:val="0"/>
              <w:jc w:val="left"/>
              <w:rPr/>
            </w:pPr>
            <w:r>
              <w:rPr/>
            </w:r>
          </w:p>
        </w:tc>
        <w:tc>
          <w:tcPr>
            <w:tcW w:w="286" w:type="dxa"/>
            <w:tcBorders/>
            <w:vAlign w:val="bottom"/>
          </w:tcPr>
          <w:p>
            <w:pPr>
              <w:pStyle w:val="TableContents"/>
              <w:bidi w:val="0"/>
              <w:spacing w:before="0" w:after="283"/>
              <w:jc w:val="left"/>
              <w:rPr/>
            </w:pPr>
            <w:r>
              <w:rPr/>
              <w:t> </w:t>
            </w:r>
          </w:p>
        </w:tc>
        <w:tc>
          <w:tcPr>
            <w:tcW w:w="6680" w:type="dxa"/>
            <w:tcBorders/>
            <w:vAlign w:val="bottom"/>
          </w:tcPr>
          <w:p>
            <w:pPr>
              <w:pStyle w:val="TableContents"/>
              <w:bidi w:val="0"/>
              <w:spacing w:before="0" w:after="283"/>
              <w:jc w:val="left"/>
              <w:rPr/>
            </w:pPr>
            <w:r>
              <w:rPr/>
              <w:t>On the three- (3-) month anniversary of Vesting Start Date (the “</w:t>
            </w:r>
            <w:r>
              <w:rPr>
                <w:b/>
                <w:i/>
              </w:rPr>
              <w:t>Initial Vesting Date</w:t>
            </w:r>
            <w:r>
              <w:rPr/>
              <w:t>”)</w:t>
            </w:r>
          </w:p>
        </w:tc>
        <w:tc>
          <w:tcPr>
            <w:tcW w:w="342"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center"/>
              <w:rPr/>
            </w:pPr>
            <w:r>
              <w:rPr/>
              <w:t>[25%]</w:t>
            </w:r>
          </w:p>
        </w:tc>
      </w:tr>
      <w:tr>
        <w:trPr/>
        <w:tc>
          <w:tcPr>
            <w:tcW w:w="1738" w:type="dxa"/>
            <w:vMerge w:val="continue"/>
            <w:tcBorders/>
            <w:shd w:fill="CCEEFF" w:val="clear"/>
            <w:vAlign w:val="bottom"/>
          </w:tcPr>
          <w:p>
            <w:pPr>
              <w:pStyle w:val="Normal"/>
              <w:bidi w:val="0"/>
              <w:jc w:val="left"/>
              <w:rPr/>
            </w:pPr>
            <w:r>
              <w:rPr/>
            </w:r>
          </w:p>
        </w:tc>
        <w:tc>
          <w:tcPr>
            <w:tcW w:w="286" w:type="dxa"/>
            <w:tcBorders/>
            <w:shd w:fill="CCEEFF" w:val="clear"/>
            <w:vAlign w:val="bottom"/>
          </w:tcPr>
          <w:p>
            <w:pPr>
              <w:pStyle w:val="TableContents"/>
              <w:bidi w:val="0"/>
              <w:spacing w:before="0" w:after="283"/>
              <w:jc w:val="left"/>
              <w:rPr/>
            </w:pPr>
            <w:r>
              <w:rPr/>
              <w:t> </w:t>
            </w:r>
          </w:p>
        </w:tc>
        <w:tc>
          <w:tcPr>
            <w:tcW w:w="6680" w:type="dxa"/>
            <w:tcBorders/>
            <w:shd w:fill="CCEEFF" w:val="clear"/>
            <w:vAlign w:val="bottom"/>
          </w:tcPr>
          <w:p>
            <w:pPr>
              <w:pStyle w:val="TableContents"/>
              <w:bidi w:val="0"/>
              <w:spacing w:before="0" w:after="283"/>
              <w:jc w:val="left"/>
              <w:rPr/>
            </w:pPr>
            <w:r>
              <w:rPr/>
              <w:t>On the Six- (6-) month anniversary of Vesting Start Date</w:t>
            </w:r>
          </w:p>
        </w:tc>
        <w:tc>
          <w:tcPr>
            <w:tcW w:w="342"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center"/>
              <w:rPr/>
            </w:pPr>
            <w:r>
              <w:rPr/>
              <w:t>[25%]</w:t>
            </w:r>
          </w:p>
        </w:tc>
      </w:tr>
      <w:tr>
        <w:trPr/>
        <w:tc>
          <w:tcPr>
            <w:tcW w:w="1738" w:type="dxa"/>
            <w:vMerge w:val="continue"/>
            <w:tcBorders/>
            <w:vAlign w:val="bottom"/>
          </w:tcPr>
          <w:p>
            <w:pPr>
              <w:pStyle w:val="Normal"/>
              <w:bidi w:val="0"/>
              <w:jc w:val="left"/>
              <w:rPr/>
            </w:pPr>
            <w:r>
              <w:rPr/>
            </w:r>
          </w:p>
        </w:tc>
        <w:tc>
          <w:tcPr>
            <w:tcW w:w="286" w:type="dxa"/>
            <w:tcBorders/>
            <w:vAlign w:val="bottom"/>
          </w:tcPr>
          <w:p>
            <w:pPr>
              <w:pStyle w:val="TableContents"/>
              <w:bidi w:val="0"/>
              <w:spacing w:before="0" w:after="283"/>
              <w:jc w:val="left"/>
              <w:rPr/>
            </w:pPr>
            <w:r>
              <w:rPr/>
              <w:t> </w:t>
            </w:r>
          </w:p>
        </w:tc>
        <w:tc>
          <w:tcPr>
            <w:tcW w:w="6680" w:type="dxa"/>
            <w:tcBorders/>
            <w:vAlign w:val="bottom"/>
          </w:tcPr>
          <w:p>
            <w:pPr>
              <w:pStyle w:val="TableContents"/>
              <w:bidi w:val="0"/>
              <w:spacing w:before="0" w:after="283"/>
              <w:jc w:val="left"/>
              <w:rPr/>
            </w:pPr>
            <w:r>
              <w:rPr/>
              <w:t>On the nine- (9-) month anniversary of Vesting Start Date</w:t>
            </w:r>
          </w:p>
        </w:tc>
        <w:tc>
          <w:tcPr>
            <w:tcW w:w="342"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center"/>
              <w:rPr/>
            </w:pPr>
            <w:r>
              <w:rPr/>
              <w:t>[25%]</w:t>
            </w:r>
          </w:p>
        </w:tc>
      </w:tr>
      <w:tr>
        <w:trPr/>
        <w:tc>
          <w:tcPr>
            <w:tcW w:w="1738" w:type="dxa"/>
            <w:vMerge w:val="continue"/>
            <w:tcBorders/>
            <w:shd w:fill="CCEEFF" w:val="clear"/>
            <w:vAlign w:val="bottom"/>
          </w:tcPr>
          <w:p>
            <w:pPr>
              <w:pStyle w:val="Normal"/>
              <w:bidi w:val="0"/>
              <w:jc w:val="left"/>
              <w:rPr/>
            </w:pPr>
            <w:r>
              <w:rPr/>
            </w:r>
          </w:p>
        </w:tc>
        <w:tc>
          <w:tcPr>
            <w:tcW w:w="286" w:type="dxa"/>
            <w:tcBorders/>
            <w:shd w:fill="CCEEFF" w:val="clear"/>
            <w:vAlign w:val="bottom"/>
          </w:tcPr>
          <w:p>
            <w:pPr>
              <w:pStyle w:val="TableContents"/>
              <w:bidi w:val="0"/>
              <w:spacing w:before="0" w:after="283"/>
              <w:jc w:val="left"/>
              <w:rPr/>
            </w:pPr>
            <w:r>
              <w:rPr/>
              <w:t> </w:t>
            </w:r>
          </w:p>
        </w:tc>
        <w:tc>
          <w:tcPr>
            <w:tcW w:w="6680" w:type="dxa"/>
            <w:tcBorders/>
            <w:shd w:fill="CCEEFF" w:val="clear"/>
            <w:vAlign w:val="bottom"/>
          </w:tcPr>
          <w:p>
            <w:pPr>
              <w:pStyle w:val="TableContents"/>
              <w:bidi w:val="0"/>
              <w:spacing w:before="0" w:after="283"/>
              <w:jc w:val="left"/>
              <w:rPr/>
            </w:pPr>
            <w:r>
              <w:rPr/>
              <w:t>On the twelve- (12-) month anniversary of Vesting Start Date</w:t>
            </w:r>
          </w:p>
        </w:tc>
        <w:tc>
          <w:tcPr>
            <w:tcW w:w="342"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center"/>
              <w:rPr/>
            </w:pPr>
            <w:r>
              <w:rPr/>
              <w:t>[25%]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4"/>
        <w:gridCol w:w="107"/>
        <w:gridCol w:w="7614"/>
      </w:tblGrid>
      <w:tr>
        <w:trPr/>
        <w:tc>
          <w:tcPr>
            <w:tcW w:w="2484"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614" w:type="dxa"/>
            <w:tcBorders/>
            <w:vAlign w:val="center"/>
          </w:tcPr>
          <w:p>
            <w:pPr>
              <w:pStyle w:val="TableContents"/>
              <w:bidi w:val="0"/>
              <w:spacing w:before="0" w:after="283"/>
              <w:jc w:val="left"/>
              <w:rPr>
                <w:sz w:val="4"/>
                <w:szCs w:val="4"/>
              </w:rPr>
            </w:pPr>
            <w:r>
              <w:rPr>
                <w:sz w:val="4"/>
                <w:szCs w:val="4"/>
              </w:rPr>
            </w:r>
          </w:p>
        </w:tc>
      </w:tr>
      <w:tr>
        <w:trPr/>
        <w:tc>
          <w:tcPr>
            <w:tcW w:w="2484" w:type="dxa"/>
            <w:tcBorders/>
            <w:vAlign w:val="bottom"/>
          </w:tcPr>
          <w:p>
            <w:pPr>
              <w:pStyle w:val="TableContents"/>
              <w:bidi w:val="0"/>
              <w:spacing w:before="0" w:after="283"/>
              <w:jc w:val="left"/>
              <w:rPr>
                <w:b/>
              </w:rPr>
            </w:pPr>
            <w:r>
              <w:rPr>
                <w:b/>
              </w:rPr>
              <w:t>Superseding Agreement:</w:t>
            </w:r>
          </w:p>
        </w:tc>
        <w:tc>
          <w:tcPr>
            <w:tcW w:w="107" w:type="dxa"/>
            <w:tcBorders/>
            <w:vAlign w:val="bottom"/>
          </w:tcPr>
          <w:p>
            <w:pPr>
              <w:pStyle w:val="TableContents"/>
              <w:bidi w:val="0"/>
              <w:spacing w:before="0" w:after="283"/>
              <w:jc w:val="left"/>
              <w:rPr/>
            </w:pPr>
            <w:r>
              <w:rPr/>
              <w:t> </w:t>
            </w:r>
          </w:p>
        </w:tc>
        <w:tc>
          <w:tcPr>
            <w:tcW w:w="7614" w:type="dxa"/>
            <w:tcBorders/>
            <w:vAlign w:val="bottom"/>
          </w:tcPr>
          <w:p>
            <w:pPr>
              <w:pStyle w:val="TableContents"/>
              <w:bidi w:val="0"/>
              <w:spacing w:before="0" w:after="283"/>
              <w:jc w:val="left"/>
              <w:rPr/>
            </w:pPr>
            <w:r>
              <w:rPr/>
              <w:t>  </w:t>
            </w:r>
            <w:r>
              <w:rPr/>
              <w:t>None.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4497"/>
        <w:gridCol w:w="101"/>
        <w:gridCol w:w="407"/>
        <w:gridCol w:w="60"/>
        <w:gridCol w:w="23"/>
        <w:gridCol w:w="101"/>
        <w:gridCol w:w="4609"/>
      </w:tblGrid>
      <w:tr>
        <w:trPr/>
        <w:tc>
          <w:tcPr>
            <w:tcW w:w="30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4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609"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Pr>
          <w:p>
            <w:pPr>
              <w:pStyle w:val="TableContents"/>
              <w:bidi w:val="0"/>
              <w:spacing w:before="0" w:after="283"/>
              <w:jc w:val="left"/>
              <w:rPr>
                <w:b/>
              </w:rPr>
            </w:pPr>
            <w:r>
              <w:rPr>
                <w:b/>
              </w:rPr>
              <w:t>HADRON ENERGY, INC.</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b/>
              </w:rPr>
            </w:pPr>
            <w:r>
              <w:rPr>
                <w:b/>
              </w:rPr>
              <w:t>PARTICIPANT</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Samuel Gibson</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Signature</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pPr>
            <w:r>
              <w:rPr/>
              <w:t>Chief Executive Officer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bidi w:val="0"/>
              <w:spacing w:before="0" w:after="283"/>
              <w:jc w:val="left"/>
              <w:rPr/>
            </w:pPr>
            <w:r>
              <w:rPr/>
              <w:t>Date</w:t>
            </w:r>
          </w:p>
        </w:tc>
      </w:tr>
      <w:tr>
        <w:trPr/>
        <w:tc>
          <w:tcPr>
            <w:tcW w:w="4904" w:type="dxa"/>
            <w:gridSpan w:val="3"/>
            <w:tcBorders/>
          </w:tcPr>
          <w:p>
            <w:pPr>
              <w:pStyle w:val="TableContents"/>
              <w:bidi w:val="0"/>
              <w:spacing w:before="0" w:after="283"/>
              <w:jc w:val="left"/>
              <w:rPr/>
            </w:pPr>
            <w:r>
              <w:rPr/>
              <w:t>Address:</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pPr>
            <w:r>
              <w:rPr/>
              <w:t> </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4598"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710"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49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6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Address</w:t>
            </w:r>
          </w:p>
        </w:tc>
      </w:tr>
    </w:tbl>
    <w:p>
      <w:pPr>
        <w:pStyle w:val="TextBody"/>
        <w:bidi w:val="0"/>
        <w:spacing w:before="240" w:after="0"/>
        <w:jc w:val="left"/>
        <w:rPr>
          <w:rFonts w:ascii="Times New Roman" w:hAnsi="Times New Roman"/>
          <w:sz w:val="20"/>
        </w:rPr>
      </w:pPr>
      <w:r>
        <w:rPr>
          <w:rFonts w:ascii="Times New Roman" w:hAnsi="Times New Roman"/>
          <w:sz w:val="20"/>
        </w:rPr>
        <w:t xml:space="preserve">ATTACHMENTS: 2026 Equity Incentive Plan, Restricted Stock Units Agreement and Plan Prospectus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5906</Words>
  <Characters>31326</Characters>
  <CharactersWithSpaces>37360</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