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d126481d424b3.htm"/>
      <w:bookmarkStart w:id="1" w:name="ksd126481d424b3"/>
      <w:bookmarkStart w:id="2" w:name="d126481d424b3.htm"/>
      <w:bookmarkStart w:id="3" w:name="ksd126481d424b3"/>
      <w:bookmarkEnd w:id="2"/>
      <w:bookmarkEnd w:id="3"/>
    </w:p>
    <w:tbl>
      <w:tblPr>
        <w:tblW w:w="5000" w:type="pct"/>
        <w:jc w:val="center"/>
        <w:tblInd w:w="0" w:type="dxa"/>
        <w:tblLayout w:type="fixed"/>
        <w:tblCellMar>
          <w:top w:w="0" w:type="dxa"/>
          <w:left w:w="0" w:type="dxa"/>
          <w:bottom w:w="0" w:type="dxa"/>
          <w:right w:w="0" w:type="dxa"/>
        </w:tblCellMar>
      </w:tblPr>
      <w:tblGrid>
        <w:gridCol w:w="5180"/>
        <w:gridCol w:w="123"/>
        <w:gridCol w:w="4902"/>
      </w:tblGrid>
      <w:tr>
        <w:trPr/>
        <w:tc>
          <w:tcPr>
            <w:tcW w:w="518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02" w:type="dxa"/>
            <w:tcBorders/>
            <w:vAlign w:val="center"/>
          </w:tcPr>
          <w:p>
            <w:pPr>
              <w:pStyle w:val="TableContents"/>
              <w:bidi w:val="0"/>
              <w:spacing w:before="0" w:after="283"/>
              <w:jc w:val="left"/>
              <w:rPr>
                <w:sz w:val="4"/>
                <w:szCs w:val="4"/>
              </w:rPr>
            </w:pPr>
            <w:r>
              <w:rPr>
                <w:sz w:val="4"/>
                <w:szCs w:val="4"/>
              </w:rPr>
            </w:r>
          </w:p>
        </w:tc>
      </w:tr>
      <w:tr>
        <w:trPr/>
        <w:tc>
          <w:tcPr>
            <w:tcW w:w="5180" w:type="dxa"/>
            <w:tcBorders/>
          </w:tcPr>
          <w:p>
            <w:pPr>
              <w:pStyle w:val="TableContents"/>
              <w:bidi w:val="0"/>
              <w:spacing w:before="0" w:after="283"/>
              <w:jc w:val="left"/>
              <w:rPr>
                <w:b/>
              </w:rPr>
            </w:pPr>
            <w:r>
              <w:rPr>
                <w:b/>
              </w:rPr>
              <w:t>Prospectus Supplement No. 3</w:t>
            </w:r>
          </w:p>
        </w:tc>
        <w:tc>
          <w:tcPr>
            <w:tcW w:w="123" w:type="dxa"/>
            <w:tcBorders/>
            <w:vAlign w:val="bottom"/>
          </w:tcPr>
          <w:p>
            <w:pPr>
              <w:pStyle w:val="TableContents"/>
              <w:bidi w:val="0"/>
              <w:spacing w:before="0" w:after="283"/>
              <w:jc w:val="left"/>
              <w:rPr/>
            </w:pPr>
            <w:r>
              <w:rPr/>
              <w:t>  </w:t>
            </w:r>
          </w:p>
        </w:tc>
        <w:tc>
          <w:tcPr>
            <w:tcW w:w="4902" w:type="dxa"/>
            <w:tcBorders/>
          </w:tcPr>
          <w:p>
            <w:pPr>
              <w:pStyle w:val="TableContents"/>
              <w:bidi w:val="0"/>
              <w:spacing w:before="0" w:after="283"/>
              <w:jc w:val="right"/>
              <w:rPr>
                <w:b/>
              </w:rPr>
            </w:pPr>
            <w:r>
              <w:rPr>
                <w:b/>
              </w:rPr>
              <w:t>Filed Pursuant to Rule 424(b)(3)</w:t>
            </w:r>
          </w:p>
        </w:tc>
      </w:tr>
      <w:tr>
        <w:trPr/>
        <w:tc>
          <w:tcPr>
            <w:tcW w:w="5180" w:type="dxa"/>
            <w:tcBorders/>
          </w:tcPr>
          <w:p>
            <w:pPr>
              <w:pStyle w:val="TableContents"/>
              <w:bidi w:val="0"/>
              <w:spacing w:before="0" w:after="283"/>
              <w:jc w:val="left"/>
              <w:rPr>
                <w:b/>
              </w:rPr>
            </w:pPr>
            <w:r>
              <w:rPr>
                <w:b/>
              </w:rPr>
              <w:t>(to Prospectus dated June 15, 2026)</w:t>
            </w:r>
          </w:p>
        </w:tc>
        <w:tc>
          <w:tcPr>
            <w:tcW w:w="123" w:type="dxa"/>
            <w:tcBorders/>
            <w:vAlign w:val="bottom"/>
          </w:tcPr>
          <w:p>
            <w:pPr>
              <w:pStyle w:val="TableContents"/>
              <w:bidi w:val="0"/>
              <w:spacing w:before="0" w:after="283"/>
              <w:jc w:val="left"/>
              <w:rPr/>
            </w:pPr>
            <w:r>
              <w:rPr/>
              <w:t>  </w:t>
            </w:r>
          </w:p>
        </w:tc>
        <w:tc>
          <w:tcPr>
            <w:tcW w:w="4902" w:type="dxa"/>
            <w:tcBorders/>
          </w:tcPr>
          <w:p>
            <w:pPr>
              <w:pStyle w:val="TableContents"/>
              <w:bidi w:val="0"/>
              <w:spacing w:before="0" w:after="283"/>
              <w:jc w:val="right"/>
              <w:rPr>
                <w:b/>
              </w:rPr>
            </w:pPr>
            <w:r>
              <w:rPr>
                <w:b/>
              </w:rPr>
              <w:t>Registration No. 333-296796</w:t>
            </w:r>
          </w:p>
        </w:tc>
      </w:tr>
    </w:tbl>
    <w:p>
      <w:pPr>
        <w:pStyle w:val="TextBody"/>
        <w:bidi w:val="0"/>
        <w:spacing w:before="240" w:after="0"/>
        <w:jc w:val="center"/>
        <w:rPr>
          <w:rFonts w:ascii="Times New Roman" w:hAnsi="Times New Roman"/>
          <w:b/>
          <w:sz w:val="48"/>
        </w:rPr>
      </w:pPr>
      <w:r>
        <w:rPr>
          <w:rFonts w:ascii="Times New Roman" w:hAnsi="Times New Roman"/>
          <w:b/>
          <w:sz w:val="48"/>
        </w:rPr>
        <w:t xml:space="preserve">HADRON ENERGY, INC. </w:t>
      </w:r>
    </w:p>
    <w:p>
      <w:pPr>
        <w:pStyle w:val="TextBody"/>
        <w:bidi w:val="0"/>
        <w:spacing w:before="240" w:after="0"/>
        <w:jc w:val="center"/>
        <w:rPr>
          <w:rFonts w:ascii="Times New Roman" w:hAnsi="Times New Roman"/>
          <w:b/>
          <w:sz w:val="28"/>
        </w:rPr>
      </w:pPr>
      <w:r>
        <w:rPr>
          <w:rFonts w:ascii="Times New Roman" w:hAnsi="Times New Roman"/>
          <w:b/>
          <w:sz w:val="28"/>
        </w:rPr>
        <w:t xml:space="preserve">Up to 28,719,000 Shares of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Up to 57,432,395 Shares of Common Stock by the Selling Securityholders </w:t>
      </w:r>
    </w:p>
    <w:p>
      <w:pPr>
        <w:pStyle w:val="TextBody"/>
        <w:bidi w:val="0"/>
        <w:spacing w:before="0" w:after="0"/>
        <w:jc w:val="center"/>
        <w:rPr>
          <w:rFonts w:ascii="Times New Roman" w:hAnsi="Times New Roman"/>
          <w:b/>
          <w:sz w:val="28"/>
        </w:rPr>
      </w:pPr>
      <w:r>
        <w:rPr>
          <w:rFonts w:ascii="Times New Roman" w:hAnsi="Times New Roman"/>
          <w:b/>
          <w:sz w:val="28"/>
        </w:rPr>
        <w:t xml:space="preserve">3,719,000 Warrants to Purchase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(this “Supplement No. 3”) updates and supplements the prospectus dated June 15, 2026 (the “Prospectus”), which forms a part of our Registration Statement on Form S-1 (Registration No. 333-296796). This prospectus supplement is being filed to update and supplement the information in the Prospectus related to information contained in the following reports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Current Report on Form 8-K as filed with the U.S. Securities and Exchange Commission (the “SEC”) on September 8, 2026, which is attached 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Supplement No. 3 updates and supplements the information in the Prospectus and is not complete without, and may not be delivered or utilized except in combination with, the Prospectus, including any amendments or supplements thereto. This Supplement No. 3 should be read in conjunction with the Prospectus and if there is any inconsistency between the information in the Prospectus and this Supplement No. 3, you should rely on the information in this Supplement No. 3.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currently listed on the Nasdaq Stock Market (the “Nasdaq”) and trades under the symbol “HDRN.”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securities involves a high degree of risk. You should carefully review the risks and uncertainties that are described under the heading “Risk Factors” beginning on page 15 of the Prospectus and in any applicable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 securities to be issued under the Prospectus or this Supplement No. 3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September 8,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320</Words>
  <Characters>1726</Characters>
  <CharactersWithSpaces>2054</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