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44"/>
        <w:spacing w:after="0"/>
        <w:rPr>
          <w:sz w:val="20"/>
          <w:szCs w:val="20"/>
          <w:color w:val="auto"/>
        </w:rPr>
      </w:pPr>
      <w:r>
        <w:rPr>
          <w:rFonts w:ascii="Times New Roman" w:cs="Times New Roman" w:eastAsia="Times New Roman" w:hAnsi="Times New Roman"/>
          <w:sz w:val="18"/>
          <w:szCs w:val="18"/>
          <w:color w:val="auto"/>
        </w:rPr>
        <w:t xml:space="preserve">DLA Piper </w:t>
      </w:r>
      <w:r>
        <w:rPr>
          <w:rFonts w:ascii="Times New Roman" w:cs="Times New Roman" w:eastAsia="Times New Roman" w:hAnsi="Times New Roman"/>
          <w:sz w:val="14"/>
          <w:szCs w:val="14"/>
          <w:color w:val="auto"/>
        </w:rPr>
        <w:t>LLP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2870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spacing w:after="0" w:line="7" w:lineRule="exact"/>
        <w:rPr>
          <w:sz w:val="24"/>
          <w:szCs w:val="24"/>
          <w:color w:val="auto"/>
        </w:rPr>
      </w:pPr>
    </w:p>
    <w:p>
      <w:pPr>
        <w:ind w:left="8044"/>
        <w:spacing w:after="0"/>
        <w:rPr>
          <w:sz w:val="20"/>
          <w:szCs w:val="20"/>
          <w:color w:val="auto"/>
        </w:rPr>
      </w:pPr>
      <w:r>
        <w:rPr>
          <w:rFonts w:ascii="Times New Roman" w:cs="Times New Roman" w:eastAsia="Times New Roman" w:hAnsi="Times New Roman"/>
          <w:sz w:val="18"/>
          <w:szCs w:val="18"/>
          <w:color w:val="auto"/>
        </w:rPr>
        <w:t>555 Mission St. #2400</w:t>
      </w:r>
    </w:p>
    <w:p>
      <w:pPr>
        <w:spacing w:after="0" w:line="9" w:lineRule="exact"/>
        <w:rPr>
          <w:sz w:val="24"/>
          <w:szCs w:val="24"/>
          <w:color w:val="auto"/>
        </w:rPr>
      </w:pPr>
    </w:p>
    <w:p>
      <w:pPr>
        <w:ind w:left="8044"/>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4"/>
          <w:szCs w:val="24"/>
          <w:color w:val="auto"/>
        </w:rPr>
      </w:pPr>
    </w:p>
    <w:p>
      <w:pPr>
        <w:ind w:left="8044"/>
        <w:spacing w:after="0"/>
        <w:rPr>
          <w:sz w:val="20"/>
          <w:szCs w:val="20"/>
          <w:color w:val="auto"/>
        </w:rPr>
      </w:pPr>
      <w:r>
        <w:rPr>
          <w:rFonts w:ascii="Times New Roman" w:cs="Times New Roman" w:eastAsia="Times New Roman" w:hAnsi="Times New Roman"/>
          <w:sz w:val="18"/>
          <w:szCs w:val="18"/>
          <w:color w:val="auto"/>
        </w:rPr>
        <w:t>www.dlapiper.com</w:t>
      </w:r>
    </w:p>
    <w:p>
      <w:pPr>
        <w:spacing w:after="0" w:line="2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Steve Lo, Kimberly Calder, Timothy S. Levenberg and Laura Nicholson</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GigCapital7, Corp.</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November 12, 2026</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333-291477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Lo, Ms. Calder, Mr. Levenberg, and Ms. Nicholson:</w:t>
      </w:r>
    </w:p>
    <w:p>
      <w:pPr>
        <w:spacing w:after="0" w:line="113" w:lineRule="exact"/>
        <w:rPr>
          <w:sz w:val="24"/>
          <w:szCs w:val="24"/>
          <w:color w:val="auto"/>
        </w:rPr>
      </w:pPr>
    </w:p>
    <w:p>
      <w:pPr>
        <w:jc w:val="both"/>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Set forth below are responses to the comments that were provided by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our client, GigCapital7,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by your letter dated January 15, 2026, regarding the above-referenced filing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w:t>
      </w:r>
    </w:p>
    <w:p>
      <w:pPr>
        <w:spacing w:after="0" w:line="225" w:lineRule="exact"/>
        <w:rPr>
          <w:sz w:val="24"/>
          <w:szCs w:val="24"/>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responses to the Staff’s comments, concurrently with the filing of this letter, GigCapital7 will file Amendment No. 1 to the Registration Statement on Form S-4 (“</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to reflect the Staff’s requested disclosure edits. Unless otherwise specified, all references to page numbers and captions correspond to the Registration Statement if referring to the Staff’s comment, or to Amendment No. 1 if in the response.</w:t>
      </w:r>
    </w:p>
    <w:p>
      <w:pPr>
        <w:spacing w:after="0" w:line="2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Form S-4 filed on November 12, 2026</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We rely heavily on our intellectual property portfolio..., page 91</w:t>
      </w:r>
    </w:p>
    <w:p>
      <w:pPr>
        <w:spacing w:after="0" w:line="131" w:lineRule="exact"/>
        <w:rPr>
          <w:sz w:val="24"/>
          <w:szCs w:val="24"/>
          <w:color w:val="auto"/>
        </w:rPr>
      </w:pPr>
    </w:p>
    <w:p>
      <w:pPr>
        <w:ind w:left="424" w:right="120" w:hanging="424"/>
        <w:spacing w:after="0" w:line="28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you either own or have significant license rights to certain intellectual property applicable to your MMR design. Please disclose the material terms of any material licensing agreements.</w:t>
      </w:r>
    </w:p>
    <w:p>
      <w:pPr>
        <w:spacing w:after="0" w:line="50" w:lineRule="exact"/>
        <w:rPr>
          <w:rFonts w:ascii="Times New Roman" w:cs="Times New Roman" w:eastAsia="Times New Roman" w:hAnsi="Times New Roman"/>
          <w:sz w:val="18"/>
          <w:szCs w:val="18"/>
          <w:color w:val="auto"/>
        </w:rPr>
      </w:pPr>
    </w:p>
    <w:p>
      <w:pPr>
        <w:ind w:left="444"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90 of Amendment No. 1 to clarify that Hadron Energy may in the future rely upon license agreements of intellectual property.</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b w:val="1"/>
          <w:bCs w:val="1"/>
          <w:u w:val="single" w:color="auto"/>
          <w:color w:val="auto"/>
        </w:rPr>
        <w:t>The proposed Domesticated GigCapital7 Charter will provide, subject to limited exceptions, that the courts of the State of Delaware..., page 109</w:t>
      </w:r>
    </w:p>
    <w:p>
      <w:pPr>
        <w:spacing w:after="0" w:line="142" w:lineRule="exact"/>
        <w:rPr>
          <w:sz w:val="24"/>
          <w:szCs w:val="24"/>
          <w:color w:val="auto"/>
        </w:rPr>
      </w:pPr>
    </w:p>
    <w:p>
      <w:pPr>
        <w:jc w:val="both"/>
        <w:ind w:left="424" w:right="80" w:hanging="424"/>
        <w:spacing w:after="0" w:line="26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in this section and in your disclosure regarding the exclusive forum provision on pages 181 all material terms of the exclusive forum provision set forth in the Form of Post-Closing Certificate of Incorporation of Hadron Energy, Inc. provided in Annex E of your filing and ensure that such disclosure is consistent with the provision set forth in Annex E.</w:t>
      </w:r>
    </w:p>
    <w:p>
      <w:pPr>
        <w:sectPr>
          <w:pgSz w:w="11900" w:h="16838" w:orient="portrait"/>
          <w:cols w:equalWidth="0" w:num="1">
            <w:col w:w="10984"/>
          </w:cols>
          <w:pgMar w:left="436" w:top="229"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44"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108-109 and 183-185 of Amendment No. 1.</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Business Combination, page 146</w:t>
      </w:r>
    </w:p>
    <w:p>
      <w:pPr>
        <w:spacing w:after="0" w:line="131" w:lineRule="exact"/>
        <w:rPr>
          <w:sz w:val="20"/>
          <w:szCs w:val="20"/>
          <w:color w:val="auto"/>
        </w:rPr>
      </w:pPr>
    </w:p>
    <w:p>
      <w:pPr>
        <w:ind w:left="424" w:hanging="424"/>
        <w:spacing w:after="0" w:line="25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your disclosure throughout this section to discuss in greater detail the substance of meetings and discussions among representatives of GigCapital7 and Hadron Energy. Identify the individuals that participated in each negotiation, the material terms that were discussed, how parties’ positions differed, and how issues were resolved. Your disclosure should reflect how the terms of the business combination evolved during negotiations. For example, we note your disclosure that on September 27, 2025, counsel for GigCapital7 provided to counsel for Hadron Energy a revised draft of the Business Combination Agreement that addressed “various structural issues” that had been identified during the legal due diligence process. Please revise to describe such structural issues and how they were addressed in the Business Combination Agreement.</w:t>
      </w:r>
    </w:p>
    <w:p>
      <w:pPr>
        <w:spacing w:after="0" w:line="7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148-150 of Amendment No. 1.</w:t>
      </w:r>
    </w:p>
    <w:p>
      <w:pPr>
        <w:spacing w:after="0" w:line="126" w:lineRule="exact"/>
        <w:rPr>
          <w:rFonts w:ascii="Times New Roman" w:cs="Times New Roman" w:eastAsia="Times New Roman" w:hAnsi="Times New Roman"/>
          <w:sz w:val="18"/>
          <w:szCs w:val="18"/>
          <w:color w:val="auto"/>
        </w:rPr>
      </w:pPr>
    </w:p>
    <w:p>
      <w:pPr>
        <w:ind w:left="424" w:right="140" w:hanging="424"/>
        <w:spacing w:after="0" w:line="259"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discuss in greater detail the role and level of involvement from the referenced third parties in the due diligence process and in the GigCapital7 board’s deliberations and analysis of the business combination. For example, explain the role and involvement of the “technical nuclear consultants” you reference and the involvement of GigCapital7’s financial advisor which supported GigCapital7 management’s view regarding valuation. With reference to your tabular presentation of the pro forma shares of the combined Company on pages 153 and 154, please address the following:</w:t>
      </w:r>
    </w:p>
    <w:p>
      <w:pPr>
        <w:spacing w:after="0" w:line="75" w:lineRule="exact"/>
        <w:rPr>
          <w:rFonts w:ascii="Times New Roman" w:cs="Times New Roman" w:eastAsia="Times New Roman" w:hAnsi="Times New Roman"/>
          <w:sz w:val="18"/>
          <w:szCs w:val="18"/>
          <w:color w:val="auto"/>
        </w:rPr>
      </w:pPr>
    </w:p>
    <w:p>
      <w:pPr>
        <w:ind w:left="444" w:right="2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149-150 and 152 of Amendment No. 1, including to correct the identification of the “financial advisor” as Hadron Energy’s financial advisor rather than as GigCapital7’s financial advisor.</w:t>
      </w:r>
    </w:p>
    <w:p>
      <w:pPr>
        <w:spacing w:after="0" w:line="77" w:lineRule="exact"/>
        <w:rPr>
          <w:rFonts w:ascii="Times New Roman" w:cs="Times New Roman" w:eastAsia="Times New Roman" w:hAnsi="Times New Roman"/>
          <w:sz w:val="18"/>
          <w:szCs w:val="18"/>
          <w:color w:val="auto"/>
        </w:rPr>
      </w:pPr>
    </w:p>
    <w:p>
      <w:pPr>
        <w:ind w:left="424" w:right="240" w:hanging="424"/>
        <w:spacing w:after="0" w:line="268"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GigCapital7 presented an exclusive letter of intent to Hadron Energy, valuing Hadron Energy at $1 billion “based on the information provided and discussed the prior day.” Please revise to clarify the information provided that was the basis for the $1 billion valuation.</w:t>
      </w:r>
    </w:p>
    <w:p>
      <w:pPr>
        <w:spacing w:after="0" w:line="6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148 of Amendment No. 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GigCapital7 Board’s Reasons for the Approval of the Business Combination, page 151</w:t>
      </w:r>
    </w:p>
    <w:p>
      <w:pPr>
        <w:spacing w:after="0" w:line="131" w:lineRule="exact"/>
        <w:rPr>
          <w:sz w:val="20"/>
          <w:szCs w:val="20"/>
          <w:color w:val="auto"/>
        </w:rPr>
      </w:pPr>
    </w:p>
    <w:p>
      <w:pPr>
        <w:ind w:left="424" w:right="14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clarify the source, nature, and substance of the “certain” unaudited prospective Hadron Energy financial information that was provided to GigCapital7 and referenced on page 151 and reconcile such reference with your statement on page 162 that “[n]o financial projections with respect to Hadron Energy were provided to the GigCapital7 Board for its consideration of the Business Combination.” Similarly, we note your disclosure on page 162 that GigCapital7 management assumed that the estimates and data that the management of GigCapital7 approved for use in preparing the Materials were reasonably prepared on bases reflecting “the best currently available estimates and good faith judgments of management of Hadron Energy as to the future financial performance of,” and are a reasonable basis upon which to assess, Hadron Energy, the Business Combination and the Merger and other matters covered thereby. Refer to Item 1606(b) of Regulation S-K. Please also clarify your reference on page 63 to the inclusion in the filing of projections and forecasts prepared by Hadron Energy, as it does not appear that you have provided such projections and forecasts in the filing.</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4"/>
        <w:spacing w:after="0" w:line="254"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152 of Amendment No. 1, including to clarify that the unaudited information provided was information pertaining to what it might cost for a data center to have a micronuclear reactor such as an MMR manufactured. As stated on page 163, no financial projections with respect to Hadron Energy were provided to the GigCapital7 Board for its consideration of the Business Combination. In addition, the Company has revised its disclosure on page 163 of Amendment No. 1 to clarify that the estimates and data used by GigCapital7 management in preparing the Materials reflected the best currently available estimates and good faith judgments of management of Hadron Energy pertaining to what it might cost for a data center to have a micronuclear reactor such as an MMR manufactured. Furthermore, the risk factor on page 63 has been deleted as there are no projections and forecasts prepared by Hadron Energy.</w:t>
      </w:r>
    </w:p>
    <w:p>
      <w:pPr>
        <w:spacing w:after="0" w:line="93" w:lineRule="exact"/>
        <w:rPr>
          <w:sz w:val="20"/>
          <w:szCs w:val="20"/>
          <w:color w:val="auto"/>
        </w:rPr>
      </w:pPr>
    </w:p>
    <w:p>
      <w:pPr>
        <w:ind w:left="444" w:right="680" w:hanging="444"/>
        <w:spacing w:after="0" w:line="450" w:lineRule="auto"/>
        <w:tabs>
          <w:tab w:leader="none" w:pos="4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Please state whether or not an unaffiliated representative was retained for the purposes that Item 1606(d) of Regulation S-K specifies. </w:t>
      </w: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The Company acknowledges the Staff’s comment and has revised its disclosure on page 151 of Amendment No. 1.</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GigCapital7 Financial Analysis, page 161</w:t>
      </w:r>
    </w:p>
    <w:p>
      <w:pPr>
        <w:spacing w:after="0" w:line="131" w:lineRule="exact"/>
        <w:rPr>
          <w:sz w:val="20"/>
          <w:szCs w:val="20"/>
          <w:color w:val="auto"/>
        </w:rPr>
      </w:pPr>
    </w:p>
    <w:p>
      <w:pPr>
        <w:ind w:left="424" w:right="60" w:hanging="424"/>
        <w:spacing w:after="0" w:line="26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the GigCapital7 Board noted the fact that based on the financial and valuation benchmarking materials, the combined company has the long-term potential to generate strong, sustainable free cash flow. Please revise to describe how the benchmarking materials provided the basis for such conclusion.</w:t>
      </w:r>
    </w:p>
    <w:p>
      <w:pPr>
        <w:spacing w:after="0" w:line="66" w:lineRule="exact"/>
        <w:rPr>
          <w:rFonts w:ascii="Times New Roman" w:cs="Times New Roman" w:eastAsia="Times New Roman" w:hAnsi="Times New Roman"/>
          <w:sz w:val="18"/>
          <w:szCs w:val="18"/>
          <w:color w:val="auto"/>
        </w:rPr>
      </w:pPr>
    </w:p>
    <w:p>
      <w:pPr>
        <w:jc w:val="both"/>
        <w:ind w:left="444" w:right="38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The Company acknowledges the Staff’s comment and has revised its disclosure on page 152 of Amendment No. 1 to delete this reference under the subheading “GigCapital7 Financial Analysis” as the benchmarking materials did not provide a basis for such calculation.</w:t>
      </w:r>
    </w:p>
    <w:p>
      <w:pPr>
        <w:spacing w:after="0" w:line="41" w:lineRule="exact"/>
        <w:rPr>
          <w:rFonts w:ascii="Times New Roman" w:cs="Times New Roman" w:eastAsia="Times New Roman" w:hAnsi="Times New Roman"/>
          <w:sz w:val="18"/>
          <w:szCs w:val="18"/>
          <w:color w:val="auto"/>
        </w:rPr>
      </w:pPr>
    </w:p>
    <w:p>
      <w:pPr>
        <w:ind w:left="424" w:right="60" w:hanging="424"/>
        <w:spacing w:after="0" w:line="26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in assessing the merits of the Business Combination and the Merger from a financial point of view, the GigCapital7 Board generally used the same valuation analysis as that reflected in the Materials and used valuation assumptions that were substantially the same as those reflected in the Materials. Please revise to clarify the valuation analysis and valuation assumptions used by the GigCapital7 Board.</w:t>
      </w:r>
    </w:p>
    <w:p>
      <w:pPr>
        <w:spacing w:after="0" w:line="7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162 of Amendment No. 1.</w:t>
      </w:r>
    </w:p>
    <w:p>
      <w:pPr>
        <w:spacing w:after="0" w:line="126" w:lineRule="exact"/>
        <w:rPr>
          <w:rFonts w:ascii="Times New Roman" w:cs="Times New Roman" w:eastAsia="Times New Roman" w:hAnsi="Times New Roman"/>
          <w:sz w:val="18"/>
          <w:szCs w:val="18"/>
          <w:color w:val="auto"/>
        </w:rPr>
      </w:pPr>
    </w:p>
    <w:p>
      <w:pPr>
        <w:ind w:left="424" w:right="160" w:hanging="424"/>
        <w:spacing w:after="0" w:line="28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To the extent material, please discuss the relative size and operations of the selected companies used in the Materials and referenced on page 163 as compared to the size and operations of Hadron Energy.</w:t>
      </w:r>
    </w:p>
    <w:p>
      <w:pPr>
        <w:spacing w:after="0" w:line="50" w:lineRule="exact"/>
        <w:rPr>
          <w:rFonts w:ascii="Times New Roman" w:cs="Times New Roman" w:eastAsia="Times New Roman" w:hAnsi="Times New Roman"/>
          <w:sz w:val="18"/>
          <w:szCs w:val="18"/>
          <w:color w:val="auto"/>
        </w:rPr>
      </w:pPr>
    </w:p>
    <w:p>
      <w:pPr>
        <w:ind w:left="444"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162 of Amendment No. 1 with respect to those companies among the selected companies used in the Materials for which the Company has determined this information is material.</w:t>
      </w:r>
    </w:p>
    <w:p>
      <w:pPr>
        <w:spacing w:after="0" w:line="63" w:lineRule="exact"/>
        <w:rPr>
          <w:rFonts w:ascii="Times New Roman" w:cs="Times New Roman" w:eastAsia="Times New Roman" w:hAnsi="Times New Roman"/>
          <w:sz w:val="18"/>
          <w:szCs w:val="18"/>
          <w:color w:val="auto"/>
        </w:rPr>
      </w:pPr>
    </w:p>
    <w:p>
      <w:pPr>
        <w:ind w:left="444" w:right="1300" w:hanging="444"/>
        <w:spacing w:after="0" w:line="450" w:lineRule="auto"/>
        <w:tabs>
          <w:tab w:leader="none" w:pos="4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Please revise to identify the “U.S. Executive Orders” referenced in this section. </w:t>
      </w:r>
      <w:r>
        <w:rPr>
          <w:rFonts w:ascii="Times New Roman" w:cs="Times New Roman" w:eastAsia="Times New Roman" w:hAnsi="Times New Roman"/>
          <w:sz w:val="17"/>
          <w:szCs w:val="17"/>
          <w:b w:val="1"/>
          <w:bCs w:val="1"/>
          <w:i w:val="1"/>
          <w:iCs w:val="1"/>
          <w:u w:val="single" w:color="auto"/>
          <w:color w:val="auto"/>
        </w:rPr>
        <w:t>Vote Required for Approval, page 167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The Company acknowledges the Staff’s comment and has revised its disclosure on page 164 of Amendment No. 1.</w:t>
      </w:r>
    </w:p>
    <w:p>
      <w:pPr>
        <w:sectPr>
          <w:pgSz w:w="11900" w:h="16838" w:orient="portrait"/>
          <w:cols w:equalWidth="0" w:num="1">
            <w:col w:w="11004"/>
          </w:cols>
          <w:pgMar w:left="436"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for Approval, page 167</w:t>
      </w:r>
    </w:p>
    <w:p>
      <w:pPr>
        <w:spacing w:after="0" w:line="131" w:lineRule="exact"/>
        <w:rPr>
          <w:sz w:val="20"/>
          <w:szCs w:val="20"/>
          <w:color w:val="auto"/>
        </w:rPr>
      </w:pPr>
    </w:p>
    <w:p>
      <w:pPr>
        <w:ind w:left="424" w:right="20" w:hanging="424"/>
        <w:spacing w:after="0" w:line="25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clarify the vote required for approval of the Business Combination. In that regard, it appears that your disclosure on page 167 that the Business Combination Proposal requires an ordinary resolution under the Companies Act, being the affirmative vote of the holders of one-third of the GigCapital7 Ordinary Shares who, being present in person or by proxy and entitled to vote at the extraordinary general meeting, vote in favor of the Business Combination Proposal at the extraordinary general meeting, does not appear to be consistent with your disclosure on page xxxiii and elsewhere in your filing that references approval by the holders of a majority of the GigCapital7 Ordinary Shares, who, being present in person or by proxy and entitled to vote at the extraordinary general meeting, vote at the extraordinary general meeting.</w:t>
      </w:r>
    </w:p>
    <w:p>
      <w:pPr>
        <w:spacing w:after="0" w:line="7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168 of Amendment No. 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Stock Issuance Proposals, page 175</w:t>
      </w:r>
    </w:p>
    <w:p>
      <w:pPr>
        <w:spacing w:after="0" w:line="131" w:lineRule="exact"/>
        <w:rPr>
          <w:sz w:val="20"/>
          <w:szCs w:val="20"/>
          <w:color w:val="auto"/>
        </w:rPr>
      </w:pPr>
    </w:p>
    <w:p>
      <w:pPr>
        <w:ind w:left="424" w:right="40" w:hanging="424"/>
        <w:spacing w:after="0" w:line="259"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each of the stock issuance proposals, please revise to state the title and amount of the securities to be issued, the terms of such securities and the nature and amount of consideration to be received by the registrant. We also note your disclosure on page viii that a form of the PIPE Subscription Agreement is attached to the proxy statement/prospectus as Annex K. However, it does not appear that such agreement has been provided as Annex K. Please revise. In addition, please revise to disclose why the BCA Stock Issuance Proposal seeks approval for the issuance of Series A Preferred Stock.</w:t>
      </w:r>
    </w:p>
    <w:p>
      <w:pPr>
        <w:spacing w:after="0" w:line="75" w:lineRule="exact"/>
        <w:rPr>
          <w:rFonts w:ascii="Times New Roman" w:cs="Times New Roman" w:eastAsia="Times New Roman" w:hAnsi="Times New Roman"/>
          <w:sz w:val="18"/>
          <w:szCs w:val="18"/>
          <w:color w:val="auto"/>
        </w:rPr>
      </w:pPr>
    </w:p>
    <w:p>
      <w:pPr>
        <w:ind w:left="44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177 of Amendment No. 1. Furthermore, the Company informs the Staff that the parties do not contemplate a PIPE Financing and therefore have removed reference of one occurring from Amendment No. 1. As a result, the Company is not attaching a form of PIPE Subscription Agreement to the proxy statement/prospectus as Annex K.</w:t>
      </w:r>
    </w:p>
    <w:p>
      <w:pPr>
        <w:spacing w:after="0" w:line="284" w:lineRule="exact"/>
        <w:rPr>
          <w:sz w:val="20"/>
          <w:szCs w:val="20"/>
          <w:color w:val="auto"/>
        </w:rPr>
      </w:pPr>
    </w:p>
    <w:p>
      <w:pPr>
        <w:ind w:left="4" w:right="7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Considerations for Holders of GigCapital7 Securities and Domesticated GigCapital7 Securities Tax Treatment of the Domestication, page 199</w:t>
      </w:r>
    </w:p>
    <w:p>
      <w:pPr>
        <w:spacing w:after="0" w:line="60" w:lineRule="exact"/>
        <w:rPr>
          <w:sz w:val="20"/>
          <w:szCs w:val="20"/>
          <w:color w:val="auto"/>
        </w:rPr>
      </w:pPr>
    </w:p>
    <w:p>
      <w:pPr>
        <w:ind w:left="424" w:right="280" w:hanging="424"/>
        <w:spacing w:after="0" w:line="26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DLA Piper LLP will deliver an opinion that states, in part, that the disclosure contained under the heading “Material U.S. Federal Income Tax Considerations for Holders of GigCapital7 Securities and Domesticated GigCapital7 Securities—Tax Treatment of the Domestication” and “—U.S. Holders—Tax Effects of the Domestication to U.S. Holders” constitutes such firm’s opinion. However, it does not appear that such statement is included in the opinion filed as Exhibit 8.2. Please revise.</w:t>
      </w:r>
    </w:p>
    <w:p>
      <w:pPr>
        <w:spacing w:after="0" w:line="72"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refiled the opinion of DLA Piper LLP (US) as Exhibit 8.2 to provide such statement.</w:t>
      </w:r>
    </w:p>
    <w:p>
      <w:pPr>
        <w:spacing w:after="0" w:line="63" w:lineRule="exact"/>
        <w:rPr>
          <w:rFonts w:ascii="Times New Roman" w:cs="Times New Roman" w:eastAsia="Times New Roman" w:hAnsi="Times New Roman"/>
          <w:sz w:val="18"/>
          <w:szCs w:val="18"/>
          <w:color w:val="auto"/>
        </w:rPr>
      </w:pPr>
    </w:p>
    <w:p>
      <w:pPr>
        <w:ind w:left="424" w:right="60" w:hanging="424"/>
        <w:spacing w:after="0" w:line="259"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regarding tax consequences of the Domestication to U.S. holders of GigCapital7 Class A Ordinary Shares and Public Warrants under proposed Treasury regulations if GigCapital7 were classified as a PFIC at any time during such U.S. Holder’s holding period in GigCapital7 Class A Ordinary Shares or Public Warrants. Please re-vise to clarify any material tax consequences of the Domestication to such holders under current provisions of the Code and Treasury regulations if GigCapital7 were classified as a PFIC at any time during such holding period.</w:t>
      </w:r>
    </w:p>
    <w:p>
      <w:pPr>
        <w:spacing w:after="0" w:line="75" w:lineRule="exact"/>
        <w:rPr>
          <w:rFonts w:ascii="Times New Roman" w:cs="Times New Roman" w:eastAsia="Times New Roman" w:hAnsi="Times New Roman"/>
          <w:sz w:val="18"/>
          <w:szCs w:val="18"/>
          <w:color w:val="auto"/>
        </w:rPr>
      </w:pPr>
    </w:p>
    <w:p>
      <w:pPr>
        <w:ind w:left="444" w:right="2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The Company acknowledges the Staff’s comment and has revised its disclosure on pages 208-209 of Amendment No. 1 to clarify material tax risks of the Domestication related to the current provisions of the Code and Treasury Regulations that concern the PFIC rules.</w:t>
      </w:r>
    </w:p>
    <w:p>
      <w:pPr>
        <w:sectPr>
          <w:pgSz w:w="11900" w:h="16838" w:orient="portrait"/>
          <w:cols w:equalWidth="0" w:num="1">
            <w:col w:w="10984"/>
          </w:cols>
          <w:pgMar w:left="436" w:top="270"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Tax Consequences of the Merger to GigCapital7 and U.S. Holders of GigCapital7 Securities, page 209</w:t>
      </w:r>
    </w:p>
    <w:p>
      <w:pPr>
        <w:spacing w:after="0" w:line="131" w:lineRule="exact"/>
        <w:rPr>
          <w:sz w:val="20"/>
          <w:szCs w:val="20"/>
          <w:color w:val="auto"/>
        </w:rPr>
      </w:pPr>
    </w:p>
    <w:p>
      <w:pPr>
        <w:ind w:left="424" w:hanging="424"/>
        <w:spacing w:after="0" w:line="25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neither GigCapital7 nor any U.S. Holder of GigCapital7 Securities that received Domesticated GigCapital7 Securities in connection with the Domestication is expected to be subject to any material U.S. federal income tax consequences as a result of the Merger. Please revise to disclose why neither GigCapital7 nor any U.S. Holder of GigCapital7 Securities that received Domesticated GigCapital7 Securities in connection with the Domestication is expected to be subject to any material U.S. federal income tax consequences as a result of the Merger and whether the tax treatment depends on whether or not the Merger qualifies as a “reorganization” under</w:t>
      </w:r>
    </w:p>
    <w:p>
      <w:pPr>
        <w:spacing w:after="0" w:line="2"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Section 368(a).</w:t>
      </w:r>
    </w:p>
    <w:p>
      <w:pPr>
        <w:spacing w:after="0" w:line="98" w:lineRule="exact"/>
        <w:rPr>
          <w:rFonts w:ascii="Times New Roman" w:cs="Times New Roman" w:eastAsia="Times New Roman" w:hAnsi="Times New Roman"/>
          <w:sz w:val="18"/>
          <w:szCs w:val="18"/>
          <w:color w:val="auto"/>
        </w:rPr>
      </w:pPr>
    </w:p>
    <w:p>
      <w:pPr>
        <w:ind w:left="444"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212-213 of Amendment No. 1 clarify that the Merger is not expected to trigger material tax consequences to either GigCapital7 or any U.S. Holder of GigCapital7 Securities that received Domesticated GigCapital7 Securities in connection with the Domestication because the Merger is not expected to give rise to a realization event for such parties for U.S. federal income tax purposes. Additionally, the Company has clarified that this result does not depend on whether the Merger is treated as a “reorganization” within the meaning of Section 368(a) of the Code.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Considerations of the Merger to Holders of Hadron Common Stock, page 218</w:t>
      </w:r>
    </w:p>
    <w:p>
      <w:pPr>
        <w:spacing w:after="0" w:line="131" w:lineRule="exact"/>
        <w:rPr>
          <w:sz w:val="20"/>
          <w:szCs w:val="20"/>
          <w:color w:val="auto"/>
        </w:rPr>
      </w:pPr>
    </w:p>
    <w:p>
      <w:pPr>
        <w:ind w:left="424" w:right="300" w:hanging="424"/>
        <w:spacing w:after="0" w:line="286"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Duane Morris LLP will deliver an opinion that the Merger “should” qualify as a “reorganization” within the meaning of Section 368(a) of the Code. If Duane Morris cannot give a “will” opinion, please disclose why not.</w:t>
      </w:r>
    </w:p>
    <w:p>
      <w:pPr>
        <w:spacing w:after="0" w:line="50" w:lineRule="exact"/>
        <w:rPr>
          <w:rFonts w:ascii="Times New Roman" w:cs="Times New Roman" w:eastAsia="Times New Roman" w:hAnsi="Times New Roman"/>
          <w:sz w:val="18"/>
          <w:szCs w:val="18"/>
          <w:color w:val="auto"/>
        </w:rPr>
      </w:pPr>
    </w:p>
    <w:p>
      <w:pPr>
        <w:ind w:left="444"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xxiv, 108 and 222 of Amendment No. 1 to state that Duane Morris LLP will deliver an opinion that the Merger “will” qualify as a “reorganization” within the meaning of Section 368(a) of the Code. The Company has also filed the opinion of Duane Morris LLP (US) as Exhibit 8.1.</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Comparative Historical and Unaudited Pro Forma Combined and Per Share Financial Information, page 224</w:t>
      </w:r>
    </w:p>
    <w:p>
      <w:pPr>
        <w:spacing w:after="0" w:line="131" w:lineRule="exact"/>
        <w:rPr>
          <w:sz w:val="20"/>
          <w:szCs w:val="20"/>
          <w:color w:val="auto"/>
        </w:rPr>
      </w:pPr>
    </w:p>
    <w:p>
      <w:pPr>
        <w:ind w:left="424" w:right="320" w:hanging="424"/>
        <w:spacing w:after="0" w:line="26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the last paragraph on page 224, you indicate that Selected Historical Financial Data of GigCapital7 is included elsewhere in this proxy statement/prospectus. However, such financial data does not appear to be presented elsewhere. Additionally, we note that the Selected Historical Financial Data of Hadron Energy is entitled Summary Historical Financial Information of Hadron Energy on page 54. Please revise this paragraph to correct for these differences.</w:t>
      </w:r>
    </w:p>
    <w:p>
      <w:pPr>
        <w:spacing w:after="0" w:line="72" w:lineRule="exact"/>
        <w:rPr>
          <w:rFonts w:ascii="Times New Roman" w:cs="Times New Roman" w:eastAsia="Times New Roman" w:hAnsi="Times New Roman"/>
          <w:sz w:val="18"/>
          <w:szCs w:val="18"/>
          <w:color w:val="auto"/>
        </w:rPr>
      </w:pPr>
    </w:p>
    <w:p>
      <w:pPr>
        <w:jc w:val="both"/>
        <w:ind w:left="444" w:righ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227 of Amendment No. 1 to delete the reference to Selected Historical Financial Data of GigCapital7 as none is included in the proxy statement/prospectus. The Company has also corrected the title of the “Selected Historical Data of Hadron Energy.”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Financial Information, page 226</w:t>
      </w:r>
    </w:p>
    <w:p>
      <w:pPr>
        <w:spacing w:after="0" w:line="131" w:lineRule="exact"/>
        <w:rPr>
          <w:sz w:val="20"/>
          <w:szCs w:val="20"/>
          <w:color w:val="auto"/>
        </w:rPr>
      </w:pPr>
    </w:p>
    <w:p>
      <w:pPr>
        <w:ind w:left="424" w:right="120" w:hanging="424"/>
        <w:spacing w:after="0" w:line="26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on the fifth page of the forepart of the document that the proxy statement/prospectus covers 143,226,087 shares of Domesticated GigCaptial7 Common Stock that are to be issued or may be issuable in connection with the business combination. In this regard, provide disclosure within the notes to the pro forma financial statements similar to the table on page 229, which presents differing number of shares, and explain the differences between the number of shares.</w:t>
      </w:r>
    </w:p>
    <w:p>
      <w:pPr>
        <w:sectPr>
          <w:pgSz w:w="11900" w:h="16838" w:orient="portrait"/>
          <w:cols w:equalWidth="0" w:num="1">
            <w:col w:w="10964"/>
          </w:cols>
          <w:pgMar w:left="436" w:top="270" w:right="49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jc w:val="both"/>
        <w:ind w:left="444" w:right="340"/>
        <w:spacing w:after="0" w:line="266"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the cover page and page 232 of Amendment No. 1 to clarify the differences between the total number of shares if there are no redemptions and the numbers of shares covered by the proxy statement/prospectus.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4. Transaction Accounting Adjustments, page 235</w:t>
      </w:r>
    </w:p>
    <w:p>
      <w:pPr>
        <w:spacing w:after="0" w:line="131" w:lineRule="exact"/>
        <w:rPr>
          <w:sz w:val="20"/>
          <w:szCs w:val="20"/>
          <w:color w:val="auto"/>
        </w:rPr>
      </w:pPr>
    </w:p>
    <w:p>
      <w:pPr>
        <w:ind w:left="424" w:right="440" w:hanging="424"/>
        <w:spacing w:after="0" w:line="33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note adjustment (C) reflects the conversion of the Hadron Energy SAFEs into 4,381,904 shares of Post-Combination Company stock. Disclose how you derived the number of shares from the conversion of SAFEs, pursuant to Rule 11-02(a)(8) of Regulation S-K. </w:t>
      </w: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239 of Amendment No. 1.</w:t>
      </w:r>
    </w:p>
    <w:p>
      <w:pPr>
        <w:spacing w:after="0" w:line="21" w:lineRule="exact"/>
        <w:rPr>
          <w:rFonts w:ascii="Times New Roman" w:cs="Times New Roman" w:eastAsia="Times New Roman" w:hAnsi="Times New Roman"/>
          <w:sz w:val="18"/>
          <w:szCs w:val="18"/>
          <w:color w:val="auto"/>
        </w:rPr>
      </w:pPr>
    </w:p>
    <w:p>
      <w:pPr>
        <w:ind w:left="424" w:hanging="424"/>
        <w:spacing w:after="0" w:line="26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adjustment (F) reflects the issuance of 84,359,866 Post-Combination Company Common Shares to Post-Combination Company stockholders, which includes 79,977,962 Hadron Energy Common Shares and conversion of the Hadron Energy SAFEs into 4,381,904 shares. Please disclose how these shares were derived, pursuant to Rule 11-02(a)(8) of Regulation S-K. In this regard, disclose the number of shares of Domesticated GigCapital7 Common Stock for the Per Share Merger Consideration.</w:t>
      </w:r>
    </w:p>
    <w:p>
      <w:pPr>
        <w:spacing w:after="0" w:line="7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239 of Amendment No. 1.</w:t>
      </w:r>
    </w:p>
    <w:p>
      <w:pPr>
        <w:spacing w:after="0" w:line="126" w:lineRule="exact"/>
        <w:rPr>
          <w:rFonts w:ascii="Times New Roman" w:cs="Times New Roman" w:eastAsia="Times New Roman" w:hAnsi="Times New Roman"/>
          <w:sz w:val="18"/>
          <w:szCs w:val="18"/>
          <w:color w:val="auto"/>
        </w:rPr>
      </w:pPr>
    </w:p>
    <w:p>
      <w:pPr>
        <w:ind w:left="424" w:right="320" w:hanging="424"/>
        <w:spacing w:after="0" w:line="326" w:lineRule="auto"/>
        <w:tabs>
          <w:tab w:leader="none" w:pos="42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Adjustment (F) reflects the issuance of 79,977,962 Post-Combination Company Common Shares to Hadron Energy Stockholders. We note from page 22 that in connection with the de-SPAC transaction, 90,000,000 shares will be issued to Hadron Energy Stockholders, though 100,000,000 shares are reflected on page 27. Please clarify the differences between the shares to be issued to Hadron Energy Stockholders. </w:t>
      </w:r>
      <w:r>
        <w:rPr>
          <w:rFonts w:ascii="Times New Roman" w:cs="Times New Roman" w:eastAsia="Times New Roman" w:hAnsi="Times New Roman"/>
          <w:sz w:val="17"/>
          <w:szCs w:val="17"/>
          <w:u w:val="single" w:color="auto"/>
          <w:color w:val="auto"/>
        </w:rPr>
        <w:t>RESPONSE</w:t>
      </w:r>
      <w:r>
        <w:rPr>
          <w:rFonts w:ascii="Times New Roman" w:cs="Times New Roman" w:eastAsia="Times New Roman" w:hAnsi="Times New Roman"/>
          <w:sz w:val="17"/>
          <w:szCs w:val="17"/>
          <w:color w:val="auto"/>
        </w:rPr>
        <w:t>: The Company acknowledges the Staff’s comment and has revised its disclosure on page 239 of Amendment No. 1.</w:t>
      </w:r>
    </w:p>
    <w:p>
      <w:pPr>
        <w:spacing w:after="0" w:line="31" w:lineRule="exact"/>
        <w:rPr>
          <w:rFonts w:ascii="Times New Roman" w:cs="Times New Roman" w:eastAsia="Times New Roman" w:hAnsi="Times New Roman"/>
          <w:sz w:val="17"/>
          <w:szCs w:val="17"/>
          <w:color w:val="auto"/>
        </w:rPr>
      </w:pPr>
    </w:p>
    <w:p>
      <w:pPr>
        <w:ind w:left="424" w:right="180" w:hanging="424"/>
        <w:spacing w:after="0" w:line="28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Explain to us why adjustment (H) uses a purchase price of $10.59 per share, while the Maximum Redemption Scenario detailed in Note 2 on page 234 uses a redemption price of $10.37 per share.</w:t>
      </w:r>
    </w:p>
    <w:p>
      <w:pPr>
        <w:spacing w:after="0" w:line="50" w:lineRule="exact"/>
        <w:rPr>
          <w:rFonts w:ascii="Times New Roman" w:cs="Times New Roman" w:eastAsia="Times New Roman" w:hAnsi="Times New Roman"/>
          <w:sz w:val="18"/>
          <w:szCs w:val="18"/>
          <w:color w:val="auto"/>
        </w:rPr>
      </w:pPr>
    </w:p>
    <w:p>
      <w:pPr>
        <w:jc w:val="both"/>
        <w:ind w:left="444"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informs the Staff that the parties do not contemplate a PIPE Financing and therefore have removed reference of one occurring from Amendment No. 1. As a result, adjustment (H) in the form referred to by the Staff has been deleted from Amendment No. 1.</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Certain Relationships and Related Person Transactions Hadron Energy Related Person Transactions, page 326</w:t>
      </w:r>
    </w:p>
    <w:p>
      <w:pPr>
        <w:spacing w:after="0" w:line="131" w:lineRule="exact"/>
        <w:rPr>
          <w:sz w:val="20"/>
          <w:szCs w:val="20"/>
          <w:color w:val="auto"/>
        </w:rPr>
      </w:pPr>
    </w:p>
    <w:p>
      <w:pPr>
        <w:jc w:val="both"/>
        <w:ind w:left="424" w:right="320" w:hanging="424"/>
        <w:spacing w:after="0" w:line="268"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ensure that you have provided all disclosure required by Item 404 of Regulation S-K with respect to each person who will serve as a director or an executive officer of the combined company. Refer to Item 18(a)(7)(iii) of Form S-4. For example, we note your disclosure on page F-45 regarding advances to the Company’s primary stockholder for certain living and other personal expenses.</w:t>
      </w:r>
    </w:p>
    <w:p>
      <w:pPr>
        <w:spacing w:after="0" w:line="6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331-332 of Amendment No. 1.</w:t>
      </w:r>
    </w:p>
    <w:p>
      <w:pPr>
        <w:sectPr>
          <w:pgSz w:w="11900" w:h="16838" w:orient="portrait"/>
          <w:cols w:equalWidth="0" w:num="1">
            <w:col w:w="11024"/>
          </w:cols>
          <w:pgMar w:left="436" w:top="270" w:right="43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9. Related Party Transactions, page F-45</w:t>
      </w:r>
    </w:p>
    <w:p>
      <w:pPr>
        <w:spacing w:after="0" w:line="131" w:lineRule="exact"/>
        <w:rPr>
          <w:sz w:val="20"/>
          <w:szCs w:val="20"/>
          <w:color w:val="auto"/>
        </w:rPr>
      </w:pPr>
    </w:p>
    <w:p>
      <w:pPr>
        <w:ind w:left="424" w:right="20" w:hanging="424"/>
        <w:spacing w:after="0" w:line="268"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 disclose due from stockholder for $63,803 and $24,614 as of June 30, 2025 and December 31, 2024, respectively, which consists of advances to the Hadron Energy’s primary stockholder for certain living and other personal expenses. For periods presented, please revise to disclose the terms and manner of settlement. Refer to ASC 850-10-50-1d.</w:t>
      </w:r>
    </w:p>
    <w:p>
      <w:pPr>
        <w:spacing w:after="0" w:line="66"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F-50 of Amendment No. 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424" w:right="100" w:hanging="424"/>
        <w:spacing w:after="0" w:line="268"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With respect to each person who will serve as a director or an executive officer of the combined company, please update your disclosure to provide the information required by Item 402 of Regulation S-K for the most recently completed fiscal year. Refer to Item 18(a)(7)(ii) of Form S-4.</w:t>
      </w:r>
    </w:p>
    <w:p>
      <w:pPr>
        <w:spacing w:after="0" w:line="66"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pages 266-268 and 334-335 of Amendment No. 1 to provide the information required by Item 402 of Regulation S-K for the most recently completed fiscal year.</w:t>
      </w:r>
    </w:p>
    <w:p>
      <w:pPr>
        <w:spacing w:after="0" w:line="162" w:lineRule="exact"/>
        <w:rPr>
          <w:sz w:val="20"/>
          <w:szCs w:val="20"/>
          <w:color w:val="auto"/>
        </w:rPr>
      </w:pPr>
    </w:p>
    <w:p>
      <w:pPr>
        <w:jc w:val="center"/>
        <w:ind w:right="16"/>
        <w:spacing w:after="0"/>
        <w:tabs>
          <w:tab w:leader="none" w:pos="120" w:val="left"/>
          <w:tab w:leader="none" w:pos="120" w:val="left"/>
          <w:tab w:leader="none" w:pos="120" w:val="left"/>
          <w:tab w:leader="none" w:pos="120" w:val="left"/>
          <w:tab w:leader="none" w:pos="100" w:val="left"/>
          <w:tab w:leader="none" w:pos="100" w:val="left"/>
          <w:tab w:leader="none" w:pos="100" w:val="left"/>
          <w:tab w:leader="none" w:pos="100" w:val="left"/>
        </w:tabs>
        <w:rPr>
          <w:sz w:val="20"/>
          <w:szCs w:val="20"/>
          <w:color w:val="auto"/>
        </w:rPr>
      </w:pPr>
      <w:r>
        <w:rPr>
          <w:rFonts w:ascii="Times New Roman" w:cs="Times New Roman" w:eastAsia="Times New Roman" w:hAnsi="Times New Roman"/>
          <w:sz w:val="18"/>
          <w:szCs w:val="18"/>
          <w:color w:val="auto"/>
        </w:rPr>
        <w:t xml:space="preserve">* </w:t>
        <w:tab/>
        <w:t> </w:t>
        <w:tab/>
        <w:t> </w:t>
        <w:tab/>
        <w:t> </w:t>
        <w:tab/>
        <w:t xml:space="preserve">* </w:t>
        <w:tab/>
        <w:t> </w:t>
        <w:tab/>
        <w:t> </w:t>
        <w:tab/>
        <w:t> </w:t>
        <w:tab/>
        <w:t>*</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January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management acknowledge they are responsible for the accuracy and adequacy of their disclosures, notwithstanding any review, comment, action or absence of action by the Staff.</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matters discussed above, please telephone the undersigned, outside counsel to the Company, at (415) 615-6095 or via email at Jeffrey.Selman@us.dlapiper.com.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Jeffrey C. Selman</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Jeffrey C. Selman</w:t>
      </w:r>
    </w:p>
    <w:p>
      <w:pPr>
        <w:spacing w:after="0" w:line="252" w:lineRule="exact"/>
        <w:rPr>
          <w:sz w:val="20"/>
          <w:szCs w:val="20"/>
          <w:color w:val="auto"/>
        </w:rPr>
      </w:pPr>
    </w:p>
    <w:p>
      <w:pPr>
        <w:ind w:left="444" w:right="8400" w:hanging="444"/>
        <w:spacing w:after="0" w:line="266" w:lineRule="auto"/>
        <w:tabs>
          <w:tab w:leader="none" w:pos="4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Avi S. Katz Samuel Gibson Andrew M. Tucker, Esq.</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Enclosures</w:t>
      </w:r>
    </w:p>
    <w:sectPr>
      <w:pgSz w:w="11900" w:h="16838" w:orient="portrait"/>
      <w:cols w:equalWidth="0" w:num="1">
        <w:col w:w="10624"/>
      </w:cols>
      <w:pgMar w:left="436"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6"/>
    </w:lvl>
  </w:abstractNum>
  <w:abstractNum w:abstractNumId="4">
    <w:nsid w:val="1190CDE7"/>
    <w:multiLevelType w:val="hybridMultilevel"/>
    <w:lvl w:ilvl="0">
      <w:lvlJc w:val="left"/>
      <w:lvlText w:val="%1."/>
      <w:numFmt w:val="decimal"/>
      <w:start w:val="7"/>
    </w:lvl>
  </w:abstractNum>
  <w:abstractNum w:abstractNumId="5">
    <w:nsid w:val="66EF438D"/>
    <w:multiLevelType w:val="hybridMultilevel"/>
    <w:lvl w:ilvl="0">
      <w:lvlJc w:val="left"/>
      <w:lvlText w:val="%1."/>
      <w:numFmt w:val="decimal"/>
      <w:start w:val="8"/>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1."/>
      <w:numFmt w:val="decimal"/>
      <w:start w:val="13"/>
    </w:lvl>
  </w:abstractNum>
  <w:abstractNum w:abstractNumId="8">
    <w:nsid w:val="109CF92E"/>
    <w:multiLevelType w:val="hybridMultilevel"/>
    <w:lvl w:ilvl="0">
      <w:lvlJc w:val="left"/>
      <w:lvlText w:val="%1."/>
      <w:numFmt w:val="decimal"/>
      <w:start w:val="14"/>
    </w:lvl>
  </w:abstractNum>
  <w:abstractNum w:abstractNumId="9">
    <w:nsid w:val="DED7263"/>
    <w:multiLevelType w:val="hybridMultilevel"/>
    <w:lvl w:ilvl="0">
      <w:lvlJc w:val="left"/>
      <w:lvlText w:val="%1."/>
      <w:numFmt w:val="decimal"/>
      <w:start w:val="16"/>
    </w:lvl>
  </w:abstractNum>
  <w:abstractNum w:abstractNumId="10">
    <w:nsid w:val="7FDCC233"/>
    <w:multiLevelType w:val="hybridMultilevel"/>
    <w:lvl w:ilvl="0">
      <w:lvlJc w:val="left"/>
      <w:lvlText w:val="%1."/>
      <w:numFmt w:val="decimal"/>
      <w:start w:val="17"/>
    </w:lvl>
  </w:abstractNum>
  <w:abstractNum w:abstractNumId="11">
    <w:nsid w:val="1BEFD79F"/>
    <w:multiLevelType w:val="hybridMultilevel"/>
    <w:lvl w:ilvl="0">
      <w:lvlJc w:val="left"/>
      <w:lvlText w:val="%1."/>
      <w:numFmt w:val="decimal"/>
      <w:start w:val="18"/>
    </w:lvl>
  </w:abstractNum>
  <w:abstractNum w:abstractNumId="12">
    <w:nsid w:val="41A7C4C9"/>
    <w:multiLevelType w:val="hybridMultilevel"/>
    <w:lvl w:ilvl="0">
      <w:lvlJc w:val="left"/>
      <w:lvlText w:val="%1."/>
      <w:numFmt w:val="decimal"/>
      <w:start w:val="19"/>
    </w:lvl>
  </w:abstractNum>
  <w:abstractNum w:abstractNumId="13">
    <w:nsid w:val="6B68079A"/>
    <w:multiLevelType w:val="hybridMultilevel"/>
    <w:lvl w:ilvl="0">
      <w:lvlJc w:val="left"/>
      <w:lvlText w:val="%1."/>
      <w:numFmt w:val="decimal"/>
      <w:start w:val="20"/>
    </w:lvl>
  </w:abstractNum>
  <w:abstractNum w:abstractNumId="14">
    <w:nsid w:val="4E6AFB66"/>
    <w:multiLevelType w:val="hybridMultilevel"/>
    <w:lvl w:ilvl="0">
      <w:lvlJc w:val="left"/>
      <w:lvlText w:val="%1."/>
      <w:numFmt w:val="decimal"/>
      <w:start w:val="24"/>
    </w:lvl>
  </w:abstractNum>
  <w:abstractNum w:abstractNumId="15">
    <w:nsid w:val="25E45D32"/>
    <w:multiLevelType w:val="hybridMultilevel"/>
    <w:lvl w:ilvl="0">
      <w:lvlJc w:val="left"/>
      <w:lvlText w:val="%1."/>
      <w:numFmt w:val="decimal"/>
      <w:start w:val="25"/>
    </w:lvl>
  </w:abstractNum>
  <w:abstractNum w:abstractNumId="16">
    <w:nsid w:val="519B500D"/>
    <w:multiLevelType w:val="hybridMultilevel"/>
    <w:lvl w:ilvl="0">
      <w:lvlJc w:val="left"/>
      <w:lvlText w:val="%1."/>
      <w:numFmt w:val="decimal"/>
      <w:start w:val="26"/>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2026-10-29T21:30:58Z</dcterms:created>
  <dcterms:modified xsi:type="dcterms:W3CDTF">2026-10-29T21:30:58Z</dcterms:modified>
</cp:coreProperties>
</file>