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Hadron Energy,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c/o DLA Piper LLP (US)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555 Mission Street, Suite 2400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San Francisco, California 94105-2933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(415) 615-6095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June 23, 2026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Energy and Transportation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DC 20549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  <w:tab/>
        <w:t>Hadron Energy,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333-296796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Acceleration Request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right="50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promulgated under the Securities Act of 1933, as amended, Hadron Energy, Inc. hereby requests that the effectiveness of the above-referenced Registration Statement be accelerated so that such Registration Statement will become effective at 4:00 p.m., Eastern Time, on Thursday, June 25, 2026, or as soon thereafter as practicable.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right="28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notify Jeffrey Selman, counsel to the Company, at (415) 615-6095, as soon as the Registration Statement has been declared effective, or if you have any other questions or concerns regarding this matter.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Sincerely,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Samuel Gibson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4197985</wp:posOffset>
            </wp:positionH>
            <wp:positionV relativeFrom="paragraph">
              <wp:posOffset>17145</wp:posOffset>
            </wp:positionV>
            <wp:extent cx="279463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Samuel Gibson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Chief Executive Officer</w:t>
      </w:r>
    </w:p>
    <w:sectPr>
      <w:pgSz w:w="11900" w:h="16838" w:orient="portrait"/>
      <w:cols w:equalWidth="0" w:num="1">
        <w:col w:w="11020"/>
      </w:cols>
      <w:pgMar w:left="440" w:top="225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2026-10-29T21:30:50Z</dcterms:created>
  <dcterms:modified xsi:type="dcterms:W3CDTF">2026-10-29T21:30:50Z</dcterms:modified>
</cp:coreProperties>
</file>