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44"/>
        <w:spacing w:after="0"/>
        <w:rPr>
          <w:sz w:val="20"/>
          <w:szCs w:val="20"/>
          <w:color w:val="auto"/>
        </w:rPr>
      </w:pPr>
      <w:r>
        <w:rPr>
          <w:rFonts w:ascii="Times New Roman" w:cs="Times New Roman" w:eastAsia="Times New Roman" w:hAnsi="Times New Roman"/>
          <w:sz w:val="18"/>
          <w:szCs w:val="18"/>
          <w:color w:val="auto"/>
        </w:rPr>
        <w:t xml:space="preserve">DLA Piper </w:t>
      </w:r>
      <w:r>
        <w:rPr>
          <w:rFonts w:ascii="Times New Roman" w:cs="Times New Roman" w:eastAsia="Times New Roman" w:hAnsi="Times New Roman"/>
          <w:sz w:val="14"/>
          <w:szCs w:val="14"/>
          <w:color w:val="auto"/>
        </w:rPr>
        <w:t>LLP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US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2870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0" cy="600075"/>
                    </a:xfrm>
                    <a:prstGeom prst="rect">
                      <a:avLst/>
                    </a:prstGeom>
                    <a:noFill/>
                  </pic:spPr>
                </pic:pic>
              </a:graphicData>
            </a:graphic>
          </wp:anchor>
        </w:drawing>
      </w:r>
    </w:p>
    <w:p>
      <w:pPr>
        <w:spacing w:after="0" w:line="7" w:lineRule="exact"/>
        <w:rPr>
          <w:sz w:val="24"/>
          <w:szCs w:val="24"/>
          <w:color w:val="auto"/>
        </w:rPr>
      </w:pPr>
    </w:p>
    <w:p>
      <w:pPr>
        <w:ind w:left="8044"/>
        <w:spacing w:after="0"/>
        <w:rPr>
          <w:sz w:val="20"/>
          <w:szCs w:val="20"/>
          <w:color w:val="auto"/>
        </w:rPr>
      </w:pPr>
      <w:r>
        <w:rPr>
          <w:rFonts w:ascii="Times New Roman" w:cs="Times New Roman" w:eastAsia="Times New Roman" w:hAnsi="Times New Roman"/>
          <w:sz w:val="18"/>
          <w:szCs w:val="18"/>
          <w:color w:val="auto"/>
        </w:rPr>
        <w:t>555 Mission St. #2400</w:t>
      </w:r>
    </w:p>
    <w:p>
      <w:pPr>
        <w:spacing w:after="0" w:line="9" w:lineRule="exact"/>
        <w:rPr>
          <w:sz w:val="24"/>
          <w:szCs w:val="24"/>
          <w:color w:val="auto"/>
        </w:rPr>
      </w:pPr>
    </w:p>
    <w:p>
      <w:pPr>
        <w:ind w:left="8044"/>
        <w:spacing w:after="0"/>
        <w:rPr>
          <w:sz w:val="20"/>
          <w:szCs w:val="20"/>
          <w:color w:val="auto"/>
        </w:rPr>
      </w:pPr>
      <w:r>
        <w:rPr>
          <w:rFonts w:ascii="Times New Roman" w:cs="Times New Roman" w:eastAsia="Times New Roman" w:hAnsi="Times New Roman"/>
          <w:sz w:val="18"/>
          <w:szCs w:val="18"/>
          <w:color w:val="auto"/>
        </w:rPr>
        <w:t>San Francisco, California 94105</w:t>
      </w:r>
    </w:p>
    <w:p>
      <w:pPr>
        <w:spacing w:after="0" w:line="9" w:lineRule="exact"/>
        <w:rPr>
          <w:sz w:val="24"/>
          <w:szCs w:val="24"/>
          <w:color w:val="auto"/>
        </w:rPr>
      </w:pPr>
    </w:p>
    <w:p>
      <w:pPr>
        <w:ind w:left="8044"/>
        <w:spacing w:after="0"/>
        <w:rPr>
          <w:sz w:val="20"/>
          <w:szCs w:val="20"/>
          <w:color w:val="auto"/>
        </w:rPr>
      </w:pPr>
      <w:r>
        <w:rPr>
          <w:rFonts w:ascii="Times New Roman" w:cs="Times New Roman" w:eastAsia="Times New Roman" w:hAnsi="Times New Roman"/>
          <w:sz w:val="18"/>
          <w:szCs w:val="18"/>
          <w:color w:val="auto"/>
        </w:rPr>
        <w:t>www.dlapiper.com</w:t>
      </w:r>
    </w:p>
    <w:p>
      <w:pPr>
        <w:spacing w:after="0" w:line="396"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March 11, 2026</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20549-3561</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Steve Lo, Kimberly Calder, Timothy S. Levenberg and Laura Nicholson</w:t>
      </w:r>
    </w:p>
    <w:p>
      <w:pPr>
        <w:spacing w:after="0" w:line="203"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 GigCapital7, Corp.</w:t>
      </w:r>
    </w:p>
    <w:p>
      <w:pPr>
        <w:spacing w:after="0" w:line="31" w:lineRule="exact"/>
        <w:rPr>
          <w:sz w:val="24"/>
          <w:szCs w:val="24"/>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Amendment No. 2 to Registration Statement on Form S-4</w:t>
      </w:r>
    </w:p>
    <w:p>
      <w:pPr>
        <w:spacing w:after="0" w:line="9" w:lineRule="exact"/>
        <w:rPr>
          <w:sz w:val="24"/>
          <w:szCs w:val="24"/>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Filed February 17, 2026</w:t>
      </w:r>
    </w:p>
    <w:p>
      <w:pPr>
        <w:spacing w:after="0" w:line="9" w:lineRule="exact"/>
        <w:rPr>
          <w:sz w:val="24"/>
          <w:szCs w:val="24"/>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File No. 333-291477</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Lo, Ms. Calder, Mr. Levenberg, and Ms. Nicholson:</w:t>
      </w:r>
    </w:p>
    <w:p>
      <w:pPr>
        <w:spacing w:after="0" w:line="113" w:lineRule="exact"/>
        <w:rPr>
          <w:sz w:val="24"/>
          <w:szCs w:val="24"/>
          <w:color w:val="auto"/>
        </w:rPr>
      </w:pPr>
    </w:p>
    <w:p>
      <w:pPr>
        <w:jc w:val="both"/>
        <w:ind w:left="4" w:right="280" w:firstLine="440"/>
        <w:spacing w:after="0" w:line="268" w:lineRule="auto"/>
        <w:rPr>
          <w:sz w:val="20"/>
          <w:szCs w:val="20"/>
          <w:color w:val="auto"/>
        </w:rPr>
      </w:pPr>
      <w:r>
        <w:rPr>
          <w:rFonts w:ascii="Times New Roman" w:cs="Times New Roman" w:eastAsia="Times New Roman" w:hAnsi="Times New Roman"/>
          <w:sz w:val="18"/>
          <w:szCs w:val="18"/>
          <w:color w:val="auto"/>
        </w:rPr>
        <w:t>Set forth below are responses to the comment that was provided by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United States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to our client, GigCapital7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GigCapital7</w:t>
      </w:r>
      <w:r>
        <w:rPr>
          <w:rFonts w:ascii="Times New Roman" w:cs="Times New Roman" w:eastAsia="Times New Roman" w:hAnsi="Times New Roman"/>
          <w:sz w:val="18"/>
          <w:szCs w:val="18"/>
          <w:color w:val="auto"/>
        </w:rPr>
        <w:t>”), by your letter dated March 9, 2026, regarding the above-referenced filing (the “</w:t>
      </w:r>
      <w:r>
        <w:rPr>
          <w:rFonts w:ascii="Times New Roman" w:cs="Times New Roman" w:eastAsia="Times New Roman" w:hAnsi="Times New Roman"/>
          <w:sz w:val="18"/>
          <w:szCs w:val="18"/>
          <w:b w:val="1"/>
          <w:bCs w:val="1"/>
          <w:i w:val="1"/>
          <w:iCs w:val="1"/>
          <w:color w:val="auto"/>
        </w:rPr>
        <w:t>Amended Registration Statement</w:t>
      </w:r>
      <w:r>
        <w:rPr>
          <w:rFonts w:ascii="Times New Roman" w:cs="Times New Roman" w:eastAsia="Times New Roman" w:hAnsi="Times New Roman"/>
          <w:sz w:val="18"/>
          <w:szCs w:val="18"/>
          <w:color w:val="auto"/>
        </w:rPr>
        <w:t>”).</w:t>
      </w:r>
    </w:p>
    <w:p>
      <w:pPr>
        <w:spacing w:after="0" w:line="175"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For your convenience, each response is prefaced by the exact text of the Staff’s corresponding comment in bold, italicized text.</w:t>
      </w:r>
    </w:p>
    <w:p>
      <w:pPr>
        <w:spacing w:after="0" w:line="225" w:lineRule="exact"/>
        <w:rPr>
          <w:sz w:val="24"/>
          <w:szCs w:val="24"/>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responses to the Staff’s comment, concurrently with the filing of this letter, GigCapital7 will file Amendment No. 3 to the Registration Statement on Form S-4 (“</w:t>
      </w:r>
      <w:r>
        <w:rPr>
          <w:rFonts w:ascii="Times New Roman" w:cs="Times New Roman" w:eastAsia="Times New Roman" w:hAnsi="Times New Roman"/>
          <w:sz w:val="18"/>
          <w:szCs w:val="18"/>
          <w:b w:val="1"/>
          <w:bCs w:val="1"/>
          <w:i w:val="1"/>
          <w:iCs w:val="1"/>
          <w:color w:val="auto"/>
        </w:rPr>
        <w:t>Amendment No. 3</w:t>
      </w:r>
      <w:r>
        <w:rPr>
          <w:rFonts w:ascii="Times New Roman" w:cs="Times New Roman" w:eastAsia="Times New Roman" w:hAnsi="Times New Roman"/>
          <w:sz w:val="18"/>
          <w:szCs w:val="18"/>
          <w:color w:val="auto"/>
        </w:rPr>
        <w:t>”) to reflect the Staff’s requested disclosure edits. Unless otherwise specified, all references to page numbers and captions correspond to the Amended Registration Statement if referring to the Staff’s comment, or to Amendment No. 3 if in the response.</w:t>
      </w:r>
    </w:p>
    <w:p>
      <w:pPr>
        <w:spacing w:after="0" w:line="28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2 to Registration Statement on Form S-4 filed on February 17, 2026</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b w:val="1"/>
          <w:bCs w:val="1"/>
          <w:u w:val="single" w:color="auto"/>
          <w:color w:val="auto"/>
        </w:rPr>
        <w:t>The proposed Domesticated GigCapital7 Charter will provide, subject to limited exceptions, that the courts of the State of Delaware..., page 110</w:t>
      </w:r>
    </w:p>
    <w:p>
      <w:pPr>
        <w:spacing w:after="0" w:line="142" w:lineRule="exact"/>
        <w:rPr>
          <w:sz w:val="24"/>
          <w:szCs w:val="24"/>
          <w:color w:val="auto"/>
        </w:rPr>
      </w:pPr>
    </w:p>
    <w:p>
      <w:pPr>
        <w:ind w:left="424" w:right="20" w:hanging="424"/>
        <w:spacing w:after="0" w:line="255"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response to prior comment 2. Please revise to clarify whether, and if so how, Section 11.1(a) of the proposed Domesticated GigCapital7 Charter applies to Exchange Act claims. For example, we note the provision set forth in Section 11.1(a) selecting the Court of Chancery of the State of Delaware or the United States District Court for the District of Delaware for certain claims that are not internal corporate claims. We also note that the combined company will be incorporated in Delaware. Please also ensure that your disclosure in this section is consistent with your disclosure on page 188. In that regard, we note your disclosure on page 188 regarding the exclusive forum provision in the Proposed Post-Closing Certificate of Incorporation states that “[t]hese provisions” do not apply to suits brought to enforce a duty or liability created by the Securities Exchange Act of 1934, as amended, or the rules and regulations thereunder, or to any other claim for which the U.S. federal courts have exclusive jurisdiction.</w:t>
      </w:r>
    </w:p>
    <w:p>
      <w:pPr>
        <w:spacing w:after="0" w:line="81" w:lineRule="exact"/>
        <w:rPr>
          <w:sz w:val="24"/>
          <w:szCs w:val="24"/>
          <w:color w:val="auto"/>
        </w:rPr>
      </w:pPr>
    </w:p>
    <w:p>
      <w:pPr>
        <w:jc w:val="center"/>
        <w:ind w:right="-303"/>
        <w:spacing w:after="0"/>
        <w:tabs>
          <w:tab w:leader="none" w:pos="10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The Company acknowledges the Staff’s comment and has revised its disclosure on pages 111 and 188-190 of Amendment No. 3.</w:t>
      </w:r>
    </w:p>
    <w:p>
      <w:pPr>
        <w:spacing w:after="0" w:line="225" w:lineRule="exact"/>
        <w:rPr>
          <w:sz w:val="24"/>
          <w:szCs w:val="24"/>
          <w:color w:val="auto"/>
        </w:rPr>
      </w:pPr>
    </w:p>
    <w:p>
      <w:pPr>
        <w:jc w:val="center"/>
        <w:ind w:right="-23"/>
        <w:spacing w:after="0"/>
        <w:tabs>
          <w:tab w:leader="none" w:pos="160" w:val="left"/>
          <w:tab w:leader="none" w:pos="120" w:val="left"/>
        </w:tabs>
        <w:rPr>
          <w:sz w:val="20"/>
          <w:szCs w:val="20"/>
          <w:color w:val="auto"/>
        </w:rPr>
      </w:pPr>
      <w:r>
        <w:rPr>
          <w:rFonts w:ascii="Times New Roman" w:cs="Times New Roman" w:eastAsia="Times New Roman" w:hAnsi="Times New Roman"/>
          <w:sz w:val="18"/>
          <w:szCs w:val="18"/>
          <w:color w:val="auto"/>
        </w:rPr>
        <w:t xml:space="preserve">* </w:t>
        <w:tab/>
        <w:t xml:space="preserve">* </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0984"/>
          </w:cols>
          <w:pgMar w:left="436" w:top="229" w:right="47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11,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Company and its management acknowledge they are responsible for the accuracy and adequacy of their disclosures, notwithstanding any review, comment, action or absence of action by the Staff.</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matters discussed above, please telephone the undersigned, outside counsel to the Company, at (415) 615-6095 or via email at Jeffrey.Selman@us.dlapiper.com.</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Jeffrey C. Selman</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Jeffrey C. Selman</w:t>
      </w:r>
    </w:p>
    <w:p>
      <w:pPr>
        <w:spacing w:after="0" w:line="252" w:lineRule="exact"/>
        <w:rPr>
          <w:sz w:val="20"/>
          <w:szCs w:val="20"/>
          <w:color w:val="auto"/>
        </w:rPr>
      </w:pPr>
    </w:p>
    <w:p>
      <w:pPr>
        <w:ind w:left="304" w:right="8540" w:hanging="304"/>
        <w:spacing w:after="0" w:line="266" w:lineRule="auto"/>
        <w:tabs>
          <w:tab w:leader="none" w:pos="30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Avi Katz Samuel Gibson Andrew M. Tucker, Esq.</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Enclosures</w:t>
      </w:r>
    </w:p>
    <w:sectPr>
      <w:pgSz w:w="11900" w:h="16838" w:orient="portrait"/>
      <w:cols w:equalWidth="0" w:num="1">
        <w:col w:w="10624"/>
      </w:cols>
      <w:pgMar w:left="436" w:top="27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2026-10-29T21:31:29Z</dcterms:created>
  <dcterms:modified xsi:type="dcterms:W3CDTF">2026-10-29T21:31:29Z</dcterms:modified>
</cp:coreProperties>
</file>